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B0ACA" w14:textId="77777777" w:rsidR="008C5ACE" w:rsidRDefault="008C5ACE" w:rsidP="008C5ACE">
      <w:r>
        <w:t xml:space="preserve">Digital Research BBSRC DTP activities: </w:t>
      </w:r>
    </w:p>
    <w:p w14:paraId="1C12C8EE" w14:textId="5071ACD0" w:rsidR="008C5ACE" w:rsidRDefault="008C5ACE" w:rsidP="008C5ACE">
      <w:r>
        <w:br/>
      </w:r>
      <w:r>
        <w:t xml:space="preserve">The </w:t>
      </w:r>
      <w:r>
        <w:rPr>
          <w:rStyle w:val="Strong"/>
        </w:rPr>
        <w:t>Digital Research Service (DRS)</w:t>
      </w:r>
      <w:r>
        <w:t xml:space="preserve"> has</w:t>
      </w:r>
      <w:r>
        <w:t xml:space="preserve"> been</w:t>
      </w:r>
      <w:r>
        <w:t xml:space="preserve"> design</w:t>
      </w:r>
      <w:r>
        <w:t>ing</w:t>
      </w:r>
      <w:r>
        <w:t xml:space="preserve"> and delive</w:t>
      </w:r>
      <w:r>
        <w:t>ring the first year of a</w:t>
      </w:r>
      <w:r>
        <w:t xml:space="preserve"> structured digital skills programme to support doctoral and early-career researchers in developing the competencies required for contemporary research practice. </w:t>
      </w:r>
    </w:p>
    <w:p w14:paraId="4AFD2E17" w14:textId="77777777" w:rsidR="008C5ACE" w:rsidRDefault="008C5ACE" w:rsidP="008C5ACE"/>
    <w:p w14:paraId="670A5A55" w14:textId="31EB92ED" w:rsidR="008C5ACE" w:rsidRDefault="008C5ACE" w:rsidP="008C5ACE">
      <w:r>
        <w:t xml:space="preserve">The core of this provision is the </w:t>
      </w:r>
      <w:r>
        <w:rPr>
          <w:rStyle w:val="Strong"/>
        </w:rPr>
        <w:t>Essential Digital Skills</w:t>
      </w:r>
      <w:r>
        <w:t xml:space="preserve"> course, structured as a coherent sequence of modules aligned to the practical demands of contemporary research. It begins with </w:t>
      </w:r>
      <w:r>
        <w:rPr>
          <w:rStyle w:val="Emphasis"/>
        </w:rPr>
        <w:t>Digital Tools</w:t>
      </w:r>
      <w:r>
        <w:t xml:space="preserve"> and </w:t>
      </w:r>
      <w:r>
        <w:rPr>
          <w:rStyle w:val="Emphasis"/>
        </w:rPr>
        <w:t>Digital Delivery</w:t>
      </w:r>
      <w:r>
        <w:t xml:space="preserve">, introducing collaborative digital environments, structured workflows, version awareness and effective research communication. The programme then embeds practice within regulatory and ethical contexts through </w:t>
      </w:r>
      <w:r>
        <w:rPr>
          <w:rStyle w:val="Emphasis"/>
        </w:rPr>
        <w:t>Data Governance and Policy</w:t>
      </w:r>
      <w:r>
        <w:t xml:space="preserve"> and </w:t>
      </w:r>
      <w:r>
        <w:rPr>
          <w:rStyle w:val="Emphasis"/>
        </w:rPr>
        <w:t>Research Data Management</w:t>
      </w:r>
      <w:r>
        <w:t xml:space="preserve">, developing competence in data lifecycle planning, documentation and stewardship while foregrounding FAIR principles. Building on this foundation, </w:t>
      </w:r>
      <w:r>
        <w:rPr>
          <w:rStyle w:val="Emphasis"/>
        </w:rPr>
        <w:t>Collecting the Right Data</w:t>
      </w:r>
      <w:r>
        <w:t xml:space="preserve"> addresses research design and bias, while </w:t>
      </w:r>
      <w:r>
        <w:rPr>
          <w:rStyle w:val="Emphasis"/>
        </w:rPr>
        <w:t>Organising and Exploring Data</w:t>
      </w:r>
      <w:r>
        <w:t xml:space="preserve"> and </w:t>
      </w:r>
      <w:r>
        <w:rPr>
          <w:rStyle w:val="Emphasis"/>
        </w:rPr>
        <w:t>Making Sense of Data</w:t>
      </w:r>
      <w:r>
        <w:t xml:space="preserve"> develop structured data handling, exploratory analysis and critical interpretation. The capstone module, </w:t>
      </w:r>
      <w:r>
        <w:rPr>
          <w:rStyle w:val="Emphasis"/>
        </w:rPr>
        <w:t>Insight to Impact</w:t>
      </w:r>
      <w:r>
        <w:t>, supports researchers in translating structured analysis into clear, discipline-appropriate and stakeholder-relevant outputs.</w:t>
      </w:r>
    </w:p>
    <w:p w14:paraId="6ABF07AE" w14:textId="77777777" w:rsidR="008C5ACE" w:rsidRDefault="008C5ACE" w:rsidP="008C5ACE"/>
    <w:p w14:paraId="4999B0FA" w14:textId="70D9ECA6" w:rsidR="008C5ACE" w:rsidRDefault="008C5ACE" w:rsidP="008C5ACE">
      <w:r>
        <w:t>Alongside the</w:t>
      </w:r>
      <w:r>
        <w:t xml:space="preserve"> </w:t>
      </w:r>
      <w:r>
        <w:rPr>
          <w:rStyle w:val="Strong"/>
        </w:rPr>
        <w:t>Essential Digital Skills</w:t>
      </w:r>
      <w:r>
        <w:t xml:space="preserve"> course</w:t>
      </w:r>
      <w:r>
        <w:t xml:space="preserve">, the DRS have developed and delivered standalone </w:t>
      </w:r>
      <w:r>
        <w:t xml:space="preserve">sessions on </w:t>
      </w:r>
      <w:r>
        <w:rPr>
          <w:rStyle w:val="Strong"/>
        </w:rPr>
        <w:t>Responsible Use of AI in Research</w:t>
      </w:r>
      <w:r>
        <w:t xml:space="preserve"> and </w:t>
      </w:r>
      <w:r>
        <w:rPr>
          <w:rStyle w:val="Strong"/>
        </w:rPr>
        <w:t>Hands-on AI for Research</w:t>
      </w:r>
      <w:r>
        <w:t>, which combine conceptual framing with practical engagement. These sessions ensure participants acquire both critical insight into how AI intersects with research integrity and applied competence in responsible AI tools and techniques</w:t>
      </w:r>
      <w:r>
        <w:t>.</w:t>
      </w:r>
    </w:p>
    <w:p w14:paraId="02A11035" w14:textId="77777777" w:rsidR="008C5ACE" w:rsidRDefault="008C5ACE" w:rsidP="008C5ACE"/>
    <w:p w14:paraId="2D88A8D9" w14:textId="3529F5CB" w:rsidR="008C5ACE" w:rsidRDefault="008C5ACE" w:rsidP="008C5ACE">
      <w:r>
        <w:t>T</w:t>
      </w:r>
      <w:r>
        <w:t>he DRS is</w:t>
      </w:r>
      <w:r>
        <w:t xml:space="preserve"> currently expanding this training provision. </w:t>
      </w:r>
      <w:r>
        <w:rPr>
          <w:rStyle w:val="Strong"/>
        </w:rPr>
        <w:t>Python</w:t>
      </w:r>
      <w:r>
        <w:t xml:space="preserve"> and </w:t>
      </w:r>
      <w:r>
        <w:rPr>
          <w:rStyle w:val="Strong"/>
        </w:rPr>
        <w:t>R</w:t>
      </w:r>
      <w:r>
        <w:t xml:space="preserve"> courses are currently in development to introduce programming for data analysis, reproducible scripting practices, and research-oriented computational workflows. A </w:t>
      </w:r>
      <w:r>
        <w:rPr>
          <w:rStyle w:val="Strong"/>
        </w:rPr>
        <w:t xml:space="preserve">Software </w:t>
      </w:r>
      <w:r>
        <w:rPr>
          <w:rStyle w:val="Strong"/>
        </w:rPr>
        <w:t xml:space="preserve">Engineering </w:t>
      </w:r>
      <w:r>
        <w:t xml:space="preserve">course is planned to consolidate good software practices in research contexts. Beyond these foundations, advanced extension modules are planned in </w:t>
      </w:r>
      <w:r>
        <w:rPr>
          <w:rStyle w:val="Strong"/>
        </w:rPr>
        <w:t>High Performance Computing (HPC)</w:t>
      </w:r>
      <w:r>
        <w:t xml:space="preserve">, </w:t>
      </w:r>
      <w:r>
        <w:rPr>
          <w:rStyle w:val="Strong"/>
        </w:rPr>
        <w:t>Machine Learning</w:t>
      </w:r>
      <w:r>
        <w:t xml:space="preserve">, and </w:t>
      </w:r>
      <w:r>
        <w:rPr>
          <w:rStyle w:val="Strong"/>
        </w:rPr>
        <w:t>Bioinformatics</w:t>
      </w:r>
      <w:r>
        <w:t>, supporting researchers whose projects require large-scale computation or domain-specific analytical techniques.</w:t>
      </w:r>
    </w:p>
    <w:p w14:paraId="65D10C0D" w14:textId="77777777" w:rsidR="008C5ACE" w:rsidRDefault="008C5ACE" w:rsidP="008C5ACE"/>
    <w:p w14:paraId="1D820441" w14:textId="6550599B" w:rsidR="008C5ACE" w:rsidRDefault="008C5ACE" w:rsidP="008C5ACE">
      <w:r>
        <w:t>Attendance across delivered sessions has been stable, and feedback ratings predominantly fall within the Good to Excellent range. Participants consistently highlight interactive elements, group-based workflow design tasks, and practical exercises as the most valuable aspects of delivery. Collaborative activities</w:t>
      </w:r>
      <w:r>
        <w:t xml:space="preserve">, </w:t>
      </w:r>
      <w:r>
        <w:t>particularly those requiring participants to design research workflows or critique digital practices</w:t>
      </w:r>
      <w:r>
        <w:t xml:space="preserve">, </w:t>
      </w:r>
      <w:r>
        <w:t>are frequently cited as strengthening understanding and engagement. The applied AI components have been especially well received, with learners valuing hands-on prompt engineering exercises and structured discussions around responsible deployment in research contexts.</w:t>
      </w:r>
    </w:p>
    <w:p w14:paraId="1BECEF0F" w14:textId="77777777" w:rsidR="008C5ACE" w:rsidRDefault="008C5ACE" w:rsidP="008C5ACE"/>
    <w:p w14:paraId="14B49646" w14:textId="77777777" w:rsidR="0012537B" w:rsidRDefault="008C5ACE" w:rsidP="008C5ACE">
      <w:r>
        <w:t xml:space="preserve">Feedback analysis identifies several consistent themes for refinement. The most frequent recommendation concerns session length: extended blocks of up to four </w:t>
      </w:r>
      <w:r>
        <w:lastRenderedPageBreak/>
        <w:t xml:space="preserve">hours are widely perceived as cognitively demanding. Participants have requested shorter, more modular sessions delivered more frequently. </w:t>
      </w:r>
      <w:r>
        <w:t>The recommendation is that in Y2 of this programme delivery</w:t>
      </w:r>
      <w:r w:rsidR="0012537B">
        <w:t xml:space="preserve"> of the Essential Digital Skills course</w:t>
      </w:r>
      <w:r>
        <w:t xml:space="preserve"> occurs </w:t>
      </w:r>
      <w:r w:rsidR="0012537B">
        <w:t>between October-December</w:t>
      </w:r>
      <w:r>
        <w:t xml:space="preserve"> </w:t>
      </w:r>
      <w:r w:rsidR="0012537B">
        <w:t xml:space="preserve">in 10 </w:t>
      </w:r>
      <w:r>
        <w:t>weekly</w:t>
      </w:r>
      <w:r w:rsidR="0012537B">
        <w:t xml:space="preserve"> blocks</w:t>
      </w:r>
      <w:r>
        <w:t xml:space="preserve"> in line with other DTP teaching provisions. </w:t>
      </w:r>
    </w:p>
    <w:p w14:paraId="63B3BB66" w14:textId="77777777" w:rsidR="0012537B" w:rsidRDefault="0012537B" w:rsidP="008C5ACE"/>
    <w:p w14:paraId="1E7BCD42" w14:textId="6D18FCCF" w:rsidR="008C5ACE" w:rsidRDefault="008C5ACE" w:rsidP="008C5ACE">
      <w:r>
        <w:t xml:space="preserve">Additional suggestions include clearer articulation of learning objectives, more explicit task instructions during breakout activities, and stronger contextualisation of abstract workflow or policy concepts within discipline-specific research examples. Within the Responsible AI module, a minority of participants expressed uncertainty regarding </w:t>
      </w:r>
      <w:r w:rsidR="0012537B">
        <w:t xml:space="preserve">both personal relevance and </w:t>
      </w:r>
      <w:r>
        <w:t xml:space="preserve">institutional positioning on generative AI use, indicating a need for clearer and more consistent framing of permissible and recommended practice. These refinements </w:t>
      </w:r>
      <w:r w:rsidR="0012537B">
        <w:t xml:space="preserve">and feedback </w:t>
      </w:r>
      <w:r>
        <w:t xml:space="preserve">are now being </w:t>
      </w:r>
      <w:r w:rsidR="0012537B">
        <w:t xml:space="preserve">reviewed and </w:t>
      </w:r>
      <w:r>
        <w:t>incorporated into the next delivery cycle</w:t>
      </w:r>
      <w:r w:rsidR="0012537B">
        <w:t xml:space="preserve">. </w:t>
      </w:r>
      <w:r>
        <w:t>Ongoing iteration, informed by structured feedback, will focus on modularisation, contextual enhancement, and clarity of guidance to ensure sustained impact and alignment with institutional research priorities.</w:t>
      </w:r>
    </w:p>
    <w:p w14:paraId="0E7E2B94" w14:textId="77777777" w:rsidR="00C2401F" w:rsidRDefault="00C2401F" w:rsidP="008C5ACE"/>
    <w:sectPr w:rsidR="00C2401F" w:rsidSect="00C4163B">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ACE"/>
    <w:rsid w:val="00026601"/>
    <w:rsid w:val="0012537B"/>
    <w:rsid w:val="001B4FC1"/>
    <w:rsid w:val="00834FD1"/>
    <w:rsid w:val="008A278E"/>
    <w:rsid w:val="008C5ACE"/>
    <w:rsid w:val="00AF5235"/>
    <w:rsid w:val="00B12F8E"/>
    <w:rsid w:val="00C2401F"/>
    <w:rsid w:val="00C416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F867B7C"/>
  <w15:chartTrackingRefBased/>
  <w15:docId w15:val="{F03DC161-65A9-EB4E-BF46-46DAB848F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A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A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A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A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ACE"/>
    <w:rPr>
      <w:rFonts w:eastAsiaTheme="majorEastAsia" w:cstheme="majorBidi"/>
      <w:color w:val="272727" w:themeColor="text1" w:themeTint="D8"/>
    </w:rPr>
  </w:style>
  <w:style w:type="paragraph" w:styleId="Title">
    <w:name w:val="Title"/>
    <w:basedOn w:val="Normal"/>
    <w:next w:val="Normal"/>
    <w:link w:val="TitleChar"/>
    <w:uiPriority w:val="10"/>
    <w:qFormat/>
    <w:rsid w:val="008C5A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A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A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5ACE"/>
    <w:rPr>
      <w:i/>
      <w:iCs/>
      <w:color w:val="404040" w:themeColor="text1" w:themeTint="BF"/>
    </w:rPr>
  </w:style>
  <w:style w:type="paragraph" w:styleId="ListParagraph">
    <w:name w:val="List Paragraph"/>
    <w:basedOn w:val="Normal"/>
    <w:uiPriority w:val="34"/>
    <w:qFormat/>
    <w:rsid w:val="008C5ACE"/>
    <w:pPr>
      <w:ind w:left="720"/>
      <w:contextualSpacing/>
    </w:pPr>
  </w:style>
  <w:style w:type="character" w:styleId="IntenseEmphasis">
    <w:name w:val="Intense Emphasis"/>
    <w:basedOn w:val="DefaultParagraphFont"/>
    <w:uiPriority w:val="21"/>
    <w:qFormat/>
    <w:rsid w:val="008C5ACE"/>
    <w:rPr>
      <w:i/>
      <w:iCs/>
      <w:color w:val="0F4761" w:themeColor="accent1" w:themeShade="BF"/>
    </w:rPr>
  </w:style>
  <w:style w:type="paragraph" w:styleId="IntenseQuote">
    <w:name w:val="Intense Quote"/>
    <w:basedOn w:val="Normal"/>
    <w:next w:val="Normal"/>
    <w:link w:val="IntenseQuoteChar"/>
    <w:uiPriority w:val="30"/>
    <w:qFormat/>
    <w:rsid w:val="008C5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ACE"/>
    <w:rPr>
      <w:i/>
      <w:iCs/>
      <w:color w:val="0F4761" w:themeColor="accent1" w:themeShade="BF"/>
    </w:rPr>
  </w:style>
  <w:style w:type="character" w:styleId="IntenseReference">
    <w:name w:val="Intense Reference"/>
    <w:basedOn w:val="DefaultParagraphFont"/>
    <w:uiPriority w:val="32"/>
    <w:qFormat/>
    <w:rsid w:val="008C5ACE"/>
    <w:rPr>
      <w:b/>
      <w:bCs/>
      <w:smallCaps/>
      <w:color w:val="0F4761" w:themeColor="accent1" w:themeShade="BF"/>
      <w:spacing w:val="5"/>
    </w:rPr>
  </w:style>
  <w:style w:type="paragraph" w:styleId="NormalWeb">
    <w:name w:val="Normal (Web)"/>
    <w:basedOn w:val="Normal"/>
    <w:uiPriority w:val="99"/>
    <w:semiHidden/>
    <w:unhideWhenUsed/>
    <w:rsid w:val="008C5ACE"/>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8C5ACE"/>
    <w:rPr>
      <w:b/>
      <w:bCs/>
    </w:rPr>
  </w:style>
  <w:style w:type="character" w:styleId="Hyperlink">
    <w:name w:val="Hyperlink"/>
    <w:basedOn w:val="DefaultParagraphFont"/>
    <w:uiPriority w:val="99"/>
    <w:semiHidden/>
    <w:unhideWhenUsed/>
    <w:rsid w:val="008C5ACE"/>
    <w:rPr>
      <w:color w:val="0000FF"/>
      <w:u w:val="single"/>
    </w:rPr>
  </w:style>
  <w:style w:type="character" w:styleId="Emphasis">
    <w:name w:val="Emphasis"/>
    <w:basedOn w:val="DefaultParagraphFont"/>
    <w:uiPriority w:val="20"/>
    <w:qFormat/>
    <w:rsid w:val="008C5A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Giles</dc:creator>
  <cp:keywords/>
  <dc:description/>
  <cp:lastModifiedBy>Tom Giles</cp:lastModifiedBy>
  <cp:revision>2</cp:revision>
  <dcterms:created xsi:type="dcterms:W3CDTF">2026-03-02T15:03:00Z</dcterms:created>
  <dcterms:modified xsi:type="dcterms:W3CDTF">2026-03-02T15:03:00Z</dcterms:modified>
</cp:coreProperties>
</file>