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56"/>
        <w:jc w:val="center"/>
      </w:pPr>
      <w:r>
        <w:rPr>
          <w:rFonts w:ascii="Aptos Display" w:hAnsi="Aptos Display"/>
          <w:b/>
          <w:color w:val="172B4D"/>
          <w:sz w:val="56"/>
        </w:rPr>
        <w:t>Macro Thesis</w:t>
        <w:br/>
      </w:r>
      <w:r>
        <w:rPr>
          <w:rFonts w:ascii="Aptos" w:hAnsi="Aptos"/>
          <w:color w:val="2A548F"/>
          <w:sz w:val="30"/>
        </w:rPr>
        <w:t>Capital Rotation Through a Hyper-Liquidity Cycle</w:t>
      </w:r>
    </w:p>
    <w:p>
      <w:pPr>
        <w:spacing w:before="440"/>
        <w:jc w:val="center"/>
      </w:pPr>
      <w:r>
        <w:rPr>
          <w:color w:val="5A626C"/>
          <w:sz w:val="22"/>
        </w:rPr>
        <w:t>Investment horizon: 2 to 4 years, with flexibility to extend toward 5 years if the cycle lengthens</w:t>
      </w:r>
    </w:p>
    <w:tbl>
      <w:tblPr>
        <w:tblW w:type="auto" w:w="0"/>
        <w:jc w:val="center"/>
        <w:tblLayout w:type="fixed"/>
        <w:tblLook w:firstColumn="1" w:firstRow="1" w:lastColumn="0" w:lastRow="0" w:noHBand="0" w:noVBand="1" w:val="04A0"/>
        <w:tblBorders>
          <w:top w:val="single" w:sz="8" w:space="0" w:color="D9E5F4"/>
          <w:left w:val="single" w:sz="8" w:space="0" w:color="D9E5F4"/>
          <w:bottom w:val="single" w:sz="8" w:space="0" w:color="D9E5F4"/>
          <w:right w:val="single" w:sz="8" w:space="0" w:color="D9E5F4"/>
          <w:insideH w:val="single" w:sz="8" w:space="0" w:color="D9E5F4"/>
          <w:insideV w:val="single" w:sz="8" w:space="0" w:color="D9E5F4"/>
        </w:tblBorders>
      </w:tblPr>
      <w:tblGrid>
        <w:gridCol w:w="9792"/>
      </w:tblGrid>
      <w:tr>
        <w:tc>
          <w:tcPr>
            <w:tcW w:type="dxa" w:w="8496"/>
            <w:shd w:fill="EAF0F7"/>
            <w:tcMar>
              <w:top w:w="130" w:type="dxa"/>
              <w:start w:w="160" w:type="dxa"/>
              <w:bottom w:w="130" w:type="dxa"/>
              <w:end w:w="160" w:type="dxa"/>
            </w:tcMar>
            <w:vAlign w:val="center"/>
          </w:tcPr>
          <w:p>
            <w:pPr>
              <w:pStyle w:val="QuoteBox"/>
              <w:jc w:val="center"/>
            </w:pPr>
            <w:r>
              <w:t>This paper presents a market thesis rather than an investment recommendation. The central view is that capital will continue to rotate aggressively across sectors as liquidity conditions set timing and structural forces determine leadership.</w:t>
            </w:r>
          </w:p>
        </w:tc>
      </w:tr>
    </w:tbl>
    <w:p/>
    <w:p/>
    <w:p/>
    <w:p/>
    <w:p/>
    <w:p/>
    <w:p>
      <w:pPr>
        <w:jc w:val="center"/>
      </w:pPr>
      <w:r>
        <w:rPr>
          <w:color w:val="5A626C"/>
          <w:sz w:val="22"/>
        </w:rPr>
        <w:t>Thomas R. Lindsey</w:t>
        <w:br/>
        <w:t>April 2026</w:t>
      </w:r>
    </w:p>
    <w:p>
      <w:r>
        <w:br w:type="page"/>
      </w:r>
    </w:p>
    <w:p>
      <w:pPr>
        <w:pStyle w:val="SectionTitle"/>
      </w:pPr>
      <w:r>
        <w:t>One-Page Brief</w:t>
      </w:r>
    </w:p>
    <w:p>
      <w:pPr>
        <w:spacing w:after="200"/>
      </w:pPr>
      <w:r>
        <w:t>This brief summarizes the thesis at a glance. The emphasis is not on one permanent winning sector. It is on understanding how capital leadership changes across a 2 to 4 year market cycle, and potentially longer if the cycle extends.</w:t>
      </w:r>
    </w:p>
    <w:tbl>
      <w:tblPr>
        <w:tblW w:type="auto" w:w="0"/>
        <w:jc w:val="center"/>
        <w:tblLayout w:type="fixed"/>
        <w:tblLook w:firstColumn="1" w:firstRow="1" w:lastColumn="0" w:lastRow="0" w:noHBand="0" w:noVBand="1" w:val="04A0"/>
        <w:tblBorders>
          <w:top w:val="single" w:sz="8" w:space="0" w:color="D9E5F4"/>
          <w:left w:val="single" w:sz="8" w:space="0" w:color="D9E5F4"/>
          <w:bottom w:val="single" w:sz="8" w:space="0" w:color="D9E5F4"/>
          <w:right w:val="single" w:sz="8" w:space="0" w:color="D9E5F4"/>
          <w:insideH w:val="single" w:sz="8" w:space="0" w:color="D9E5F4"/>
          <w:insideV w:val="single" w:sz="8" w:space="0" w:color="D9E5F4"/>
        </w:tblBorders>
      </w:tblPr>
      <w:tblGrid>
        <w:gridCol w:w="4896"/>
        <w:gridCol w:w="4896"/>
      </w:tblGrid>
      <w:tr>
        <w:tc>
          <w:tcPr>
            <w:tcW w:type="dxa" w:w="3096"/>
            <w:vAlign w:val="center"/>
            <w:tcMar>
              <w:top w:w="125" w:type="dxa"/>
              <w:start w:w="130" w:type="dxa"/>
              <w:bottom w:w="125" w:type="dxa"/>
              <w:end w:w="130" w:type="dxa"/>
            </w:tcMar>
            <w:shd w:fill="F7F9FC"/>
          </w:tcPr>
          <w:p>
            <w:r>
              <w:rPr>
                <w:b/>
                <w:color w:val="172B4D"/>
                <w:sz w:val="21"/>
              </w:rPr>
              <w:t>Core belief</w:t>
            </w:r>
          </w:p>
        </w:tc>
        <w:tc>
          <w:tcPr>
            <w:tcW w:type="dxa" w:w="5976"/>
            <w:vAlign w:val="center"/>
            <w:tcMar>
              <w:top w:w="125" w:type="dxa"/>
              <w:start w:w="130" w:type="dxa"/>
              <w:bottom w:w="125" w:type="dxa"/>
              <w:end w:w="130" w:type="dxa"/>
            </w:tcMar>
          </w:tcPr>
          <w:p>
            <w:r>
              <w:t>Markets are likely to remain adaptive rather than clean. Liquidity will continue to drive short-term timing while structural pressures determine which sectors can hold leadership over the medium term.</w:t>
            </w:r>
          </w:p>
        </w:tc>
      </w:tr>
      <w:tr>
        <w:tc>
          <w:tcPr>
            <w:tcW w:type="dxa" w:w="3096"/>
            <w:vAlign w:val="center"/>
            <w:tcMar>
              <w:top w:w="125" w:type="dxa"/>
              <w:start w:w="130" w:type="dxa"/>
              <w:bottom w:w="125" w:type="dxa"/>
              <w:end w:w="130" w:type="dxa"/>
            </w:tcMar>
            <w:shd w:fill="F7F9FC"/>
          </w:tcPr>
          <w:p>
            <w:r>
              <w:rPr>
                <w:b/>
                <w:color w:val="172B4D"/>
                <w:sz w:val="21"/>
              </w:rPr>
              <w:t>Time horizon</w:t>
            </w:r>
          </w:p>
        </w:tc>
        <w:tc>
          <w:tcPr>
            <w:tcW w:type="dxa" w:w="5976"/>
            <w:vAlign w:val="center"/>
            <w:tcMar>
              <w:top w:w="125" w:type="dxa"/>
              <w:start w:w="130" w:type="dxa"/>
              <w:bottom w:w="125" w:type="dxa"/>
              <w:end w:w="130" w:type="dxa"/>
            </w:tcMar>
          </w:tcPr>
          <w:p>
            <w:r>
              <w:t>The thesis is framed over the next 2 to 4 years, with room to extend toward 5 years if capital rotation remains unusually fast and policy remains highly influential.</w:t>
            </w:r>
          </w:p>
        </w:tc>
      </w:tr>
      <w:tr>
        <w:tc>
          <w:tcPr>
            <w:tcW w:type="dxa" w:w="3096"/>
            <w:vAlign w:val="center"/>
            <w:tcMar>
              <w:top w:w="125" w:type="dxa"/>
              <w:start w:w="130" w:type="dxa"/>
              <w:bottom w:w="125" w:type="dxa"/>
              <w:end w:w="130" w:type="dxa"/>
            </w:tcMar>
            <w:shd w:fill="F7F9FC"/>
          </w:tcPr>
          <w:p>
            <w:r>
              <w:rPr>
                <w:b/>
                <w:color w:val="172B4D"/>
                <w:sz w:val="21"/>
              </w:rPr>
              <w:t>Primary market lens</w:t>
            </w:r>
          </w:p>
        </w:tc>
        <w:tc>
          <w:tcPr>
            <w:tcW w:type="dxa" w:w="5976"/>
            <w:vAlign w:val="center"/>
            <w:tcMar>
              <w:top w:w="125" w:type="dxa"/>
              <w:start w:w="130" w:type="dxa"/>
              <w:bottom w:w="125" w:type="dxa"/>
              <w:end w:w="130" w:type="dxa"/>
            </w:tcMar>
          </w:tcPr>
          <w:p>
            <w:r>
              <w:t>Read the market through two layers: first, liquidity conditions and policy expectations; second, structural drivers such as AI capex, energy demand, supply constraints, and strategic resource stress.</w:t>
            </w:r>
          </w:p>
        </w:tc>
      </w:tr>
      <w:tr>
        <w:tc>
          <w:tcPr>
            <w:tcW w:type="dxa" w:w="3096"/>
            <w:vAlign w:val="center"/>
            <w:tcMar>
              <w:top w:w="125" w:type="dxa"/>
              <w:start w:w="130" w:type="dxa"/>
              <w:bottom w:w="125" w:type="dxa"/>
              <w:end w:w="130" w:type="dxa"/>
            </w:tcMar>
            <w:shd w:fill="F7F9FC"/>
          </w:tcPr>
          <w:p>
            <w:r>
              <w:rPr>
                <w:b/>
                <w:color w:val="172B4D"/>
                <w:sz w:val="21"/>
              </w:rPr>
              <w:t>Portfolio implication</w:t>
            </w:r>
          </w:p>
        </w:tc>
        <w:tc>
          <w:tcPr>
            <w:tcW w:type="dxa" w:w="5976"/>
            <w:vAlign w:val="center"/>
            <w:tcMar>
              <w:top w:w="125" w:type="dxa"/>
              <w:start w:w="130" w:type="dxa"/>
              <w:bottom w:w="125" w:type="dxa"/>
              <w:end w:w="130" w:type="dxa"/>
            </w:tcMar>
          </w:tcPr>
          <w:p>
            <w:r>
              <w:t>Favor flexible positioning over static conviction. Cash matters as optionality. Leadership can rotate from technology and crypto into energy, commodities, agriculture, gold, or defense depending on which pressure point the market is discounting next.</w:t>
            </w:r>
          </w:p>
        </w:tc>
      </w:tr>
    </w:tbl>
    <w:p/>
    <w:tbl>
      <w:tblPr>
        <w:tblW w:type="auto" w:w="0"/>
        <w:jc w:val="center"/>
        <w:tblLayout w:type="fixed"/>
        <w:tblLook w:firstColumn="1" w:firstRow="1" w:lastColumn="0" w:lastRow="0" w:noHBand="0" w:noVBand="1" w:val="04A0"/>
        <w:tblBorders>
          <w:top w:val="single" w:sz="8" w:space="0" w:color="D9E5F4"/>
          <w:left w:val="single" w:sz="8" w:space="0" w:color="D9E5F4"/>
          <w:bottom w:val="single" w:sz="8" w:space="0" w:color="D9E5F4"/>
          <w:right w:val="single" w:sz="8" w:space="0" w:color="D9E5F4"/>
          <w:insideH w:val="single" w:sz="8" w:space="0" w:color="D9E5F4"/>
          <w:insideV w:val="single" w:sz="8" w:space="0" w:color="D9E5F4"/>
        </w:tblBorders>
      </w:tblPr>
      <w:tblGrid>
        <w:gridCol w:w="4896"/>
        <w:gridCol w:w="4896"/>
      </w:tblGrid>
      <w:tr>
        <w:tc>
          <w:tcPr>
            <w:tcW w:type="dxa" w:w="4536"/>
            <w:shd w:fill="D9E5F4"/>
            <w:tcMar>
              <w:top w:w="110" w:type="dxa"/>
              <w:start w:w="120" w:type="dxa"/>
              <w:bottom w:w="110" w:type="dxa"/>
              <w:end w:w="120" w:type="dxa"/>
            </w:tcMar>
          </w:tcPr>
          <w:p>
            <w:r>
              <w:rPr>
                <w:b/>
                <w:color w:val="172B4D"/>
                <w:sz w:val="21"/>
              </w:rPr>
              <w:t>What this thesis emphasizes</w:t>
            </w:r>
          </w:p>
        </w:tc>
        <w:tc>
          <w:tcPr>
            <w:tcW w:type="dxa" w:w="4536"/>
            <w:shd w:fill="D9E5F4"/>
            <w:tcMar>
              <w:top w:w="110" w:type="dxa"/>
              <w:start w:w="120" w:type="dxa"/>
              <w:bottom w:w="110" w:type="dxa"/>
              <w:end w:w="120" w:type="dxa"/>
            </w:tcMar>
          </w:tcPr>
          <w:p>
            <w:r>
              <w:rPr>
                <w:b/>
                <w:color w:val="172B4D"/>
                <w:sz w:val="21"/>
              </w:rPr>
              <w:t>Important clarification on leadership</w:t>
            </w:r>
          </w:p>
        </w:tc>
      </w:tr>
      <w:tr>
        <w:tc>
          <w:tcPr>
            <w:tcW w:type="dxa" w:w="4536"/>
            <w:tcMar>
              <w:top w:w="120" w:type="dxa"/>
              <w:start w:w="120" w:type="dxa"/>
              <w:bottom w:w="120" w:type="dxa"/>
              <w:end w:w="120" w:type="dxa"/>
            </w:tcMar>
          </w:tcPr>
          <w:p>
            <w:r>
              <w:t>Leadership is defined as the set of sectors, assets, or themes attracting the strongest marginal capital flows within a given market state. That leadership can change quickly and does not imply one permanent macro winner.</w:t>
            </w:r>
          </w:p>
        </w:tc>
        <w:tc>
          <w:tcPr>
            <w:tcW w:type="dxa" w:w="4536"/>
            <w:tcMar>
              <w:top w:w="120" w:type="dxa"/>
              <w:start w:w="120" w:type="dxa"/>
              <w:bottom w:w="120" w:type="dxa"/>
              <w:end w:w="120" w:type="dxa"/>
            </w:tcMar>
          </w:tcPr>
          <w:p>
            <w:r>
              <w:t>Leadership in this document does not refer to political leadership or geographic dominance. It refers to the leading drivers inside liquidity-led market states and the assets most likely to benefit as the market reprices changing conditions.</w:t>
            </w:r>
          </w:p>
        </w:tc>
      </w:tr>
    </w:tbl>
    <w:p/>
    <w:p>
      <w:pPr>
        <w:pStyle w:val="MiniHead"/>
      </w:pPr>
      <w:r>
        <w:t>High-level regime read</w:t>
      </w:r>
    </w:p>
    <w:p>
      <w:pPr>
        <w:ind w:left="288" w:hanging="259"/>
      </w:pPr>
      <w:r>
        <w:rPr>
          <w:b/>
        </w:rPr>
        <w:t xml:space="preserve">• </w:t>
      </w:r>
      <w:r>
        <w:t>Liquidity-led phases tend to favor technology, AI-linked leadership, index concentration, and crypto beta</w:t>
      </w:r>
    </w:p>
    <w:p>
      <w:pPr>
        <w:ind w:left="288" w:hanging="259"/>
      </w:pPr>
      <w:r>
        <w:rPr>
          <w:b/>
        </w:rPr>
        <w:t xml:space="preserve">• </w:t>
      </w:r>
      <w:r>
        <w:t>Structural stress phases tend to shift leadership toward energy, selected commodities, agriculture, gold, and at times defense</w:t>
      </w:r>
    </w:p>
    <w:p>
      <w:pPr>
        <w:ind w:left="288" w:hanging="259"/>
      </w:pPr>
      <w:r>
        <w:rPr>
          <w:b/>
        </w:rPr>
        <w:t xml:space="preserve">• </w:t>
      </w:r>
      <w:r>
        <w:t>Broad panic and sideways churn increase the value of cash, patience, and staged redeployment</w:t>
      </w:r>
    </w:p>
    <w:p>
      <w:r>
        <w:br w:type="page"/>
      </w:r>
    </w:p>
    <w:p>
      <w:pPr>
        <w:pStyle w:val="SectionTitle"/>
      </w:pPr>
      <w:r>
        <w:t>Executive Summary</w:t>
      </w:r>
    </w:p>
    <w:p>
      <w:r>
        <w:t>This thesis begins with a simple observation: the market is not moving through a clean recovery cycle. Instead, capital is rotating across sectors and asset classes as liquidity conditions change faster than structural problems can be resolved. That has important consequences for both timing and positioning.</w:t>
      </w:r>
    </w:p>
    <w:p>
      <w:r>
        <w:t>The core belief is that the next 2 to 4 years, and potentially longer if the cycle extends, will be defined by a two-speed market. On one speed, liquidity, policy expectations, and sentiment will continue to drive short-term rallies, selloffs, and sudden leadership changes. On the other speed, structural forces such as energy demand, AI infrastructure, geopolitical competition, fiscal reallocation, and supply stress will shape the sectors that gain leadership over the medium term.</w:t>
      </w:r>
    </w:p>
    <w:p>
      <w:r>
        <w:t>Under this framework, there is no need to assume one linear outcome. The market can price risk aggressively while still sending capital into technology. It can reward commodities in bursts without creating a decade-long supercycle. It can favor cash during panic and then force rapid re-entry when liquidity improves. The objective is not to predict a single ending. It is to understand where capital is most likely to move as conditions evolve.</w:t>
      </w:r>
    </w:p>
    <w:p>
      <w:r>
        <w:t>This paper therefore presents a macro thesis rather than a narrow forecast. The goal is to frame how leadership may shift across technology, crypto, energy, defense, metals, agriculture, gold, and cash within an unstable but highly adaptive market structure. In this context, leadership refers to the leading drivers inside liquidity market states, not political leadership or geographic dominance.</w:t>
      </w:r>
    </w:p>
    <w:p>
      <w:pPr>
        <w:pStyle w:val="SectionTitle"/>
      </w:pPr>
      <w:r>
        <w:t>Thesis Foundation</w:t>
      </w:r>
    </w:p>
    <w:p>
      <w:r>
        <w:t>The foundation of the thesis is that market behavior is increasingly shaped by the interaction between liquidity cycles and structural constraints. Traditional top-down narratives often overweight one side of that equation. They focus either on weak fundamentals and conclude that risk assets must eventually collapse, or they focus on policy support and conclude that everything can keep levitating. Both views miss the more useful middle ground.</w:t>
      </w:r>
    </w:p>
    <w:p>
      <w:r>
        <w:t>The more coherent view is that capital will continue to migrate toward whichever sectors best absorb the market’s current pressure point. When policy becomes more supportive, capital may move rapidly back into technology, indices, and crypto. When energy stress, supply pressure, or geopolitical escalation intensifies, leadership can move just as quickly toward real assets and resource-linked exposure.</w:t>
      </w:r>
    </w:p>
    <w:p>
      <w:r>
        <w:t>This framing also explains why the same broad macro environment can produce very different market outcomes across time horizons. A weak economy does not automatically translate into weak markets. A powerful rally does not automatically mean the underlying economy has been repaired. Leadership depends on which problem the market is discounting next and which assets are most closely tied to that problem.</w:t>
      </w:r>
    </w:p>
    <w:p>
      <w:pPr>
        <w:pStyle w:val="SectionTitle"/>
      </w:pPr>
      <w:r>
        <w:t>Time Horizon and Scope</w:t>
      </w:r>
    </w:p>
    <w:p>
      <w:r>
        <w:t>The intended horizon for this thesis is 2 to 4 years, with room to extend toward 5 years if the current cycle proves more durable than expected. That time frame matters because it shifts the focus away from day-to-day headlines and toward capital flows that can sustain themselves over multiple quarters.</w:t>
      </w:r>
    </w:p>
    <w:p>
      <w:r>
        <w:t>This is also why the thesis is broader than any one current event. The regime framework is relevant to the present climate, yet it is not meant to be trapped inside it. The aim is to describe how capital tends to behave across recurring combinations of inflation pressure, growth pressure, policy support, and strategic resource stress.</w:t>
      </w:r>
    </w:p>
    <w:p>
      <w:pPr>
        <w:pStyle w:val="SectionTitle"/>
      </w:pPr>
      <w:r>
        <w:t>Two-Speed Market Framework</w:t>
      </w:r>
    </w:p>
    <w:p>
      <w:pPr>
        <w:pStyle w:val="Subhead"/>
      </w:pPr>
      <w:r>
        <w:t>Liquidity layer</w:t>
      </w:r>
    </w:p>
    <w:p>
      <w:r>
        <w:t>Liquidity remains the dominant short-term force. Changes in rate expectations, central bank posture, fiscal support, sentiment, and positioning can overwhelm fundamentals for months at a time. This is the layer that most often drives large-cap technology, index momentum, and crypto beta.</w:t>
      </w:r>
    </w:p>
    <w:p>
      <w:pPr>
        <w:pStyle w:val="Subhead"/>
      </w:pPr>
      <w:r>
        <w:t>Structural layer</w:t>
      </w:r>
    </w:p>
    <w:p>
      <w:r>
        <w:t>Structural forces determine where leadership can persist once the market begins to reprice something real. Energy security, AI capex, industrial bottlenecks, resource nationalism, shipping stress, and supply-chain fragility are examples of forces that do not disappear simply because risk appetite improves.</w:t>
      </w:r>
    </w:p>
    <w:p>
      <w:pPr>
        <w:pStyle w:val="Subhead"/>
      </w:pPr>
      <w:r>
        <w:t>Why the interaction matters</w:t>
      </w:r>
    </w:p>
    <w:p>
      <w:r>
        <w:t>Liquidity tells investors when they can press. Structural forces suggest where they should press. The market becomes most dangerous when one of these layers is interpreted without the other. A structurally bullish theme can underperform badly if liquidity is withdrawing. A weak macro backdrop can still deliver powerful rallies if the market begins to discount easier conditions.</w:t>
      </w:r>
    </w:p>
    <w:p>
      <w:pPr>
        <w:pStyle w:val="SectionTitle"/>
      </w:pPr>
      <w:r>
        <w:t>Key Strategic Themes</w:t>
      </w:r>
    </w:p>
    <w:p>
      <w:r>
        <w:t>The thesis rests on five strategic themes that help explain why leadership should continue to rotate rather than resolve into one clean bull market or one clean collapse.</w:t>
      </w:r>
    </w:p>
    <w:tbl>
      <w:tblPr>
        <w:tblW w:type="auto" w:w="0"/>
        <w:jc w:val="center"/>
        <w:tblLayout w:type="fixed"/>
        <w:tblLook w:firstColumn="1" w:firstRow="1" w:lastColumn="0" w:lastRow="0" w:noHBand="0" w:noVBand="1" w:val="04A0"/>
        <w:tblBorders>
          <w:top w:val="single" w:sz="8" w:space="0" w:color="E0E7F0"/>
          <w:left w:val="single" w:sz="8" w:space="0" w:color="E0E7F0"/>
          <w:bottom w:val="single" w:sz="8" w:space="0" w:color="E0E7F0"/>
          <w:right w:val="single" w:sz="8" w:space="0" w:color="E0E7F0"/>
          <w:insideH w:val="single" w:sz="8" w:space="0" w:color="E0E7F0"/>
          <w:insideV w:val="single" w:sz="8" w:space="0" w:color="E0E7F0"/>
        </w:tblBorders>
      </w:tblPr>
      <w:tblGrid>
        <w:gridCol w:w="9792"/>
      </w:tblGrid>
      <w:tr>
        <w:tc>
          <w:tcPr>
            <w:tcW w:type="dxa" w:w="9000"/>
            <w:shd w:fill="F7F9FC"/>
            <w:tcMar>
              <w:top w:w="120" w:type="dxa"/>
              <w:start w:w="140" w:type="dxa"/>
              <w:bottom w:w="120" w:type="dxa"/>
              <w:end w:w="140" w:type="dxa"/>
            </w:tcMar>
          </w:tcPr>
          <w:p>
            <w:r>
              <w:rPr>
                <w:b/>
                <w:color w:val="172B4D"/>
                <w:sz w:val="23"/>
              </w:rPr>
              <w:t>Liquidity remains the dominant short-term force</w:t>
            </w:r>
          </w:p>
          <w:p>
            <w:pPr>
              <w:spacing w:after="0"/>
            </w:pPr>
            <w:r>
              <w:t>Asset prices can rise during weak economic conditions if policy expectations improve or if liquidity is redirected rather than fully withdrawn. This is why timing cannot be inferred from fundamentals alone.</w:t>
            </w:r>
          </w:p>
        </w:tc>
      </w:tr>
    </w:tbl>
    <w:p/>
    <w:tbl>
      <w:tblPr>
        <w:tblW w:type="auto" w:w="0"/>
        <w:jc w:val="center"/>
        <w:tblLayout w:type="fixed"/>
        <w:tblLook w:firstColumn="1" w:firstRow="1" w:lastColumn="0" w:lastRow="0" w:noHBand="0" w:noVBand="1" w:val="04A0"/>
        <w:tblBorders>
          <w:top w:val="single" w:sz="8" w:space="0" w:color="E0E7F0"/>
          <w:left w:val="single" w:sz="8" w:space="0" w:color="E0E7F0"/>
          <w:bottom w:val="single" w:sz="8" w:space="0" w:color="E0E7F0"/>
          <w:right w:val="single" w:sz="8" w:space="0" w:color="E0E7F0"/>
          <w:insideH w:val="single" w:sz="8" w:space="0" w:color="E0E7F0"/>
          <w:insideV w:val="single" w:sz="8" w:space="0" w:color="E0E7F0"/>
        </w:tblBorders>
      </w:tblPr>
      <w:tblGrid>
        <w:gridCol w:w="9792"/>
      </w:tblGrid>
      <w:tr>
        <w:tc>
          <w:tcPr>
            <w:tcW w:type="dxa" w:w="9000"/>
            <w:shd w:fill="F7F9FC"/>
            <w:tcMar>
              <w:top w:w="120" w:type="dxa"/>
              <w:start w:w="140" w:type="dxa"/>
              <w:bottom w:w="120" w:type="dxa"/>
              <w:end w:w="140" w:type="dxa"/>
            </w:tcMar>
          </w:tcPr>
          <w:p>
            <w:r>
              <w:rPr>
                <w:b/>
                <w:color w:val="172B4D"/>
                <w:sz w:val="23"/>
              </w:rPr>
              <w:t>Structural stress determines medium-term leadership</w:t>
            </w:r>
          </w:p>
          <w:p>
            <w:pPr>
              <w:spacing w:after="0"/>
            </w:pPr>
            <w:r>
              <w:t>When the market has to reprice energy security, logistics, industrial policy, or supply constraints, leadership shifts toward the sectors sitting closest to the real bottleneck.</w:t>
            </w:r>
          </w:p>
        </w:tc>
      </w:tr>
    </w:tbl>
    <w:p/>
    <w:tbl>
      <w:tblPr>
        <w:tblW w:type="auto" w:w="0"/>
        <w:jc w:val="center"/>
        <w:tblLayout w:type="fixed"/>
        <w:tblLook w:firstColumn="1" w:firstRow="1" w:lastColumn="0" w:lastRow="0" w:noHBand="0" w:noVBand="1" w:val="04A0"/>
        <w:tblBorders>
          <w:top w:val="single" w:sz="8" w:space="0" w:color="E0E7F0"/>
          <w:left w:val="single" w:sz="8" w:space="0" w:color="E0E7F0"/>
          <w:bottom w:val="single" w:sz="8" w:space="0" w:color="E0E7F0"/>
          <w:right w:val="single" w:sz="8" w:space="0" w:color="E0E7F0"/>
          <w:insideH w:val="single" w:sz="8" w:space="0" w:color="E0E7F0"/>
          <w:insideV w:val="single" w:sz="8" w:space="0" w:color="E0E7F0"/>
        </w:tblBorders>
      </w:tblPr>
      <w:tblGrid>
        <w:gridCol w:w="9792"/>
      </w:tblGrid>
      <w:tr>
        <w:tc>
          <w:tcPr>
            <w:tcW w:type="dxa" w:w="9000"/>
            <w:shd w:fill="F7F9FC"/>
            <w:tcMar>
              <w:top w:w="120" w:type="dxa"/>
              <w:start w:w="140" w:type="dxa"/>
              <w:bottom w:w="120" w:type="dxa"/>
              <w:end w:w="140" w:type="dxa"/>
            </w:tcMar>
          </w:tcPr>
          <w:p>
            <w:r>
              <w:rPr>
                <w:b/>
                <w:color w:val="172B4D"/>
                <w:sz w:val="23"/>
              </w:rPr>
              <w:t>AI and energy are linked, not separate stories</w:t>
            </w:r>
          </w:p>
          <w:p>
            <w:pPr>
              <w:spacing w:after="0"/>
            </w:pPr>
            <w:r>
              <w:t>AI may appear to be a software-driven theme, yet the capital expenditure required to support it is deeply tied to power, grids, semiconductors, cooling, and infrastructure. Technology leadership and energy strength can therefore coexist.</w:t>
            </w:r>
          </w:p>
        </w:tc>
      </w:tr>
    </w:tbl>
    <w:p/>
    <w:tbl>
      <w:tblPr>
        <w:tblW w:type="auto" w:w="0"/>
        <w:jc w:val="center"/>
        <w:tblLayout w:type="fixed"/>
        <w:tblLook w:firstColumn="1" w:firstRow="1" w:lastColumn="0" w:lastRow="0" w:noHBand="0" w:noVBand="1" w:val="04A0"/>
        <w:tblBorders>
          <w:top w:val="single" w:sz="8" w:space="0" w:color="E0E7F0"/>
          <w:left w:val="single" w:sz="8" w:space="0" w:color="E0E7F0"/>
          <w:bottom w:val="single" w:sz="8" w:space="0" w:color="E0E7F0"/>
          <w:right w:val="single" w:sz="8" w:space="0" w:color="E0E7F0"/>
          <w:insideH w:val="single" w:sz="8" w:space="0" w:color="E0E7F0"/>
          <w:insideV w:val="single" w:sz="8" w:space="0" w:color="E0E7F0"/>
        </w:tblBorders>
      </w:tblPr>
      <w:tblGrid>
        <w:gridCol w:w="9792"/>
      </w:tblGrid>
      <w:tr>
        <w:tc>
          <w:tcPr>
            <w:tcW w:type="dxa" w:w="9000"/>
            <w:shd w:fill="F7F9FC"/>
            <w:tcMar>
              <w:top w:w="120" w:type="dxa"/>
              <w:start w:w="140" w:type="dxa"/>
              <w:bottom w:w="120" w:type="dxa"/>
              <w:end w:w="140" w:type="dxa"/>
            </w:tcMar>
          </w:tcPr>
          <w:p>
            <w:r>
              <w:rPr>
                <w:b/>
                <w:color w:val="172B4D"/>
                <w:sz w:val="23"/>
              </w:rPr>
              <w:t>Commodities often lead rather than constantly drive</w:t>
            </w:r>
          </w:p>
          <w:p>
            <w:pPr>
              <w:spacing w:after="0"/>
            </w:pPr>
            <w:r>
              <w:t>Commodity markets often move first because they sit closest to physical stress. They can surge in bursts, consolidate for long stretches, and then reprice again. That pattern makes them especially useful as leading indicators of pressure.</w:t>
            </w:r>
          </w:p>
        </w:tc>
      </w:tr>
    </w:tbl>
    <w:p/>
    <w:tbl>
      <w:tblPr>
        <w:tblW w:type="auto" w:w="0"/>
        <w:jc w:val="center"/>
        <w:tblLayout w:type="fixed"/>
        <w:tblLook w:firstColumn="1" w:firstRow="1" w:lastColumn="0" w:lastRow="0" w:noHBand="0" w:noVBand="1" w:val="04A0"/>
        <w:tblBorders>
          <w:top w:val="single" w:sz="8" w:space="0" w:color="E0E7F0"/>
          <w:left w:val="single" w:sz="8" w:space="0" w:color="E0E7F0"/>
          <w:bottom w:val="single" w:sz="8" w:space="0" w:color="E0E7F0"/>
          <w:right w:val="single" w:sz="8" w:space="0" w:color="E0E7F0"/>
          <w:insideH w:val="single" w:sz="8" w:space="0" w:color="E0E7F0"/>
          <w:insideV w:val="single" w:sz="8" w:space="0" w:color="E0E7F0"/>
        </w:tblBorders>
      </w:tblPr>
      <w:tblGrid>
        <w:gridCol w:w="9792"/>
      </w:tblGrid>
      <w:tr>
        <w:tc>
          <w:tcPr>
            <w:tcW w:type="dxa" w:w="9000"/>
            <w:shd w:fill="F7F9FC"/>
            <w:tcMar>
              <w:top w:w="120" w:type="dxa"/>
              <w:start w:w="140" w:type="dxa"/>
              <w:bottom w:w="120" w:type="dxa"/>
              <w:end w:w="140" w:type="dxa"/>
            </w:tcMar>
          </w:tcPr>
          <w:p>
            <w:r>
              <w:rPr>
                <w:b/>
                <w:color w:val="172B4D"/>
                <w:sz w:val="23"/>
              </w:rPr>
              <w:t>Agriculture is difficult, and that difficulty can create asymmetry</w:t>
            </w:r>
          </w:p>
          <w:p>
            <w:pPr>
              <w:spacing w:after="0"/>
            </w:pPr>
            <w:r>
              <w:t>Agriculture is affected by energy costs, fertilizer, weather, freight, trade policy, and geopolitical stress. The same complexity that makes it hard to trade can also create outsized opportunity when the setup becomes clear.</w:t>
            </w:r>
          </w:p>
        </w:tc>
      </w:tr>
    </w:tbl>
    <w:p/>
    <w:p>
      <w:pPr>
        <w:pStyle w:val="SectionTitle"/>
      </w:pPr>
      <w:r>
        <w:t>Regime Map</w:t>
      </w:r>
    </w:p>
    <w:p>
      <w:r>
        <w:t>The regime map below is designed for a 2 to 4 year cycle focus, with optional extension toward 5 years if conditions remain unstable and liquidity-sensitive. It is intended to show how capital leadership may shift as the market discounts different mixes of growth pressure, inflation pressure, policy support, and resource stress.</w:t>
      </w:r>
    </w:p>
    <w:tbl>
      <w:tblPr>
        <w:tblW w:type="auto" w:w="0"/>
        <w:jc w:val="center"/>
        <w:tblLayout w:type="fixed"/>
        <w:tblLook w:firstColumn="1" w:firstRow="1" w:lastColumn="0" w:lastRow="0" w:noHBand="0" w:noVBand="1" w:val="04A0"/>
        <w:tblBorders>
          <w:top w:val="single" w:sz="8" w:space="0" w:color="D9E5F4"/>
          <w:left w:val="single" w:sz="8" w:space="0" w:color="D9E5F4"/>
          <w:bottom w:val="single" w:sz="8" w:space="0" w:color="D9E5F4"/>
          <w:right w:val="single" w:sz="8" w:space="0" w:color="D9E5F4"/>
          <w:insideH w:val="single" w:sz="8" w:space="0" w:color="D9E5F4"/>
          <w:insideV w:val="single" w:sz="8" w:space="0" w:color="D9E5F4"/>
        </w:tblBorders>
      </w:tblPr>
      <w:tblGrid>
        <w:gridCol w:w="2448"/>
        <w:gridCol w:w="2448"/>
        <w:gridCol w:w="2448"/>
        <w:gridCol w:w="2448"/>
      </w:tblGrid>
      <w:tr>
        <w:trPr>
          <w:tblHeader w:val="true"/>
        </w:trPr>
        <w:tc>
          <w:tcPr>
            <w:tcW w:type="dxa" w:w="1800"/>
            <w:shd w:fill="D9E5F4"/>
            <w:tcMar>
              <w:top w:w="110" w:type="dxa"/>
              <w:start w:w="100" w:type="dxa"/>
              <w:bottom w:w="110" w:type="dxa"/>
              <w:end w:w="100" w:type="dxa"/>
            </w:tcMar>
            <w:vAlign w:val="center"/>
          </w:tcPr>
          <w:p>
            <w:pPr>
              <w:jc w:val="center"/>
            </w:pPr>
            <w:r>
              <w:rPr>
                <w:b/>
                <w:color w:val="172B4D"/>
                <w:sz w:val="20"/>
              </w:rPr>
              <w:t>Regime</w:t>
            </w:r>
          </w:p>
        </w:tc>
        <w:tc>
          <w:tcPr>
            <w:tcW w:type="dxa" w:w="3024"/>
            <w:shd w:fill="D9E5F4"/>
            <w:tcMar>
              <w:top w:w="110" w:type="dxa"/>
              <w:start w:w="100" w:type="dxa"/>
              <w:bottom w:w="110" w:type="dxa"/>
              <w:end w:w="100" w:type="dxa"/>
            </w:tcMar>
            <w:vAlign w:val="center"/>
          </w:tcPr>
          <w:p>
            <w:pPr>
              <w:jc w:val="center"/>
            </w:pPr>
            <w:r>
              <w:rPr>
                <w:b/>
                <w:color w:val="172B4D"/>
                <w:sz w:val="20"/>
              </w:rPr>
              <w:t>Typical Conditions</w:t>
            </w:r>
          </w:p>
        </w:tc>
        <w:tc>
          <w:tcPr>
            <w:tcW w:type="dxa" w:w="2808"/>
            <w:shd w:fill="D9E5F4"/>
            <w:tcMar>
              <w:top w:w="110" w:type="dxa"/>
              <w:start w:w="100" w:type="dxa"/>
              <w:bottom w:w="110" w:type="dxa"/>
              <w:end w:w="100" w:type="dxa"/>
            </w:tcMar>
            <w:vAlign w:val="center"/>
          </w:tcPr>
          <w:p>
            <w:pPr>
              <w:jc w:val="center"/>
            </w:pPr>
            <w:r>
              <w:rPr>
                <w:b/>
                <w:color w:val="172B4D"/>
                <w:sz w:val="20"/>
              </w:rPr>
              <w:t>Likely Capital Preference</w:t>
            </w:r>
          </w:p>
        </w:tc>
        <w:tc>
          <w:tcPr>
            <w:tcW w:type="dxa" w:w="2016"/>
            <w:shd w:fill="D9E5F4"/>
            <w:tcMar>
              <w:top w:w="110" w:type="dxa"/>
              <w:start w:w="100" w:type="dxa"/>
              <w:bottom w:w="110" w:type="dxa"/>
              <w:end w:w="100" w:type="dxa"/>
            </w:tcMar>
            <w:vAlign w:val="center"/>
          </w:tcPr>
          <w:p>
            <w:pPr>
              <w:jc w:val="center"/>
            </w:pPr>
            <w:r>
              <w:rPr>
                <w:b/>
                <w:color w:val="172B4D"/>
                <w:sz w:val="20"/>
              </w:rPr>
              <w:t>Cash Posture</w:t>
            </w:r>
          </w:p>
        </w:tc>
      </w:tr>
      <w:tr>
        <w:tc>
          <w:tcPr>
            <w:tcW w:type="dxa" w:w="1800"/>
            <w:tcMar>
              <w:top w:w="110" w:type="dxa"/>
              <w:start w:w="100" w:type="dxa"/>
              <w:bottom w:w="110" w:type="dxa"/>
              <w:end w:w="100" w:type="dxa"/>
            </w:tcMar>
            <w:vAlign w:val="center"/>
            <w:shd w:fill="F7F9FC"/>
          </w:tcPr>
          <w:p>
            <w:pPr>
              <w:spacing w:after="40"/>
            </w:pPr>
            <w:r>
              <w:rPr>
                <w:sz w:val="18"/>
              </w:rPr>
              <w:t>War escalation</w:t>
            </w:r>
          </w:p>
        </w:tc>
        <w:tc>
          <w:tcPr>
            <w:tcW w:type="dxa" w:w="3024"/>
            <w:tcMar>
              <w:top w:w="110" w:type="dxa"/>
              <w:start w:w="100" w:type="dxa"/>
              <w:bottom w:w="110" w:type="dxa"/>
              <w:end w:w="100" w:type="dxa"/>
            </w:tcMar>
            <w:vAlign w:val="center"/>
          </w:tcPr>
          <w:p>
            <w:pPr>
              <w:spacing w:after="40"/>
            </w:pPr>
            <w:r>
              <w:rPr>
                <w:sz w:val="18"/>
              </w:rPr>
              <w:t>Resource insecurity rises. Energy shocks and logistics risk become more important than broad risk appetite.</w:t>
            </w:r>
          </w:p>
        </w:tc>
        <w:tc>
          <w:tcPr>
            <w:tcW w:type="dxa" w:w="2808"/>
            <w:tcMar>
              <w:top w:w="110" w:type="dxa"/>
              <w:start w:w="100" w:type="dxa"/>
              <w:bottom w:w="110" w:type="dxa"/>
              <w:end w:w="100" w:type="dxa"/>
            </w:tcMar>
            <w:vAlign w:val="center"/>
          </w:tcPr>
          <w:p>
            <w:pPr>
              <w:spacing w:after="40"/>
            </w:pPr>
            <w:r>
              <w:rPr>
                <w:sz w:val="18"/>
              </w:rPr>
              <w:t>Energy first. Agriculture and gold strengthen. Defense can reaccelerate if the conflict broadens materially.</w:t>
            </w:r>
          </w:p>
        </w:tc>
        <w:tc>
          <w:tcPr>
            <w:tcW w:type="dxa" w:w="2016"/>
            <w:tcMar>
              <w:top w:w="110" w:type="dxa"/>
              <w:start w:w="100" w:type="dxa"/>
              <w:bottom w:w="110" w:type="dxa"/>
              <w:end w:w="100" w:type="dxa"/>
            </w:tcMar>
            <w:vAlign w:val="center"/>
          </w:tcPr>
          <w:p>
            <w:pPr>
              <w:spacing w:after="40"/>
              <w:jc w:val="center"/>
            </w:pPr>
            <w:r>
              <w:rPr>
                <w:sz w:val="18"/>
              </w:rPr>
              <w:t>Slight increase</w:t>
            </w:r>
          </w:p>
        </w:tc>
      </w:tr>
      <w:tr>
        <w:tc>
          <w:tcPr>
            <w:tcW w:type="dxa" w:w="1800"/>
            <w:tcMar>
              <w:top w:w="110" w:type="dxa"/>
              <w:start w:w="100" w:type="dxa"/>
              <w:bottom w:w="110" w:type="dxa"/>
              <w:end w:w="100" w:type="dxa"/>
            </w:tcMar>
            <w:vAlign w:val="center"/>
            <w:shd w:fill="F7F9FC"/>
          </w:tcPr>
          <w:p>
            <w:pPr>
              <w:spacing w:after="40"/>
            </w:pPr>
            <w:r>
              <w:rPr>
                <w:sz w:val="18"/>
              </w:rPr>
              <w:t>Inflation shock</w:t>
            </w:r>
          </w:p>
        </w:tc>
        <w:tc>
          <w:tcPr>
            <w:tcW w:type="dxa" w:w="3024"/>
            <w:tcMar>
              <w:top w:w="110" w:type="dxa"/>
              <w:start w:w="100" w:type="dxa"/>
              <w:bottom w:w="110" w:type="dxa"/>
              <w:end w:w="100" w:type="dxa"/>
            </w:tcMar>
            <w:vAlign w:val="center"/>
          </w:tcPr>
          <w:p>
            <w:pPr>
              <w:spacing w:after="40"/>
            </w:pPr>
            <w:r>
              <w:rPr>
                <w:sz w:val="18"/>
              </w:rPr>
              <w:t>Input prices rise and policy flexibility narrows. Real economy pressure broadens beyond one sector.</w:t>
            </w:r>
          </w:p>
        </w:tc>
        <w:tc>
          <w:tcPr>
            <w:tcW w:type="dxa" w:w="2808"/>
            <w:tcMar>
              <w:top w:w="110" w:type="dxa"/>
              <w:start w:w="100" w:type="dxa"/>
              <w:bottom w:w="110" w:type="dxa"/>
              <w:end w:w="100" w:type="dxa"/>
            </w:tcMar>
            <w:vAlign w:val="center"/>
          </w:tcPr>
          <w:p>
            <w:pPr>
              <w:spacing w:after="40"/>
            </w:pPr>
            <w:r>
              <w:rPr>
                <w:sz w:val="18"/>
              </w:rPr>
              <w:t>Energy, broad commodities, and selected value exposures tend to hold leadership longer than duration-heavy growth.</w:t>
            </w:r>
          </w:p>
        </w:tc>
        <w:tc>
          <w:tcPr>
            <w:tcW w:type="dxa" w:w="2016"/>
            <w:tcMar>
              <w:top w:w="110" w:type="dxa"/>
              <w:start w:w="100" w:type="dxa"/>
              <w:bottom w:w="110" w:type="dxa"/>
              <w:end w:w="100" w:type="dxa"/>
            </w:tcMar>
            <w:vAlign w:val="center"/>
          </w:tcPr>
          <w:p>
            <w:pPr>
              <w:spacing w:after="40"/>
              <w:jc w:val="center"/>
            </w:pPr>
            <w:r>
              <w:rPr>
                <w:sz w:val="18"/>
              </w:rPr>
              <w:t>Neutral to modestly higher</w:t>
            </w:r>
          </w:p>
        </w:tc>
      </w:tr>
      <w:tr>
        <w:tc>
          <w:tcPr>
            <w:tcW w:type="dxa" w:w="1800"/>
            <w:tcMar>
              <w:top w:w="110" w:type="dxa"/>
              <w:start w:w="100" w:type="dxa"/>
              <w:bottom w:w="110" w:type="dxa"/>
              <w:end w:w="100" w:type="dxa"/>
            </w:tcMar>
            <w:vAlign w:val="center"/>
            <w:shd w:fill="F7F9FC"/>
          </w:tcPr>
          <w:p>
            <w:pPr>
              <w:spacing w:after="40"/>
            </w:pPr>
            <w:r>
              <w:rPr>
                <w:sz w:val="18"/>
              </w:rPr>
              <w:t>Growth scare</w:t>
            </w:r>
          </w:p>
        </w:tc>
        <w:tc>
          <w:tcPr>
            <w:tcW w:type="dxa" w:w="3024"/>
            <w:tcMar>
              <w:top w:w="110" w:type="dxa"/>
              <w:start w:w="100" w:type="dxa"/>
              <w:bottom w:w="110" w:type="dxa"/>
              <w:end w:w="100" w:type="dxa"/>
            </w:tcMar>
            <w:vAlign w:val="center"/>
          </w:tcPr>
          <w:p>
            <w:pPr>
              <w:spacing w:after="40"/>
            </w:pPr>
            <w:r>
              <w:rPr>
                <w:sz w:val="18"/>
              </w:rPr>
              <w:t>Demand slows. Earnings sensitivity rises. Markets begin to anticipate policy relief.</w:t>
            </w:r>
          </w:p>
        </w:tc>
        <w:tc>
          <w:tcPr>
            <w:tcW w:type="dxa" w:w="2808"/>
            <w:tcMar>
              <w:top w:w="110" w:type="dxa"/>
              <w:start w:w="100" w:type="dxa"/>
              <w:bottom w:w="110" w:type="dxa"/>
              <w:end w:w="100" w:type="dxa"/>
            </w:tcMar>
            <w:vAlign w:val="center"/>
          </w:tcPr>
          <w:p>
            <w:pPr>
              <w:spacing w:after="40"/>
            </w:pPr>
            <w:r>
              <w:rPr>
                <w:sz w:val="18"/>
              </w:rPr>
              <w:t>Cash and defensives first. Quality technology can return later once liquidity expectations improve.</w:t>
            </w:r>
          </w:p>
        </w:tc>
        <w:tc>
          <w:tcPr>
            <w:tcW w:type="dxa" w:w="2016"/>
            <w:tcMar>
              <w:top w:w="110" w:type="dxa"/>
              <w:start w:w="100" w:type="dxa"/>
              <w:bottom w:w="110" w:type="dxa"/>
              <w:end w:w="100" w:type="dxa"/>
            </w:tcMar>
            <w:vAlign w:val="center"/>
          </w:tcPr>
          <w:p>
            <w:pPr>
              <w:spacing w:after="40"/>
              <w:jc w:val="center"/>
            </w:pPr>
            <w:r>
              <w:rPr>
                <w:sz w:val="18"/>
              </w:rPr>
              <w:t>Increase early then redeploy</w:t>
            </w:r>
          </w:p>
        </w:tc>
      </w:tr>
      <w:tr>
        <w:tc>
          <w:tcPr>
            <w:tcW w:type="dxa" w:w="1800"/>
            <w:tcMar>
              <w:top w:w="110" w:type="dxa"/>
              <w:start w:w="100" w:type="dxa"/>
              <w:bottom w:w="110" w:type="dxa"/>
              <w:end w:w="100" w:type="dxa"/>
            </w:tcMar>
            <w:vAlign w:val="center"/>
            <w:shd w:fill="F7F9FC"/>
          </w:tcPr>
          <w:p>
            <w:pPr>
              <w:spacing w:after="40"/>
            </w:pPr>
            <w:r>
              <w:rPr>
                <w:sz w:val="18"/>
              </w:rPr>
              <w:t>Dovish liquidity wave</w:t>
            </w:r>
          </w:p>
        </w:tc>
        <w:tc>
          <w:tcPr>
            <w:tcW w:type="dxa" w:w="3024"/>
            <w:tcMar>
              <w:top w:w="110" w:type="dxa"/>
              <w:start w:w="100" w:type="dxa"/>
              <w:bottom w:w="110" w:type="dxa"/>
              <w:end w:w="100" w:type="dxa"/>
            </w:tcMar>
            <w:vAlign w:val="center"/>
          </w:tcPr>
          <w:p>
            <w:pPr>
              <w:spacing w:after="40"/>
            </w:pPr>
            <w:r>
              <w:rPr>
                <w:sz w:val="18"/>
              </w:rPr>
              <w:t>Policy expectations soften. Risk appetite returns and duration assets re-rate quickly.</w:t>
            </w:r>
          </w:p>
        </w:tc>
        <w:tc>
          <w:tcPr>
            <w:tcW w:type="dxa" w:w="2808"/>
            <w:tcMar>
              <w:top w:w="110" w:type="dxa"/>
              <w:start w:w="100" w:type="dxa"/>
              <w:bottom w:w="110" w:type="dxa"/>
              <w:end w:w="100" w:type="dxa"/>
            </w:tcMar>
            <w:vAlign w:val="center"/>
          </w:tcPr>
          <w:p>
            <w:pPr>
              <w:spacing w:after="40"/>
            </w:pPr>
            <w:r>
              <w:rPr>
                <w:sz w:val="18"/>
              </w:rPr>
              <w:t>AI leadership, large-cap technology, crypto beta, and index momentum become primary destinations for capital.</w:t>
            </w:r>
          </w:p>
        </w:tc>
        <w:tc>
          <w:tcPr>
            <w:tcW w:type="dxa" w:w="2016"/>
            <w:tcMar>
              <w:top w:w="110" w:type="dxa"/>
              <w:start w:w="100" w:type="dxa"/>
              <w:bottom w:w="110" w:type="dxa"/>
              <w:end w:w="100" w:type="dxa"/>
            </w:tcMar>
            <w:vAlign w:val="center"/>
          </w:tcPr>
          <w:p>
            <w:pPr>
              <w:spacing w:after="40"/>
              <w:jc w:val="center"/>
            </w:pPr>
            <w:r>
              <w:rPr>
                <w:sz w:val="18"/>
              </w:rPr>
              <w:t>Decrease</w:t>
            </w:r>
          </w:p>
        </w:tc>
      </w:tr>
      <w:tr>
        <w:tc>
          <w:tcPr>
            <w:tcW w:type="dxa" w:w="1800"/>
            <w:tcMar>
              <w:top w:w="110" w:type="dxa"/>
              <w:start w:w="100" w:type="dxa"/>
              <w:bottom w:w="110" w:type="dxa"/>
              <w:end w:w="100" w:type="dxa"/>
            </w:tcMar>
            <w:vAlign w:val="center"/>
            <w:shd w:fill="F7F9FC"/>
          </w:tcPr>
          <w:p>
            <w:pPr>
              <w:spacing w:after="40"/>
            </w:pPr>
            <w:r>
              <w:rPr>
                <w:sz w:val="18"/>
              </w:rPr>
              <w:t>Broad panic</w:t>
            </w:r>
          </w:p>
        </w:tc>
        <w:tc>
          <w:tcPr>
            <w:tcW w:type="dxa" w:w="3024"/>
            <w:tcMar>
              <w:top w:w="110" w:type="dxa"/>
              <w:start w:w="100" w:type="dxa"/>
              <w:bottom w:w="110" w:type="dxa"/>
              <w:end w:w="100" w:type="dxa"/>
            </w:tcMar>
            <w:vAlign w:val="center"/>
          </w:tcPr>
          <w:p>
            <w:pPr>
              <w:spacing w:after="40"/>
            </w:pPr>
            <w:r>
              <w:rPr>
                <w:sz w:val="18"/>
              </w:rPr>
              <w:t>Correlations move toward one. Liquidity matters more than valuation in the first phase.</w:t>
            </w:r>
          </w:p>
        </w:tc>
        <w:tc>
          <w:tcPr>
            <w:tcW w:type="dxa" w:w="2808"/>
            <w:tcMar>
              <w:top w:w="110" w:type="dxa"/>
              <w:start w:w="100" w:type="dxa"/>
              <w:bottom w:w="110" w:type="dxa"/>
              <w:end w:w="100" w:type="dxa"/>
            </w:tcMar>
            <w:vAlign w:val="center"/>
          </w:tcPr>
          <w:p>
            <w:pPr>
              <w:spacing w:after="40"/>
            </w:pPr>
            <w:r>
              <w:rPr>
                <w:sz w:val="18"/>
              </w:rPr>
              <w:t>Cash dominates first. The next phase favors staged deployment into the strongest relative leaders.</w:t>
            </w:r>
          </w:p>
        </w:tc>
        <w:tc>
          <w:tcPr>
            <w:tcW w:type="dxa" w:w="2016"/>
            <w:tcMar>
              <w:top w:w="110" w:type="dxa"/>
              <w:start w:w="100" w:type="dxa"/>
              <w:bottom w:w="110" w:type="dxa"/>
              <w:end w:w="100" w:type="dxa"/>
            </w:tcMar>
            <w:vAlign w:val="center"/>
          </w:tcPr>
          <w:p>
            <w:pPr>
              <w:spacing w:after="40"/>
              <w:jc w:val="center"/>
            </w:pPr>
            <w:r>
              <w:rPr>
                <w:sz w:val="18"/>
              </w:rPr>
              <w:t>High then declining</w:t>
            </w:r>
          </w:p>
        </w:tc>
      </w:tr>
      <w:tr>
        <w:tc>
          <w:tcPr>
            <w:tcW w:type="dxa" w:w="1800"/>
            <w:tcMar>
              <w:top w:w="110" w:type="dxa"/>
              <w:start w:w="100" w:type="dxa"/>
              <w:bottom w:w="110" w:type="dxa"/>
              <w:end w:w="100" w:type="dxa"/>
            </w:tcMar>
            <w:vAlign w:val="center"/>
            <w:shd w:fill="F7F9FC"/>
          </w:tcPr>
          <w:p>
            <w:pPr>
              <w:spacing w:after="40"/>
            </w:pPr>
            <w:r>
              <w:rPr>
                <w:sz w:val="18"/>
              </w:rPr>
              <w:t>Sideways churn</w:t>
            </w:r>
          </w:p>
        </w:tc>
        <w:tc>
          <w:tcPr>
            <w:tcW w:type="dxa" w:w="3024"/>
            <w:tcMar>
              <w:top w:w="110" w:type="dxa"/>
              <w:start w:w="100" w:type="dxa"/>
              <w:bottom w:w="110" w:type="dxa"/>
              <w:end w:w="100" w:type="dxa"/>
            </w:tcMar>
            <w:vAlign w:val="center"/>
          </w:tcPr>
          <w:p>
            <w:pPr>
              <w:spacing w:after="40"/>
            </w:pPr>
            <w:r>
              <w:rPr>
                <w:sz w:val="18"/>
              </w:rPr>
              <w:t>No single narrative holds control for long. Breakouts fail and cross-asset leadership rotates quickly.</w:t>
            </w:r>
          </w:p>
        </w:tc>
        <w:tc>
          <w:tcPr>
            <w:tcW w:type="dxa" w:w="2808"/>
            <w:tcMar>
              <w:top w:w="110" w:type="dxa"/>
              <w:start w:w="100" w:type="dxa"/>
              <w:bottom w:w="110" w:type="dxa"/>
              <w:end w:w="100" w:type="dxa"/>
            </w:tcMar>
            <w:vAlign w:val="center"/>
          </w:tcPr>
          <w:p>
            <w:pPr>
              <w:spacing w:after="40"/>
            </w:pPr>
            <w:r>
              <w:rPr>
                <w:sz w:val="18"/>
              </w:rPr>
              <w:t>Selective trading and higher cash balances outperform static conviction positions.</w:t>
            </w:r>
          </w:p>
        </w:tc>
        <w:tc>
          <w:tcPr>
            <w:tcW w:type="dxa" w:w="2016"/>
            <w:tcMar>
              <w:top w:w="110" w:type="dxa"/>
              <w:start w:w="100" w:type="dxa"/>
              <w:bottom w:w="110" w:type="dxa"/>
              <w:end w:w="100" w:type="dxa"/>
            </w:tcMar>
            <w:vAlign w:val="center"/>
          </w:tcPr>
          <w:p>
            <w:pPr>
              <w:spacing w:after="40"/>
              <w:jc w:val="center"/>
            </w:pPr>
            <w:r>
              <w:rPr>
                <w:sz w:val="18"/>
              </w:rPr>
              <w:t>Elevated</w:t>
            </w:r>
          </w:p>
        </w:tc>
      </w:tr>
      <w:tr>
        <w:tc>
          <w:tcPr>
            <w:tcW w:type="dxa" w:w="1800"/>
            <w:tcMar>
              <w:top w:w="110" w:type="dxa"/>
              <w:start w:w="100" w:type="dxa"/>
              <w:bottom w:w="110" w:type="dxa"/>
              <w:end w:w="100" w:type="dxa"/>
            </w:tcMar>
            <w:vAlign w:val="center"/>
            <w:shd w:fill="F7F9FC"/>
          </w:tcPr>
          <w:p>
            <w:pPr>
              <w:spacing w:after="40"/>
            </w:pPr>
            <w:r>
              <w:rPr>
                <w:sz w:val="18"/>
              </w:rPr>
              <w:t>Commodity expansion</w:t>
            </w:r>
          </w:p>
        </w:tc>
        <w:tc>
          <w:tcPr>
            <w:tcW w:type="dxa" w:w="3024"/>
            <w:tcMar>
              <w:top w:w="110" w:type="dxa"/>
              <w:start w:w="100" w:type="dxa"/>
              <w:bottom w:w="110" w:type="dxa"/>
              <w:end w:w="100" w:type="dxa"/>
            </w:tcMar>
            <w:vAlign w:val="center"/>
          </w:tcPr>
          <w:p>
            <w:pPr>
              <w:spacing w:after="40"/>
            </w:pPr>
            <w:r>
              <w:rPr>
                <w:sz w:val="18"/>
              </w:rPr>
              <w:t>Supply constraints and strategic demand accelerate together over multiple quarters.</w:t>
            </w:r>
          </w:p>
        </w:tc>
        <w:tc>
          <w:tcPr>
            <w:tcW w:type="dxa" w:w="2808"/>
            <w:tcMar>
              <w:top w:w="110" w:type="dxa"/>
              <w:start w:w="100" w:type="dxa"/>
              <w:bottom w:w="110" w:type="dxa"/>
              <w:end w:w="100" w:type="dxa"/>
            </w:tcMar>
            <w:vAlign w:val="center"/>
          </w:tcPr>
          <w:p>
            <w:pPr>
              <w:spacing w:after="40"/>
            </w:pPr>
            <w:r>
              <w:rPr>
                <w:sz w:val="18"/>
              </w:rPr>
              <w:t>Energy, metals, and selected agriculture exposures gain leadership, while weak consumer areas lag.</w:t>
            </w:r>
          </w:p>
        </w:tc>
        <w:tc>
          <w:tcPr>
            <w:tcW w:type="dxa" w:w="2016"/>
            <w:tcMar>
              <w:top w:w="110" w:type="dxa"/>
              <w:start w:w="100" w:type="dxa"/>
              <w:bottom w:w="110" w:type="dxa"/>
              <w:end w:w="100" w:type="dxa"/>
            </w:tcMar>
            <w:vAlign w:val="center"/>
          </w:tcPr>
          <w:p>
            <w:pPr>
              <w:spacing w:after="40"/>
              <w:jc w:val="center"/>
            </w:pPr>
            <w:r>
              <w:rPr>
                <w:sz w:val="18"/>
              </w:rPr>
              <w:t>Neutral</w:t>
            </w:r>
          </w:p>
        </w:tc>
      </w:tr>
    </w:tbl>
    <w:p/>
    <w:p>
      <w:pPr>
        <w:pStyle w:val="SectionTitle"/>
      </w:pPr>
      <w:r>
        <w:t>Asset Class Interpretation</w:t>
      </w:r>
    </w:p>
    <w:p>
      <w:pPr>
        <w:pStyle w:val="Subhead"/>
      </w:pPr>
      <w:r>
        <w:t>Technology and AI</w:t>
      </w:r>
    </w:p>
    <w:p>
      <w:r>
        <w:t>Technology should not be treated as a simple growth bucket. In the coming cycle, it is both a liquidity beneficiary and a strategic destination for global capital. AI in particular is not only a software story. It is also a hardware, compute, data-center, and energy story. This increases the odds that technology leadership can coexist with strength in selected real assets.</w:t>
      </w:r>
    </w:p>
    <w:p>
      <w:pPr>
        <w:pStyle w:val="Subhead"/>
      </w:pPr>
      <w:r>
        <w:t>Crypto</w:t>
      </w:r>
    </w:p>
    <w:p>
      <w:r>
        <w:t>Crypto should be understood primarily as a high-beta liquidity asset. It can occasionally behave like an alternative-system hedge, especially during periods of financial-system stress, but in most environments it remains closely tied to risk appetite and technology leadership. That makes it valuable, but it should not be treated as a universal safe haven.</w:t>
      </w:r>
    </w:p>
    <w:p>
      <w:pPr>
        <w:pStyle w:val="Subhead"/>
      </w:pPr>
      <w:r>
        <w:t>Energy</w:t>
      </w:r>
    </w:p>
    <w:p>
      <w:r>
        <w:t>Energy remains central because it sits at the intersection of geopolitics, industrial demand, inflation, transport costs, and AI infrastructure. It is both a beneficiary of resource stress and an input into broader economic activity. For that reason, energy is one of the few areas that can matter across several different regimes.</w:t>
      </w:r>
    </w:p>
    <w:p>
      <w:pPr>
        <w:pStyle w:val="Subhead"/>
      </w:pPr>
      <w:r>
        <w:t>Defense</w:t>
      </w:r>
    </w:p>
    <w:p>
      <w:r>
        <w:t>Defense deserves a nuanced treatment. Spending often begins to move before the market fully prices a conflict, meaning defense can act as an early signal rather than only a late-stage war trade. At the same time, long conflict cycles, expanding budgets, and new contract waves can create extended leadership beyond the initial move.</w:t>
      </w:r>
    </w:p>
    <w:p>
      <w:pPr>
        <w:pStyle w:val="Subhead"/>
      </w:pPr>
      <w:r>
        <w:t>Metals and agriculture</w:t>
      </w:r>
    </w:p>
    <w:p>
      <w:r>
        <w:t>Metals often function as early indicators of stress because they react quickly to expectations around industrial demand, inflation, or safe-haven demand. Agriculture is more difficult because it requires an additional layer of interpretation around energy inputs, fertilizer, weather, freight, and policy. That difficulty is precisely what can create opportunity when the market begins to underprice strain in the food system.</w:t>
      </w:r>
    </w:p>
    <w:p>
      <w:pPr>
        <w:pStyle w:val="SectionTitle"/>
      </w:pPr>
      <w:r>
        <w:t>Implications for Capital Allocation</w:t>
      </w:r>
    </w:p>
    <w:p>
      <w:r>
        <w:t>The first implication of this thesis is that static conviction is less valuable than disciplined flexibility. Capital should be allowed to rotate as leadership changes rather than remain locked to a single narrative.</w:t>
      </w:r>
    </w:p>
    <w:p>
      <w:r>
        <w:t>The second implication is that cash must be treated as a strategic asset. In a market that can switch leadership rapidly, reserve liquidity is not simply idle capital. It is optionality. It allows an investor to avoid forcing low-quality entries and to redeploy aggressively once the market reveals where leadership is moving next.</w:t>
      </w:r>
    </w:p>
    <w:p>
      <w:r>
        <w:t>The third implication is that portfolio construction should distinguish between structural exposure and tactical exposure. Structural exposure should focus on themes that can matter across several regimes, such as energy, selected technology, and strategic resource assets. Tactical exposure should respond faster to liquidity conditions and sentiment shifts, especially in areas like crypto, index beta, and shorter-duration momentum trades.</w:t>
      </w:r>
    </w:p>
    <w:p>
      <w:r>
        <w:t>Finally, the thesis argues for humility around timing. A view can be directionally correct and still be unprofitable if deployed too early or in the wrong structure. That is why the framework emphasizes staged deployment, changing cash posture, and a regime-based interpretation of capital flows rather than one fixed asset allocation.</w:t>
      </w:r>
    </w:p>
    <w:p>
      <w:pPr>
        <w:pStyle w:val="SectionTitle"/>
      </w:pPr>
      <w:r>
        <w:t>Risks to the Thesis</w:t>
      </w:r>
    </w:p>
    <w:p>
      <w:r>
        <w:t>The most obvious risk is overestimating the persistence or intensity of structural stress. Policy support can cushion drawdowns, loosen financial conditions, and soften the market impact of supply constraints even when those constraints remain relevant in the background. The practical implication is not to over-allocate to any single index, commodity complex, or regime expression simply because the structural case appears strong.</w:t>
      </w:r>
    </w:p>
    <w:p>
      <w:r>
        <w:t>A second risk is underestimating the speed of rotation. In a market dominated by positioning and flows, leadership can change before the underlying narrative has fully matured. That can make apparently obvious ideas very difficult to monetize.</w:t>
      </w:r>
    </w:p>
    <w:p>
      <w:r>
        <w:t>A third risk is complexity itself. Themes such as agriculture and defense can be directionally compelling yet operationally difficult. The path from thesis to performance often depends on implementation, not just macro insight.</w:t>
      </w:r>
    </w:p>
    <w:p>
      <w:r>
        <w:t>The thesis would also need to be re-evaluated if the market begins to demonstrate a sustained and broad-based recovery across liquidity conditions, growth expectations, and real-economy indicators at the same time. In that environment, the appropriate response would not be to force narrow regime positioning. It would be to scale more broadly across asset classes and risk categories as leadership widens and participation improves.</w:t>
      </w:r>
    </w:p>
    <w:p>
      <w:pPr>
        <w:pStyle w:val="SectionTitle"/>
      </w:pPr>
      <w:r>
        <w:t>Closing View</w:t>
      </w:r>
    </w:p>
    <w:p>
      <w:r>
        <w:t>The most important conclusion is that the market is likely to remain adaptive rather than clean. It can absorb weak fundamentals for longer than expected. It can reprice stress suddenly. It can reward technology while simultaneously building the case for energy and strategic resources. That does not argue for confusion. It argues for a better lens.</w:t>
      </w:r>
    </w:p>
    <w:p>
      <w:r>
        <w:t>That lens is to treat the next several years as a contest between liquidity and structure. Liquidity will set the pace of moves. Structural forces will set the direction of leadership. Investors who can read both layers together should be better positioned to identify where capital is likely to go next, rather than simply reacting to where it has already gone.</w:t>
      </w:r>
    </w:p>
    <w:p/>
    <w:p>
      <w:pPr>
        <w:spacing w:before="360"/>
      </w:pPr>
      <w:r>
        <w:rPr>
          <w:b/>
          <w:color w:val="172B4D"/>
          <w:sz w:val="23"/>
        </w:rPr>
        <w:t>Thomas R. Lindsey</w:t>
      </w:r>
    </w:p>
    <w:p>
      <w:pPr>
        <w:pStyle w:val="BodySmall"/>
      </w:pPr>
      <w:r>
        <w:t>April 2026</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8"/>
      </w:rPr>
      <w:t xml:space="preserve">Macro Thesis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ptos" w:hAnsi="Aptos"/>
      <w:color w:val="2C31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40"/>
    </w:pPr>
    <w:rPr>
      <w:rFonts w:ascii="Aptos" w:hAnsi="Aptos"/>
      <w:b w:val="0"/>
      <w:color w:val="5A626C"/>
      <w:sz w:val="18"/>
    </w:rPr>
  </w:style>
  <w:style w:type="paragraph" w:customStyle="1" w:styleId="SectionTitle">
    <w:name w:val="Section Title"/>
    <w:basedOn w:val="Normal"/>
    <w:pPr>
      <w:spacing w:before="240" w:after="120"/>
    </w:pPr>
    <w:rPr>
      <w:rFonts w:ascii="Aptos Display" w:hAnsi="Aptos Display"/>
      <w:b/>
      <w:color w:val="172B4D"/>
      <w:sz w:val="36"/>
    </w:rPr>
  </w:style>
  <w:style w:type="paragraph" w:customStyle="1" w:styleId="Subhead">
    <w:name w:val="Subhead"/>
    <w:basedOn w:val="Normal"/>
    <w:pPr>
      <w:spacing w:before="160" w:after="80"/>
    </w:pPr>
    <w:rPr>
      <w:rFonts w:ascii="Aptos" w:hAnsi="Aptos"/>
      <w:b/>
      <w:color w:val="2A548F"/>
      <w:sz w:val="24"/>
    </w:rPr>
  </w:style>
  <w:style w:type="paragraph" w:customStyle="1" w:styleId="QuoteBox">
    <w:name w:val="Quote Box"/>
    <w:basedOn w:val="Normal"/>
    <w:pPr>
      <w:spacing w:after="0"/>
      <w:ind w:left="216" w:right="216"/>
    </w:pPr>
    <w:rPr>
      <w:rFonts w:ascii="Aptos" w:hAnsi="Aptos"/>
      <w:b w:val="0"/>
      <w:i/>
      <w:color w:val="172B4D"/>
      <w:sz w:val="24"/>
    </w:rPr>
  </w:style>
  <w:style w:type="paragraph" w:customStyle="1" w:styleId="MiniHead">
    <w:name w:val="Mini Head"/>
    <w:basedOn w:val="Normal"/>
    <w:pPr>
      <w:spacing w:after="40"/>
    </w:pPr>
    <w:rPr>
      <w:rFonts w:ascii="Aptos" w:hAnsi="Aptos"/>
      <w:b/>
      <w:color w:val="172B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