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0"/>
          <w:szCs w:val="30"/>
          <w:lang w:val="en-US" w:eastAsia="zh-CN"/>
        </w:rPr>
      </w:pPr>
      <w:r>
        <w:rPr>
          <w:rFonts w:hint="eastAsia"/>
          <w:sz w:val="30"/>
          <w:szCs w:val="30"/>
          <w:lang w:val="en-US" w:eastAsia="zh-CN"/>
        </w:rPr>
        <w:t>图像视频实验二 基于内容的初步图像检索 实验报告</w:t>
      </w:r>
    </w:p>
    <w:p>
      <w:pPr>
        <w:rPr>
          <w:rFonts w:hint="eastAsia"/>
          <w:lang w:val="en-US" w:eastAsia="zh-CN"/>
        </w:rPr>
      </w:pPr>
    </w:p>
    <w:p>
      <w:pPr>
        <w:numPr>
          <w:numId w:val="0"/>
        </w:numPr>
        <w:wordWrap w:val="0"/>
        <w:jc w:val="right"/>
        <w:rPr>
          <w:rFonts w:hint="default"/>
          <w:lang w:val="en-US" w:eastAsia="zh-CN"/>
        </w:rPr>
      </w:pPr>
      <w:r>
        <w:rPr>
          <w:rFonts w:hint="eastAsia"/>
          <w:lang w:val="en-US" w:eastAsia="zh-CN"/>
        </w:rPr>
        <w:t>计71 庞博予 2017011315</w:t>
      </w:r>
    </w:p>
    <w:p>
      <w:pPr>
        <w:numPr>
          <w:ilvl w:val="0"/>
          <w:numId w:val="1"/>
        </w:numPr>
        <w:rPr>
          <w:rFonts w:hint="eastAsia"/>
          <w:b/>
          <w:bCs/>
          <w:lang w:val="en-US" w:eastAsia="zh-CN"/>
        </w:rPr>
      </w:pPr>
      <w:r>
        <w:rPr>
          <w:rFonts w:hint="eastAsia"/>
          <w:b/>
          <w:bCs/>
          <w:lang w:val="en-US" w:eastAsia="zh-CN"/>
        </w:rPr>
        <w:t>实验设计</w:t>
      </w:r>
    </w:p>
    <w:p>
      <w:pPr>
        <w:numPr>
          <w:numId w:val="0"/>
        </w:numPr>
        <w:ind w:firstLine="420" w:firstLineChars="0"/>
        <w:rPr>
          <w:rFonts w:hint="eastAsia"/>
          <w:lang w:val="en-US" w:eastAsia="zh-CN"/>
        </w:rPr>
      </w:pPr>
      <w:r>
        <w:rPr>
          <w:rFonts w:hint="eastAsia"/>
          <w:lang w:val="en-US" w:eastAsia="zh-CN"/>
        </w:rPr>
        <w:t>本次实验要求根据图像的颜色分布统计信息作为图像的特征向量，将图像嵌入到高维空间中并据此计算距离，算出在高维空间中相邻的图像并检测该相邻关系是否反应了图像的聚类。</w:t>
      </w:r>
    </w:p>
    <w:p>
      <w:pPr>
        <w:numPr>
          <w:numId w:val="0"/>
        </w:numPr>
        <w:ind w:firstLine="420" w:firstLineChars="0"/>
        <w:rPr>
          <w:rFonts w:hint="default"/>
          <w:lang w:val="en-US" w:eastAsia="zh-CN"/>
        </w:rPr>
      </w:pPr>
    </w:p>
    <w:p>
      <w:pPr>
        <w:numPr>
          <w:ilvl w:val="0"/>
          <w:numId w:val="1"/>
        </w:numPr>
        <w:rPr>
          <w:rFonts w:hint="default"/>
          <w:b/>
          <w:bCs/>
          <w:lang w:val="en-US" w:eastAsia="zh-CN"/>
        </w:rPr>
      </w:pPr>
      <w:r>
        <w:rPr>
          <w:rFonts w:hint="eastAsia"/>
          <w:b/>
          <w:bCs/>
          <w:lang w:val="en-US" w:eastAsia="zh-CN"/>
        </w:rPr>
        <w:t>算法步骤</w:t>
      </w:r>
    </w:p>
    <w:p>
      <w:pPr>
        <w:numPr>
          <w:ilvl w:val="1"/>
          <w:numId w:val="1"/>
        </w:numPr>
        <w:ind w:left="0" w:leftChars="0" w:firstLine="0" w:firstLineChars="0"/>
        <w:rPr>
          <w:rFonts w:hint="default"/>
          <w:lang w:val="en-US" w:eastAsia="zh-CN"/>
        </w:rPr>
      </w:pPr>
      <w:r>
        <w:rPr>
          <w:rFonts w:hint="eastAsia"/>
          <w:lang w:val="en-US" w:eastAsia="zh-CN"/>
        </w:rPr>
        <w:t>预处理</w:t>
      </w:r>
    </w:p>
    <w:p>
      <w:pPr>
        <w:numPr>
          <w:numId w:val="0"/>
        </w:numPr>
        <w:ind w:leftChars="0" w:firstLine="420" w:firstLineChars="0"/>
        <w:rPr>
          <w:rFonts w:hint="eastAsia"/>
          <w:lang w:val="en-US" w:eastAsia="zh-CN"/>
        </w:rPr>
      </w:pPr>
      <w:r>
        <w:rPr>
          <w:rFonts w:hint="eastAsia"/>
          <w:lang w:val="en-US" w:eastAsia="zh-CN"/>
        </w:rPr>
        <w:t>由于图像是以jpg格式存储，如果每次进行查询都要读取图像进行计算得到向量进行比较效率会十分低下，所以提前将所有图片按照统一的格式处理成相同维度的向量存储起来。</w:t>
      </w:r>
    </w:p>
    <w:p>
      <w:pPr>
        <w:numPr>
          <w:numId w:val="0"/>
        </w:numPr>
        <w:ind w:leftChars="0" w:firstLine="420" w:firstLineChars="0"/>
        <w:rPr>
          <w:rFonts w:hint="eastAsia"/>
          <w:lang w:val="en-US" w:eastAsia="zh-CN"/>
        </w:rPr>
      </w:pPr>
      <w:r>
        <w:rPr>
          <w:rFonts w:hint="eastAsia"/>
          <w:lang w:val="en-US" w:eastAsia="zh-CN"/>
        </w:rPr>
        <w:t>以基本的16维向量空间举例，将红和蓝两个通道的数值右移7位（整除128），其取值范围为[0,2)，将绿通道的数值右移6位（整除64），其取值范围为[0,4)，将映射后的每一个像素的颜色类别写为index=R*8+G*2+B，根据该index统计每个index出现的次数，因为index取值范围为[0,16)，故为十六维向量。</w:t>
      </w:r>
    </w:p>
    <w:p>
      <w:pPr>
        <w:numPr>
          <w:numId w:val="0"/>
        </w:numPr>
        <w:ind w:leftChars="0" w:firstLine="420" w:firstLineChars="0"/>
        <w:rPr>
          <w:rFonts w:hint="eastAsia"/>
          <w:lang w:val="en-US" w:eastAsia="zh-CN"/>
        </w:rPr>
      </w:pPr>
      <w:r>
        <w:rPr>
          <w:rFonts w:hint="eastAsia"/>
          <w:lang w:val="en-US" w:eastAsia="zh-CN"/>
        </w:rPr>
        <w:t>上述操作由于都是可以对全体像素统一操作的，在代码中用python的DataFrame相关操作对一张图片的所有像素进行批量处理，计算完index后将其序列化并用count直接统计。</w:t>
      </w:r>
    </w:p>
    <w:p>
      <w:pPr>
        <w:numPr>
          <w:numId w:val="0"/>
        </w:numPr>
        <w:ind w:leftChars="0" w:firstLine="420" w:firstLineChars="0"/>
        <w:rPr>
          <w:rFonts w:hint="default"/>
          <w:lang w:val="en-US" w:eastAsia="zh-CN"/>
        </w:rPr>
      </w:pPr>
    </w:p>
    <w:p>
      <w:pPr>
        <w:numPr>
          <w:ilvl w:val="1"/>
          <w:numId w:val="1"/>
        </w:numPr>
        <w:ind w:left="0" w:leftChars="0" w:firstLine="0" w:firstLineChars="0"/>
        <w:rPr>
          <w:rFonts w:hint="default"/>
          <w:lang w:val="en-US" w:eastAsia="zh-CN"/>
        </w:rPr>
      </w:pPr>
      <w:r>
        <w:rPr>
          <w:rFonts w:hint="eastAsia"/>
          <w:lang w:val="en-US" w:eastAsia="zh-CN"/>
        </w:rPr>
        <w:t>查询</w:t>
      </w:r>
    </w:p>
    <w:p>
      <w:pPr>
        <w:numPr>
          <w:numId w:val="0"/>
        </w:numPr>
        <w:ind w:leftChars="0" w:firstLine="420" w:firstLineChars="0"/>
        <w:rPr>
          <w:rFonts w:hint="eastAsia"/>
          <w:lang w:val="en-US" w:eastAsia="zh-CN"/>
        </w:rPr>
      </w:pPr>
      <w:r>
        <w:rPr>
          <w:rFonts w:hint="eastAsia"/>
          <w:lang w:val="en-US" w:eastAsia="zh-CN"/>
        </w:rPr>
        <w:t>虽然查询有两种方式一种是对单张图片查询其最接近的30张中的命中率，一种是对全体图片计算平均命中率，不过两种的基本原理是一样的；都是基于给定的某张图片的向量为基向量，将所有图片对应的向量以关于该向量的距离从小到大排序并取出前31个（要排除排名第一且距离为0的原图）。图片的名称中自带类别信息，可用于判断是否命中。</w:t>
      </w:r>
    </w:p>
    <w:p>
      <w:pPr>
        <w:numPr>
          <w:numId w:val="0"/>
        </w:numPr>
        <w:ind w:leftChars="0" w:firstLine="420" w:firstLineChars="0"/>
        <w:rPr>
          <w:rFonts w:hint="eastAsia"/>
          <w:lang w:val="en-US" w:eastAsia="zh-CN"/>
        </w:rPr>
      </w:pPr>
      <w:r>
        <w:rPr>
          <w:rFonts w:hint="eastAsia"/>
          <w:lang w:val="en-US" w:eastAsia="zh-CN"/>
        </w:rPr>
        <w:t>由于有不同的距离衡量方法，故查询过程要支持通过参数控制程序执行，首先是距离的定义方式，基础的包括欧氏距离、直方图交集、Bhattacharyya方法。使用numpy的相关功能实现三种距离的计算即可。其中欧氏距离直观易懂，距离越小说明两个向量距离越相近；直方图交集则越大越代表两个直方图分布较为一致，相近度较高；而Bhattacharyya方法经过简化其实是等价于计算两个向量对应位置几何平均数之和，在所有维度的数值总和相同时该和越大表示两个向量分布越接近。</w:t>
      </w:r>
    </w:p>
    <w:p>
      <w:pPr>
        <w:numPr>
          <w:numId w:val="0"/>
        </w:numPr>
        <w:ind w:leftChars="0" w:firstLine="420" w:firstLineChars="0"/>
        <w:rPr>
          <w:rFonts w:hint="default"/>
          <w:lang w:val="en-US" w:eastAsia="zh-CN"/>
        </w:rPr>
      </w:pPr>
      <w:r>
        <w:rPr>
          <w:rFonts w:hint="eastAsia"/>
          <w:lang w:val="en-US" w:eastAsia="zh-CN"/>
        </w:rPr>
        <w:t>注意由于python的opencv库会在读取图片时默认数据是8-bit unsigned int类型（在上一次实验中已经吃了亏），在计算距离时要将数据类型转化为实数类型或大整数类型（欧氏距离和直方图交集均可用整型计算）。</w:t>
      </w:r>
    </w:p>
    <w:p>
      <w:pPr>
        <w:numPr>
          <w:numId w:val="0"/>
        </w:numPr>
        <w:ind w:leftChars="0" w:firstLine="420" w:firstLineChars="0"/>
        <w:rPr>
          <w:rFonts w:hint="eastAsia"/>
          <w:lang w:val="en-US" w:eastAsia="zh-CN"/>
        </w:rPr>
      </w:pPr>
      <w:r>
        <w:rPr>
          <w:rFonts w:hint="eastAsia"/>
          <w:lang w:val="en-US" w:eastAsia="zh-CN"/>
        </w:rPr>
        <w:t>对于全体的查询命令，将对每一个图片查询最相近的图片并统计命中率，将每张图片的命中率和平均命中率输出到结果中；而对单一图片（其实也是一个图片集合）的查询，则将每张图片的最相近图片的名称和距离也要输出到其对应文件中。</w:t>
      </w:r>
    </w:p>
    <w:p>
      <w:pPr>
        <w:numPr>
          <w:numId w:val="0"/>
        </w:numPr>
        <w:ind w:leftChars="0" w:firstLine="420" w:firstLineChars="0"/>
        <w:rPr>
          <w:rFonts w:hint="default"/>
          <w:lang w:val="en-US" w:eastAsia="zh-CN"/>
        </w:rPr>
      </w:pPr>
    </w:p>
    <w:p>
      <w:pPr>
        <w:numPr>
          <w:ilvl w:val="0"/>
          <w:numId w:val="1"/>
        </w:numPr>
        <w:rPr>
          <w:rFonts w:hint="default"/>
          <w:b/>
          <w:bCs/>
          <w:lang w:val="en-US" w:eastAsia="zh-CN"/>
        </w:rPr>
      </w:pPr>
      <w:r>
        <w:rPr>
          <w:rFonts w:hint="eastAsia"/>
          <w:b/>
          <w:bCs/>
          <w:lang w:val="en-US" w:eastAsia="zh-CN"/>
        </w:rPr>
        <w:t>性能分析</w:t>
      </w:r>
    </w:p>
    <w:p>
      <w:pPr>
        <w:numPr>
          <w:ilvl w:val="1"/>
          <w:numId w:val="1"/>
        </w:numPr>
        <w:ind w:left="0" w:leftChars="0" w:firstLine="0" w:firstLineChars="0"/>
        <w:rPr>
          <w:rFonts w:hint="default"/>
          <w:lang w:val="en-US" w:eastAsia="zh-CN"/>
        </w:rPr>
      </w:pPr>
      <w:r>
        <w:rPr>
          <w:rFonts w:hint="eastAsia"/>
          <w:lang w:val="en-US" w:eastAsia="zh-CN"/>
        </w:rPr>
        <w:t>结果分析</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eastAsia="zh-CN"/>
              </w:rPr>
            </w:pPr>
            <w:r>
              <w:rPr>
                <w:rFonts w:hint="eastAsia"/>
                <w:vertAlign w:val="baseline"/>
                <w:lang w:val="en-US" w:eastAsia="zh-CN"/>
              </w:rPr>
              <w:t>平均准确率</w:t>
            </w:r>
          </w:p>
        </w:tc>
        <w:tc>
          <w:tcPr>
            <w:tcW w:w="2841" w:type="dxa"/>
          </w:tcPr>
          <w:p>
            <w:pPr>
              <w:numPr>
                <w:numId w:val="0"/>
              </w:numPr>
              <w:rPr>
                <w:rFonts w:hint="default"/>
                <w:vertAlign w:val="baseline"/>
                <w:lang w:val="en-US" w:eastAsia="zh-CN"/>
              </w:rPr>
            </w:pPr>
            <w:r>
              <w:rPr>
                <w:rFonts w:hint="eastAsia"/>
                <w:vertAlign w:val="baseline"/>
                <w:lang w:val="en-US" w:eastAsia="zh-CN"/>
              </w:rPr>
              <w:t>16维</w:t>
            </w:r>
          </w:p>
        </w:tc>
        <w:tc>
          <w:tcPr>
            <w:tcW w:w="2841" w:type="dxa"/>
          </w:tcPr>
          <w:p>
            <w:pPr>
              <w:numPr>
                <w:numId w:val="0"/>
              </w:numPr>
              <w:rPr>
                <w:rFonts w:hint="default"/>
                <w:vertAlign w:val="baseline"/>
                <w:lang w:val="en-US" w:eastAsia="zh-CN"/>
              </w:rPr>
            </w:pPr>
            <w:r>
              <w:rPr>
                <w:rFonts w:hint="eastAsia"/>
                <w:vertAlign w:val="baseline"/>
                <w:lang w:val="en-US" w:eastAsia="zh-CN"/>
              </w:rPr>
              <w:t>128维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eastAsia="zh-CN"/>
              </w:rPr>
            </w:pPr>
            <w:r>
              <w:rPr>
                <w:rFonts w:hint="eastAsia"/>
                <w:vertAlign w:val="baseline"/>
                <w:lang w:val="en-US" w:eastAsia="zh-CN"/>
              </w:rPr>
              <w:t>L2</w:t>
            </w:r>
          </w:p>
        </w:tc>
        <w:tc>
          <w:tcPr>
            <w:tcW w:w="2841" w:type="dxa"/>
          </w:tcPr>
          <w:p>
            <w:pPr>
              <w:numPr>
                <w:numId w:val="0"/>
              </w:numPr>
              <w:rPr>
                <w:rFonts w:hint="default"/>
                <w:vertAlign w:val="baseline"/>
                <w:lang w:val="en-US" w:eastAsia="zh-CN"/>
              </w:rPr>
            </w:pPr>
            <w:r>
              <w:rPr>
                <w:rFonts w:hint="eastAsia"/>
                <w:vertAlign w:val="baseline"/>
                <w:lang w:val="en-US" w:eastAsia="zh-CN"/>
              </w:rPr>
              <w:t>29.58%</w:t>
            </w:r>
          </w:p>
        </w:tc>
        <w:tc>
          <w:tcPr>
            <w:tcW w:w="2841" w:type="dxa"/>
          </w:tcPr>
          <w:p>
            <w:pPr>
              <w:numPr>
                <w:numId w:val="0"/>
              </w:numPr>
              <w:rPr>
                <w:rFonts w:hint="default"/>
                <w:vertAlign w:val="baseline"/>
                <w:lang w:val="en-US" w:eastAsia="zh-CN"/>
              </w:rPr>
            </w:pPr>
            <w:r>
              <w:rPr>
                <w:rFonts w:hint="eastAsia"/>
                <w:vertAlign w:val="baseline"/>
                <w:lang w:val="en-US" w:eastAsia="zh-CN"/>
              </w:rPr>
              <w:t>37.62%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numId w:val="0"/>
              </w:numPr>
              <w:rPr>
                <w:rFonts w:hint="default"/>
                <w:vertAlign w:val="baseline"/>
                <w:lang w:val="en-US" w:eastAsia="zh-CN"/>
              </w:rPr>
            </w:pPr>
            <w:r>
              <w:rPr>
                <w:rFonts w:hint="eastAsia"/>
                <w:vertAlign w:val="baseline"/>
                <w:lang w:val="en-US" w:eastAsia="zh-CN"/>
              </w:rPr>
              <w:t>HI</w:t>
            </w:r>
          </w:p>
        </w:tc>
        <w:tc>
          <w:tcPr>
            <w:tcW w:w="2841" w:type="dxa"/>
          </w:tcPr>
          <w:p>
            <w:pPr>
              <w:numPr>
                <w:numId w:val="0"/>
              </w:numPr>
              <w:rPr>
                <w:rFonts w:hint="default"/>
                <w:vertAlign w:val="baseline"/>
                <w:lang w:val="en-US" w:eastAsia="zh-CN"/>
              </w:rPr>
            </w:pPr>
            <w:r>
              <w:rPr>
                <w:rFonts w:hint="eastAsia"/>
                <w:vertAlign w:val="baseline"/>
                <w:lang w:val="en-US" w:eastAsia="zh-CN"/>
              </w:rPr>
              <w:t>32.53%</w:t>
            </w:r>
          </w:p>
        </w:tc>
        <w:tc>
          <w:tcPr>
            <w:tcW w:w="2841" w:type="dxa"/>
          </w:tcPr>
          <w:p>
            <w:pPr>
              <w:numPr>
                <w:numId w:val="0"/>
              </w:numPr>
              <w:rPr>
                <w:rFonts w:hint="default"/>
                <w:vertAlign w:val="baseline"/>
                <w:lang w:val="en-US" w:eastAsia="zh-CN"/>
              </w:rPr>
            </w:pPr>
            <w:r>
              <w:rPr>
                <w:rFonts w:hint="eastAsia"/>
                <w:vertAlign w:val="baseline"/>
                <w:lang w:val="en-US" w:eastAsia="zh-CN"/>
              </w:rPr>
              <w:t>44.86%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numId w:val="0"/>
              </w:numPr>
              <w:rPr>
                <w:rFonts w:hint="default"/>
                <w:vertAlign w:val="baseline"/>
                <w:lang w:val="en-US" w:eastAsia="zh-CN"/>
              </w:rPr>
            </w:pPr>
            <w:r>
              <w:rPr>
                <w:rFonts w:hint="eastAsia"/>
                <w:vertAlign w:val="baseline"/>
                <w:lang w:val="en-US" w:eastAsia="zh-CN"/>
              </w:rPr>
              <w:t>Bh</w:t>
            </w:r>
          </w:p>
        </w:tc>
        <w:tc>
          <w:tcPr>
            <w:tcW w:w="2841" w:type="dxa"/>
          </w:tcPr>
          <w:p>
            <w:pPr>
              <w:numPr>
                <w:numId w:val="0"/>
              </w:numPr>
              <w:rPr>
                <w:rFonts w:hint="default"/>
                <w:vertAlign w:val="baseline"/>
                <w:lang w:val="en-US" w:eastAsia="zh-CN"/>
              </w:rPr>
            </w:pPr>
            <w:r>
              <w:rPr>
                <w:rFonts w:hint="eastAsia"/>
                <w:vertAlign w:val="baseline"/>
                <w:lang w:val="en-US" w:eastAsia="zh-CN"/>
              </w:rPr>
              <w:t>37.86%</w:t>
            </w:r>
          </w:p>
        </w:tc>
        <w:tc>
          <w:tcPr>
            <w:tcW w:w="2841" w:type="dxa"/>
          </w:tcPr>
          <w:p>
            <w:pPr>
              <w:numPr>
                <w:numId w:val="0"/>
              </w:numPr>
              <w:rPr>
                <w:rFonts w:hint="default"/>
                <w:vertAlign w:val="baseline"/>
                <w:lang w:val="en-US" w:eastAsia="zh-CN"/>
              </w:rPr>
            </w:pPr>
            <w:r>
              <w:rPr>
                <w:rFonts w:hint="eastAsia"/>
                <w:vertAlign w:val="baseline"/>
                <w:lang w:val="en-US" w:eastAsia="zh-CN"/>
              </w:rPr>
              <w:t>47.09%</w:t>
            </w:r>
          </w:p>
        </w:tc>
      </w:tr>
    </w:tbl>
    <w:p>
      <w:pPr>
        <w:numPr>
          <w:numId w:val="0"/>
        </w:numPr>
        <w:ind w:leftChars="0"/>
        <w:rPr>
          <w:rFonts w:hint="default"/>
          <w:lang w:val="en-US" w:eastAsia="zh-CN"/>
        </w:rPr>
      </w:pPr>
    </w:p>
    <w:p>
      <w:pPr>
        <w:numPr>
          <w:ilvl w:val="1"/>
          <w:numId w:val="1"/>
        </w:numPr>
        <w:ind w:left="0" w:leftChars="0" w:firstLine="0" w:firstLineChars="0"/>
        <w:rPr>
          <w:rFonts w:hint="default"/>
          <w:lang w:val="en-US" w:eastAsia="zh-CN"/>
        </w:rPr>
      </w:pPr>
      <w:r>
        <w:rPr>
          <w:rFonts w:hint="eastAsia"/>
          <w:lang w:val="en-US" w:eastAsia="zh-CN"/>
        </w:rPr>
        <w:t>错误分析</w:t>
      </w:r>
    </w:p>
    <w:p>
      <w:pPr>
        <w:numPr>
          <w:numId w:val="0"/>
        </w:numPr>
        <w:ind w:leftChars="0" w:firstLine="420" w:firstLineChars="0"/>
        <w:rPr>
          <w:rFonts w:hint="eastAsia"/>
          <w:lang w:val="en-US" w:eastAsia="zh-CN"/>
        </w:rPr>
      </w:pPr>
      <w:r>
        <w:rPr>
          <w:rFonts w:hint="eastAsia"/>
          <w:lang w:val="en-US" w:eastAsia="zh-CN"/>
        </w:rPr>
        <w:t>尽管尝试了多种手段查找最接近的图片，可以发现查找的正确率始终并不高，先手动观察一些错误率较高的查询样例并分析其错误原因：</w:t>
      </w:r>
    </w:p>
    <w:p>
      <w:pPr>
        <w:numPr>
          <w:numId w:val="0"/>
        </w:numPr>
        <w:ind w:leftChars="0" w:firstLine="420" w:firstLineChars="0"/>
        <w:rPr>
          <w:rFonts w:hint="default"/>
          <w:lang w:val="en-US" w:eastAsia="zh-CN"/>
        </w:rPr>
      </w:pPr>
      <w:r>
        <w:rPr>
          <w:rFonts w:hint="eastAsia"/>
          <w:lang w:val="en-US" w:eastAsia="zh-CN"/>
        </w:rPr>
        <w:t>例1：beach/110.jpg在128维欧氏距离条件下查询的前30接近图片中仅有一个是beach类别中的，而大量被判断为近似的图片则是football类别下的图片和mountain类别下的照片。</w:t>
      </w:r>
    </w:p>
    <w:p>
      <w:pPr>
        <w:numPr>
          <w:numId w:val="0"/>
        </w:numPr>
        <w:jc w:val="center"/>
        <w:rPr>
          <w:rFonts w:hint="eastAsia" w:eastAsiaTheme="minorEastAsia"/>
          <w:lang w:val="en-US" w:eastAsia="zh-CN"/>
        </w:rPr>
      </w:pPr>
      <w:r>
        <w:drawing>
          <wp:inline distT="0" distB="0" distL="114300" distR="114300">
            <wp:extent cx="1583690" cy="10591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583690" cy="1059180"/>
                    </a:xfrm>
                    <a:prstGeom prst="rect">
                      <a:avLst/>
                    </a:prstGeom>
                    <a:noFill/>
                    <a:ln>
                      <a:noFill/>
                    </a:ln>
                  </pic:spPr>
                </pic:pic>
              </a:graphicData>
            </a:graphic>
          </wp:inline>
        </w:drawing>
      </w:r>
      <w:r>
        <w:rPr>
          <w:rFonts w:hint="eastAsia"/>
          <w:lang w:val="en-US" w:eastAsia="zh-CN"/>
        </w:rPr>
        <w:tab/>
        <w:t xml:space="preserve"> </w:t>
      </w:r>
      <w:r>
        <w:drawing>
          <wp:inline distT="0" distB="0" distL="114300" distR="114300">
            <wp:extent cx="1592580" cy="10636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92580" cy="1063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618615" cy="1077595"/>
            <wp:effectExtent l="0" t="0" r="1206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618615" cy="1077595"/>
                    </a:xfrm>
                    <a:prstGeom prst="rect">
                      <a:avLst/>
                    </a:prstGeom>
                    <a:noFill/>
                    <a:ln>
                      <a:noFill/>
                    </a:ln>
                  </pic:spPr>
                </pic:pic>
              </a:graphicData>
            </a:graphic>
          </wp:inline>
        </w:drawing>
      </w:r>
    </w:p>
    <w:p>
      <w:pPr>
        <w:numPr>
          <w:numId w:val="0"/>
        </w:numPr>
        <w:rPr>
          <w:rFonts w:hint="eastAsia"/>
          <w:lang w:val="en-US" w:eastAsia="zh-CN"/>
        </w:rPr>
      </w:pPr>
    </w:p>
    <w:p>
      <w:pPr>
        <w:numPr>
          <w:numId w:val="0"/>
        </w:numPr>
        <w:ind w:leftChars="0" w:firstLine="420" w:firstLineChars="0"/>
        <w:rPr>
          <w:rFonts w:hint="eastAsia"/>
          <w:lang w:val="en-US" w:eastAsia="zh-CN"/>
        </w:rPr>
      </w:pPr>
      <w:r>
        <w:rPr>
          <w:rFonts w:hint="eastAsia"/>
          <w:lang w:val="en-US" w:eastAsia="zh-CN"/>
        </w:rPr>
        <w:t>容易发现，这两个错误的近似图与原图在色调上接近，尤其是大片的蓝绿色区域是几张图共有的，这就使得这些图的距离更近。</w:t>
      </w:r>
    </w:p>
    <w:p>
      <w:pPr>
        <w:numPr>
          <w:numId w:val="0"/>
        </w:numPr>
        <w:ind w:leftChars="0" w:firstLine="420" w:firstLineChars="0"/>
        <w:rPr>
          <w:rFonts w:hint="eastAsia"/>
          <w:lang w:val="en-US" w:eastAsia="zh-CN"/>
        </w:rPr>
      </w:pPr>
    </w:p>
    <w:p>
      <w:pPr>
        <w:numPr>
          <w:numId w:val="0"/>
        </w:numPr>
        <w:ind w:leftChars="0" w:firstLine="420" w:firstLineChars="0"/>
        <w:rPr>
          <w:rFonts w:hint="default"/>
          <w:lang w:val="en-US" w:eastAsia="zh-CN"/>
        </w:rPr>
      </w:pPr>
      <w:r>
        <w:rPr>
          <w:rFonts w:hint="eastAsia"/>
          <w:lang w:val="en-US" w:eastAsia="zh-CN"/>
        </w:rPr>
        <w:t>例2：与elephant/511.jpg最接近的图中大多数是horses类中的图，是因为这两类图均以草地丛林为背景，背景的匹配度极高，而图中的中体在算法中则被作为非重要信息几乎无视了。</w:t>
      </w:r>
    </w:p>
    <w:p>
      <w:pPr>
        <w:numPr>
          <w:numId w:val="0"/>
        </w:numPr>
        <w:ind w:leftChars="0" w:firstLine="420" w:firstLineChars="0"/>
        <w:jc w:val="center"/>
      </w:pPr>
      <w:r>
        <w:drawing>
          <wp:inline distT="0" distB="0" distL="114300" distR="114300">
            <wp:extent cx="1897380" cy="1268730"/>
            <wp:effectExtent l="0" t="0" r="762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897380" cy="12687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01190" cy="1274445"/>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901190" cy="1274445"/>
                    </a:xfrm>
                    <a:prstGeom prst="rect">
                      <a:avLst/>
                    </a:prstGeom>
                    <a:noFill/>
                    <a:ln>
                      <a:noFill/>
                    </a:ln>
                  </pic:spPr>
                </pic:pic>
              </a:graphicData>
            </a:graphic>
          </wp:inline>
        </w:drawing>
      </w:r>
    </w:p>
    <w:p>
      <w:pPr>
        <w:numPr>
          <w:numId w:val="0"/>
        </w:numPr>
        <w:ind w:leftChars="0" w:firstLine="420" w:firstLineChars="0"/>
        <w:jc w:val="center"/>
        <w:rPr>
          <w:rFonts w:hint="default"/>
          <w:lang w:val="en-US" w:eastAsia="zh-CN"/>
        </w:rPr>
      </w:pPr>
    </w:p>
    <w:p>
      <w:pPr>
        <w:numPr>
          <w:numId w:val="0"/>
        </w:numPr>
        <w:ind w:leftChars="0" w:firstLine="420" w:firstLineChars="0"/>
        <w:rPr>
          <w:rFonts w:hint="eastAsia"/>
          <w:lang w:val="en-US" w:eastAsia="zh-CN"/>
        </w:rPr>
      </w:pPr>
      <w:r>
        <w:rPr>
          <w:rFonts w:hint="eastAsia"/>
          <w:lang w:val="en-US" w:eastAsia="zh-CN"/>
        </w:rPr>
        <w:t>为了进一步更直观观察产生错误的原因，尝试直接对描述图片的128维向量进行降维，将所有图片对应的向量降维成二维平面上的点并观察哪些本该属于同一类的点距离很远、本该属于不同类的点距离很近，并分析原因。</w:t>
      </w:r>
    </w:p>
    <w:p>
      <w:pPr>
        <w:numPr>
          <w:numId w:val="0"/>
        </w:numPr>
        <w:jc w:val="center"/>
        <w:rPr>
          <w:rFonts w:hint="eastAsia"/>
          <w:lang w:val="en-US" w:eastAsia="zh-CN"/>
        </w:rPr>
      </w:pPr>
      <w:r>
        <w:drawing>
          <wp:inline distT="0" distB="0" distL="114300" distR="114300">
            <wp:extent cx="3531870" cy="2480945"/>
            <wp:effectExtent l="0" t="0" r="381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531870" cy="2480945"/>
                    </a:xfrm>
                    <a:prstGeom prst="rect">
                      <a:avLst/>
                    </a:prstGeom>
                    <a:noFill/>
                    <a:ln>
                      <a:noFill/>
                    </a:ln>
                  </pic:spPr>
                </pic:pic>
              </a:graphicData>
            </a:graphic>
          </wp:inline>
        </w:drawing>
      </w:r>
    </w:p>
    <w:p>
      <w:pPr>
        <w:numPr>
          <w:numId w:val="0"/>
        </w:numPr>
        <w:ind w:leftChars="0" w:firstLine="420" w:firstLineChars="0"/>
        <w:rPr>
          <w:rFonts w:hint="eastAsia"/>
          <w:lang w:val="en-US" w:eastAsia="zh-CN"/>
        </w:rPr>
      </w:pPr>
      <w:r>
        <w:rPr>
          <w:rFonts w:hint="eastAsia"/>
          <w:lang w:val="en-US" w:eastAsia="zh-CN"/>
        </w:rPr>
        <w:t>上图是根据128维向量生成的降维图，不同颜色的点代表不同类别。发现有些类别例如浅蓝色点和紫色点距离其他类别有一定距离，但是多数类别是相互穿插交织在一起，其区分度较低。</w:t>
      </w:r>
    </w:p>
    <w:p>
      <w:pPr>
        <w:numPr>
          <w:numId w:val="0"/>
        </w:numPr>
        <w:ind w:leftChars="0" w:firstLine="420" w:firstLineChars="0"/>
        <w:rPr>
          <w:rFonts w:hint="default"/>
          <w:lang w:val="en-US" w:eastAsia="zh-CN"/>
        </w:rPr>
      </w:pPr>
    </w:p>
    <w:p>
      <w:pPr>
        <w:numPr>
          <w:ilvl w:val="0"/>
          <w:numId w:val="1"/>
        </w:numPr>
        <w:rPr>
          <w:rFonts w:hint="default"/>
          <w:b/>
          <w:bCs/>
          <w:lang w:val="en-US" w:eastAsia="zh-CN"/>
        </w:rPr>
      </w:pPr>
      <w:r>
        <w:rPr>
          <w:rFonts w:hint="eastAsia"/>
          <w:b/>
          <w:bCs/>
          <w:lang w:val="en-US" w:eastAsia="zh-CN"/>
        </w:rPr>
        <w:t>拓展功能</w:t>
      </w:r>
    </w:p>
    <w:p>
      <w:pPr>
        <w:numPr>
          <w:numId w:val="0"/>
        </w:numPr>
        <w:ind w:firstLine="420" w:firstLineChars="0"/>
        <w:rPr>
          <w:rFonts w:hint="eastAsia"/>
          <w:lang w:val="en-US" w:eastAsia="zh-CN"/>
        </w:rPr>
      </w:pPr>
      <w:r>
        <w:rPr>
          <w:rFonts w:hint="eastAsia"/>
          <w:lang w:val="en-US" w:eastAsia="zh-CN"/>
        </w:rPr>
        <w:t>本次实验共从三个角度进行了拓展研究。</w:t>
      </w:r>
    </w:p>
    <w:p>
      <w:pPr>
        <w:numPr>
          <w:numId w:val="0"/>
        </w:numPr>
        <w:ind w:firstLine="420" w:firstLineChars="0"/>
        <w:rPr>
          <w:rFonts w:hint="eastAsia"/>
          <w:lang w:val="en-US" w:eastAsia="zh-CN"/>
        </w:rPr>
      </w:pPr>
      <w:r>
        <w:rPr>
          <w:rFonts w:hint="eastAsia"/>
          <w:lang w:val="en-US" w:eastAsia="zh-CN"/>
        </w:rPr>
        <w:t>首先实验中尝试使用了在规定的三种距离计算方式之外的新的距离计算方式：交叉熵来衡量向量之间的距离，考虑到交叉熵是常用于判断两种概率分布的相似程度的方法，应用在这个场景中是有理论依据的。经过测试，有如下结果：</w:t>
      </w:r>
    </w:p>
    <w:p>
      <w:pPr>
        <w:numPr>
          <w:numId w:val="0"/>
        </w:numPr>
        <w:ind w:firstLine="420" w:firstLineChars="0"/>
        <w:rPr>
          <w:rFonts w:hint="eastAsia"/>
          <w:lang w:val="en-US" w:eastAsia="zh-CN"/>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平均准确率</w:t>
            </w:r>
          </w:p>
        </w:tc>
        <w:tc>
          <w:tcPr>
            <w:tcW w:w="2841" w:type="dxa"/>
          </w:tcPr>
          <w:p>
            <w:pPr>
              <w:numPr>
                <w:ilvl w:val="0"/>
                <w:numId w:val="0"/>
              </w:numPr>
              <w:rPr>
                <w:rFonts w:hint="default"/>
                <w:vertAlign w:val="baseline"/>
                <w:lang w:val="en-US" w:eastAsia="zh-CN"/>
              </w:rPr>
            </w:pPr>
            <w:r>
              <w:rPr>
                <w:rFonts w:hint="eastAsia"/>
                <w:vertAlign w:val="baseline"/>
                <w:lang w:val="en-US" w:eastAsia="zh-CN"/>
              </w:rPr>
              <w:t>16维</w:t>
            </w:r>
          </w:p>
        </w:tc>
        <w:tc>
          <w:tcPr>
            <w:tcW w:w="2841" w:type="dxa"/>
          </w:tcPr>
          <w:p>
            <w:pPr>
              <w:numPr>
                <w:ilvl w:val="0"/>
                <w:numId w:val="0"/>
              </w:numPr>
              <w:rPr>
                <w:rFonts w:hint="default"/>
                <w:vertAlign w:val="baseline"/>
                <w:lang w:val="en-US" w:eastAsia="zh-CN"/>
              </w:rPr>
            </w:pPr>
            <w:r>
              <w:rPr>
                <w:rFonts w:hint="eastAsia"/>
                <w:vertAlign w:val="baseline"/>
                <w:lang w:val="en-US" w:eastAsia="zh-CN"/>
              </w:rPr>
              <w:t>128维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L2</w:t>
            </w:r>
          </w:p>
        </w:tc>
        <w:tc>
          <w:tcPr>
            <w:tcW w:w="2841" w:type="dxa"/>
          </w:tcPr>
          <w:p>
            <w:pPr>
              <w:numPr>
                <w:ilvl w:val="0"/>
                <w:numId w:val="0"/>
              </w:numPr>
              <w:rPr>
                <w:rFonts w:hint="default"/>
                <w:vertAlign w:val="baseline"/>
                <w:lang w:val="en-US" w:eastAsia="zh-CN"/>
              </w:rPr>
            </w:pPr>
            <w:r>
              <w:rPr>
                <w:rFonts w:hint="eastAsia"/>
                <w:vertAlign w:val="baseline"/>
                <w:lang w:val="en-US" w:eastAsia="zh-CN"/>
              </w:rPr>
              <w:t>29.58%</w:t>
            </w:r>
          </w:p>
        </w:tc>
        <w:tc>
          <w:tcPr>
            <w:tcW w:w="2841" w:type="dxa"/>
          </w:tcPr>
          <w:p>
            <w:pPr>
              <w:numPr>
                <w:ilvl w:val="0"/>
                <w:numId w:val="0"/>
              </w:numPr>
              <w:rPr>
                <w:rFonts w:hint="default"/>
                <w:vertAlign w:val="baseline"/>
                <w:lang w:val="en-US" w:eastAsia="zh-CN"/>
              </w:rPr>
            </w:pPr>
            <w:r>
              <w:rPr>
                <w:rFonts w:hint="eastAsia"/>
                <w:vertAlign w:val="baseline"/>
                <w:lang w:val="en-US" w:eastAsia="zh-CN"/>
              </w:rPr>
              <w:t>37.62%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HI</w:t>
            </w:r>
          </w:p>
        </w:tc>
        <w:tc>
          <w:tcPr>
            <w:tcW w:w="2841" w:type="dxa"/>
          </w:tcPr>
          <w:p>
            <w:pPr>
              <w:numPr>
                <w:ilvl w:val="0"/>
                <w:numId w:val="0"/>
              </w:numPr>
              <w:rPr>
                <w:rFonts w:hint="default"/>
                <w:vertAlign w:val="baseline"/>
                <w:lang w:val="en-US" w:eastAsia="zh-CN"/>
              </w:rPr>
            </w:pPr>
            <w:r>
              <w:rPr>
                <w:rFonts w:hint="eastAsia"/>
                <w:vertAlign w:val="baseline"/>
                <w:lang w:val="en-US" w:eastAsia="zh-CN"/>
              </w:rPr>
              <w:t>32.53%</w:t>
            </w:r>
          </w:p>
        </w:tc>
        <w:tc>
          <w:tcPr>
            <w:tcW w:w="2841" w:type="dxa"/>
          </w:tcPr>
          <w:p>
            <w:pPr>
              <w:numPr>
                <w:ilvl w:val="0"/>
                <w:numId w:val="0"/>
              </w:numPr>
              <w:rPr>
                <w:rFonts w:hint="default"/>
                <w:vertAlign w:val="baseline"/>
                <w:lang w:val="en-US" w:eastAsia="zh-CN"/>
              </w:rPr>
            </w:pPr>
            <w:r>
              <w:rPr>
                <w:rFonts w:hint="eastAsia"/>
                <w:vertAlign w:val="baseline"/>
                <w:lang w:val="en-US" w:eastAsia="zh-CN"/>
              </w:rPr>
              <w:t>44.86%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Bh</w:t>
            </w:r>
          </w:p>
        </w:tc>
        <w:tc>
          <w:tcPr>
            <w:tcW w:w="2841" w:type="dxa"/>
          </w:tcPr>
          <w:p>
            <w:pPr>
              <w:numPr>
                <w:ilvl w:val="0"/>
                <w:numId w:val="0"/>
              </w:numPr>
              <w:rPr>
                <w:rFonts w:hint="default"/>
                <w:vertAlign w:val="baseline"/>
                <w:lang w:val="en-US" w:eastAsia="zh-CN"/>
              </w:rPr>
            </w:pPr>
            <w:r>
              <w:rPr>
                <w:rFonts w:hint="eastAsia"/>
                <w:vertAlign w:val="baseline"/>
                <w:lang w:val="en-US" w:eastAsia="zh-CN"/>
              </w:rPr>
              <w:t>37.86%</w:t>
            </w:r>
          </w:p>
        </w:tc>
        <w:tc>
          <w:tcPr>
            <w:tcW w:w="2841" w:type="dxa"/>
          </w:tcPr>
          <w:p>
            <w:pPr>
              <w:numPr>
                <w:ilvl w:val="0"/>
                <w:numId w:val="0"/>
              </w:numPr>
              <w:rPr>
                <w:rFonts w:hint="default"/>
                <w:vertAlign w:val="baseline"/>
                <w:lang w:val="en-US" w:eastAsia="zh-CN"/>
              </w:rPr>
            </w:pPr>
            <w:r>
              <w:rPr>
                <w:rFonts w:hint="eastAsia"/>
                <w:vertAlign w:val="baseline"/>
                <w:lang w:val="en-US" w:eastAsia="zh-CN"/>
              </w:rPr>
              <w:t>47.09%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color w:val="FF0000"/>
                <w:vertAlign w:val="baseline"/>
                <w:lang w:val="en-US" w:eastAsia="zh-CN"/>
              </w:rPr>
            </w:pPr>
            <w:r>
              <w:rPr>
                <w:rFonts w:hint="eastAsia"/>
                <w:color w:val="FF0000"/>
                <w:vertAlign w:val="baseline"/>
                <w:lang w:val="en-US" w:eastAsia="zh-CN"/>
              </w:rPr>
              <w:t>CE(交叉熵)</w:t>
            </w:r>
          </w:p>
        </w:tc>
        <w:tc>
          <w:tcPr>
            <w:tcW w:w="2841" w:type="dxa"/>
          </w:tcPr>
          <w:p>
            <w:pPr>
              <w:numPr>
                <w:ilvl w:val="0"/>
                <w:numId w:val="0"/>
              </w:numPr>
              <w:rPr>
                <w:rFonts w:hint="default"/>
                <w:color w:val="FF0000"/>
                <w:vertAlign w:val="baseline"/>
                <w:lang w:val="en-US" w:eastAsia="zh-CN"/>
              </w:rPr>
            </w:pPr>
            <w:r>
              <w:rPr>
                <w:rFonts w:hint="eastAsia"/>
                <w:color w:val="FF0000"/>
                <w:vertAlign w:val="baseline"/>
                <w:lang w:val="en-US" w:eastAsia="zh-CN"/>
              </w:rPr>
              <w:t>36.61%</w:t>
            </w:r>
          </w:p>
        </w:tc>
        <w:tc>
          <w:tcPr>
            <w:tcW w:w="2841" w:type="dxa"/>
          </w:tcPr>
          <w:p>
            <w:pPr>
              <w:numPr>
                <w:ilvl w:val="0"/>
                <w:numId w:val="0"/>
              </w:numPr>
              <w:rPr>
                <w:rFonts w:hint="default"/>
                <w:color w:val="FF0000"/>
                <w:vertAlign w:val="baseline"/>
                <w:lang w:val="en-US" w:eastAsia="zh-CN"/>
              </w:rPr>
            </w:pPr>
            <w:r>
              <w:rPr>
                <w:rFonts w:hint="eastAsia"/>
                <w:color w:val="FF0000"/>
                <w:vertAlign w:val="baseline"/>
                <w:lang w:val="en-US" w:eastAsia="zh-CN"/>
              </w:rPr>
              <w:t>45.11%</w:t>
            </w:r>
          </w:p>
        </w:tc>
      </w:tr>
    </w:tbl>
    <w:p>
      <w:pPr>
        <w:numPr>
          <w:numId w:val="0"/>
        </w:numPr>
        <w:ind w:firstLine="420" w:firstLineChars="0"/>
        <w:rPr>
          <w:rFonts w:hint="eastAsia"/>
          <w:lang w:val="en-US" w:eastAsia="zh-CN"/>
        </w:rPr>
      </w:pPr>
      <w:r>
        <w:rPr>
          <w:rFonts w:hint="eastAsia"/>
          <w:lang w:val="en-US" w:eastAsia="zh-CN"/>
        </w:rPr>
        <w:t>可以看到，交叉熵作为距离函数的性能是优于欧氏距离和直方图交集算法，稍逊于Bhattacharyya方法的。</w:t>
      </w:r>
    </w:p>
    <w:p>
      <w:pPr>
        <w:numPr>
          <w:numId w:val="0"/>
        </w:numPr>
        <w:ind w:firstLine="420" w:firstLineChars="0"/>
        <w:rPr>
          <w:rFonts w:hint="default"/>
          <w:lang w:val="en-US" w:eastAsia="zh-CN"/>
        </w:rPr>
      </w:pPr>
    </w:p>
    <w:p>
      <w:pPr>
        <w:numPr>
          <w:numId w:val="0"/>
        </w:numPr>
        <w:ind w:leftChars="0" w:firstLine="420" w:firstLineChars="0"/>
        <w:rPr>
          <w:rFonts w:hint="eastAsia"/>
          <w:lang w:val="en-US" w:eastAsia="zh-CN"/>
        </w:rPr>
      </w:pPr>
      <w:r>
        <w:rPr>
          <w:rFonts w:hint="eastAsia"/>
          <w:lang w:val="en-US" w:eastAsia="zh-CN"/>
        </w:rPr>
        <w:t>而后是在128维向量空间的基础上考虑引入灰度维度，将像素的灰度值作为与红绿蓝三个通道同等地位的第四通道，将灰度值也整除64后映射到[0,4)的区间内，整体作为512维向量重复上述实验：</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numPr>
                <w:ilvl w:val="0"/>
                <w:numId w:val="0"/>
              </w:numPr>
              <w:rPr>
                <w:rFonts w:hint="default"/>
                <w:vertAlign w:val="baseline"/>
                <w:lang w:val="en-US" w:eastAsia="zh-CN"/>
              </w:rPr>
            </w:pPr>
            <w:r>
              <w:rPr>
                <w:rFonts w:hint="eastAsia"/>
                <w:vertAlign w:val="baseline"/>
                <w:lang w:val="en-US" w:eastAsia="zh-CN"/>
              </w:rPr>
              <w:t>平均准确率</w:t>
            </w:r>
          </w:p>
        </w:tc>
        <w:tc>
          <w:tcPr>
            <w:tcW w:w="2130" w:type="dxa"/>
          </w:tcPr>
          <w:p>
            <w:pPr>
              <w:numPr>
                <w:ilvl w:val="0"/>
                <w:numId w:val="0"/>
              </w:numPr>
              <w:rPr>
                <w:rFonts w:hint="default"/>
                <w:vertAlign w:val="baseline"/>
                <w:lang w:val="en-US" w:eastAsia="zh-CN"/>
              </w:rPr>
            </w:pPr>
            <w:r>
              <w:rPr>
                <w:rFonts w:hint="eastAsia"/>
                <w:vertAlign w:val="baseline"/>
                <w:lang w:val="en-US" w:eastAsia="zh-CN"/>
              </w:rPr>
              <w:t>16维</w:t>
            </w:r>
          </w:p>
        </w:tc>
        <w:tc>
          <w:tcPr>
            <w:tcW w:w="2130" w:type="dxa"/>
          </w:tcPr>
          <w:p>
            <w:pPr>
              <w:numPr>
                <w:ilvl w:val="0"/>
                <w:numId w:val="0"/>
              </w:numPr>
              <w:rPr>
                <w:rFonts w:hint="default"/>
                <w:vertAlign w:val="baseline"/>
                <w:lang w:val="en-US" w:eastAsia="zh-CN"/>
              </w:rPr>
            </w:pPr>
            <w:r>
              <w:rPr>
                <w:rFonts w:hint="eastAsia"/>
                <w:vertAlign w:val="baseline"/>
                <w:lang w:val="en-US" w:eastAsia="zh-CN"/>
              </w:rPr>
              <w:t>128维</w:t>
            </w:r>
          </w:p>
        </w:tc>
        <w:tc>
          <w:tcPr>
            <w:tcW w:w="2130" w:type="dxa"/>
          </w:tcPr>
          <w:p>
            <w:pPr>
              <w:numPr>
                <w:ilvl w:val="0"/>
                <w:numId w:val="0"/>
              </w:numPr>
              <w:rPr>
                <w:rFonts w:hint="default"/>
                <w:color w:val="FF0000"/>
                <w:vertAlign w:val="baseline"/>
                <w:lang w:val="en-US" w:eastAsia="zh-CN"/>
              </w:rPr>
            </w:pPr>
            <w:r>
              <w:rPr>
                <w:rFonts w:hint="eastAsia"/>
                <w:color w:val="FF0000"/>
                <w:vertAlign w:val="baseline"/>
                <w:lang w:val="en-US" w:eastAsia="zh-CN"/>
              </w:rPr>
              <w:t>灰度512维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numPr>
                <w:ilvl w:val="0"/>
                <w:numId w:val="0"/>
              </w:numPr>
              <w:rPr>
                <w:rFonts w:hint="default"/>
                <w:vertAlign w:val="baseline"/>
                <w:lang w:val="en-US" w:eastAsia="zh-CN"/>
              </w:rPr>
            </w:pPr>
            <w:r>
              <w:rPr>
                <w:rFonts w:hint="eastAsia"/>
                <w:vertAlign w:val="baseline"/>
                <w:lang w:val="en-US" w:eastAsia="zh-CN"/>
              </w:rPr>
              <w:t>L2</w:t>
            </w:r>
          </w:p>
        </w:tc>
        <w:tc>
          <w:tcPr>
            <w:tcW w:w="2130" w:type="dxa"/>
          </w:tcPr>
          <w:p>
            <w:pPr>
              <w:numPr>
                <w:ilvl w:val="0"/>
                <w:numId w:val="0"/>
              </w:numPr>
              <w:rPr>
                <w:rFonts w:hint="default"/>
                <w:vertAlign w:val="baseline"/>
                <w:lang w:val="en-US" w:eastAsia="zh-CN"/>
              </w:rPr>
            </w:pPr>
            <w:r>
              <w:rPr>
                <w:rFonts w:hint="eastAsia"/>
                <w:vertAlign w:val="baseline"/>
                <w:lang w:val="en-US" w:eastAsia="zh-CN"/>
              </w:rPr>
              <w:t>29.58%</w:t>
            </w:r>
          </w:p>
        </w:tc>
        <w:tc>
          <w:tcPr>
            <w:tcW w:w="2130" w:type="dxa"/>
          </w:tcPr>
          <w:p>
            <w:pPr>
              <w:numPr>
                <w:ilvl w:val="0"/>
                <w:numId w:val="0"/>
              </w:numPr>
              <w:rPr>
                <w:rFonts w:hint="default"/>
                <w:vertAlign w:val="baseline"/>
                <w:lang w:val="en-US" w:eastAsia="zh-CN"/>
              </w:rPr>
            </w:pPr>
            <w:r>
              <w:rPr>
                <w:rFonts w:hint="eastAsia"/>
                <w:vertAlign w:val="baseline"/>
                <w:lang w:val="en-US" w:eastAsia="zh-CN"/>
              </w:rPr>
              <w:t>37.62%</w:t>
            </w:r>
          </w:p>
        </w:tc>
        <w:tc>
          <w:tcPr>
            <w:tcW w:w="2130" w:type="dxa"/>
          </w:tcPr>
          <w:p>
            <w:pPr>
              <w:numPr>
                <w:ilvl w:val="0"/>
                <w:numId w:val="0"/>
              </w:numPr>
              <w:rPr>
                <w:rFonts w:hint="default"/>
                <w:color w:val="FF0000"/>
                <w:vertAlign w:val="baseline"/>
                <w:lang w:val="en-US" w:eastAsia="zh-CN"/>
              </w:rPr>
            </w:pPr>
            <w:r>
              <w:rPr>
                <w:rFonts w:hint="eastAsia"/>
                <w:color w:val="FF0000"/>
                <w:vertAlign w:val="baseline"/>
                <w:lang w:val="en-US" w:eastAsia="zh-CN"/>
              </w:rPr>
              <w:t>36.65%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numPr>
                <w:ilvl w:val="0"/>
                <w:numId w:val="0"/>
              </w:numPr>
              <w:rPr>
                <w:rFonts w:hint="default"/>
                <w:vertAlign w:val="baseline"/>
                <w:lang w:val="en-US" w:eastAsia="zh-CN"/>
              </w:rPr>
            </w:pPr>
            <w:r>
              <w:rPr>
                <w:rFonts w:hint="eastAsia"/>
                <w:vertAlign w:val="baseline"/>
                <w:lang w:val="en-US" w:eastAsia="zh-CN"/>
              </w:rPr>
              <w:t>HI</w:t>
            </w:r>
          </w:p>
        </w:tc>
        <w:tc>
          <w:tcPr>
            <w:tcW w:w="2130" w:type="dxa"/>
          </w:tcPr>
          <w:p>
            <w:pPr>
              <w:numPr>
                <w:ilvl w:val="0"/>
                <w:numId w:val="0"/>
              </w:numPr>
              <w:rPr>
                <w:rFonts w:hint="default"/>
                <w:vertAlign w:val="baseline"/>
                <w:lang w:val="en-US" w:eastAsia="zh-CN"/>
              </w:rPr>
            </w:pPr>
            <w:r>
              <w:rPr>
                <w:rFonts w:hint="eastAsia"/>
                <w:vertAlign w:val="baseline"/>
                <w:lang w:val="en-US" w:eastAsia="zh-CN"/>
              </w:rPr>
              <w:t>32.53%</w:t>
            </w:r>
          </w:p>
        </w:tc>
        <w:tc>
          <w:tcPr>
            <w:tcW w:w="2130" w:type="dxa"/>
          </w:tcPr>
          <w:p>
            <w:pPr>
              <w:numPr>
                <w:ilvl w:val="0"/>
                <w:numId w:val="0"/>
              </w:numPr>
              <w:rPr>
                <w:rFonts w:hint="default"/>
                <w:vertAlign w:val="baseline"/>
                <w:lang w:val="en-US" w:eastAsia="zh-CN"/>
              </w:rPr>
            </w:pPr>
            <w:r>
              <w:rPr>
                <w:rFonts w:hint="eastAsia"/>
                <w:vertAlign w:val="baseline"/>
                <w:lang w:val="en-US" w:eastAsia="zh-CN"/>
              </w:rPr>
              <w:t>44.86%</w:t>
            </w:r>
          </w:p>
        </w:tc>
        <w:tc>
          <w:tcPr>
            <w:tcW w:w="2130" w:type="dxa"/>
          </w:tcPr>
          <w:p>
            <w:pPr>
              <w:numPr>
                <w:ilvl w:val="0"/>
                <w:numId w:val="0"/>
              </w:numPr>
              <w:rPr>
                <w:rFonts w:hint="default"/>
                <w:color w:val="FF0000"/>
                <w:vertAlign w:val="baseline"/>
                <w:lang w:val="en-US" w:eastAsia="zh-CN"/>
              </w:rPr>
            </w:pPr>
            <w:r>
              <w:rPr>
                <w:rFonts w:hint="eastAsia"/>
                <w:color w:val="FF0000"/>
                <w:vertAlign w:val="baseline"/>
                <w:lang w:val="en-US" w:eastAsia="zh-CN"/>
              </w:rPr>
              <w:t>44.93%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numPr>
                <w:ilvl w:val="0"/>
                <w:numId w:val="0"/>
              </w:numPr>
              <w:rPr>
                <w:rFonts w:hint="default"/>
                <w:vertAlign w:val="baseline"/>
                <w:lang w:val="en-US" w:eastAsia="zh-CN"/>
              </w:rPr>
            </w:pPr>
            <w:r>
              <w:rPr>
                <w:rFonts w:hint="eastAsia"/>
                <w:vertAlign w:val="baseline"/>
                <w:lang w:val="en-US" w:eastAsia="zh-CN"/>
              </w:rPr>
              <w:t>Bh</w:t>
            </w:r>
          </w:p>
        </w:tc>
        <w:tc>
          <w:tcPr>
            <w:tcW w:w="2130" w:type="dxa"/>
          </w:tcPr>
          <w:p>
            <w:pPr>
              <w:numPr>
                <w:ilvl w:val="0"/>
                <w:numId w:val="0"/>
              </w:numPr>
              <w:rPr>
                <w:rFonts w:hint="default"/>
                <w:vertAlign w:val="baseline"/>
                <w:lang w:val="en-US" w:eastAsia="zh-CN"/>
              </w:rPr>
            </w:pPr>
            <w:r>
              <w:rPr>
                <w:rFonts w:hint="eastAsia"/>
                <w:vertAlign w:val="baseline"/>
                <w:lang w:val="en-US" w:eastAsia="zh-CN"/>
              </w:rPr>
              <w:t>37.86%</w:t>
            </w:r>
          </w:p>
        </w:tc>
        <w:tc>
          <w:tcPr>
            <w:tcW w:w="2130" w:type="dxa"/>
          </w:tcPr>
          <w:p>
            <w:pPr>
              <w:numPr>
                <w:ilvl w:val="0"/>
                <w:numId w:val="0"/>
              </w:numPr>
              <w:rPr>
                <w:rFonts w:hint="default"/>
                <w:vertAlign w:val="baseline"/>
                <w:lang w:val="en-US" w:eastAsia="zh-CN"/>
              </w:rPr>
            </w:pPr>
            <w:r>
              <w:rPr>
                <w:rFonts w:hint="eastAsia"/>
                <w:vertAlign w:val="baseline"/>
                <w:lang w:val="en-US" w:eastAsia="zh-CN"/>
              </w:rPr>
              <w:t>47.09%</w:t>
            </w:r>
          </w:p>
        </w:tc>
        <w:tc>
          <w:tcPr>
            <w:tcW w:w="2130" w:type="dxa"/>
          </w:tcPr>
          <w:p>
            <w:pPr>
              <w:numPr>
                <w:ilvl w:val="0"/>
                <w:numId w:val="0"/>
              </w:numPr>
              <w:rPr>
                <w:rFonts w:hint="default"/>
                <w:color w:val="FF0000"/>
                <w:vertAlign w:val="baseline"/>
                <w:lang w:val="en-US" w:eastAsia="zh-CN"/>
              </w:rPr>
            </w:pPr>
            <w:r>
              <w:rPr>
                <w:rFonts w:hint="eastAsia"/>
                <w:color w:val="FF0000"/>
                <w:vertAlign w:val="baseline"/>
                <w:lang w:val="en-US" w:eastAsia="zh-CN"/>
              </w:rPr>
              <w:t>47.33%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numPr>
                <w:ilvl w:val="0"/>
                <w:numId w:val="0"/>
              </w:numPr>
              <w:rPr>
                <w:rFonts w:hint="default"/>
                <w:color w:val="auto"/>
                <w:vertAlign w:val="baseline"/>
                <w:lang w:val="en-US" w:eastAsia="zh-CN"/>
              </w:rPr>
            </w:pPr>
            <w:r>
              <w:rPr>
                <w:rFonts w:hint="eastAsia"/>
                <w:color w:val="auto"/>
                <w:vertAlign w:val="baseline"/>
                <w:lang w:val="en-US" w:eastAsia="zh-CN"/>
              </w:rPr>
              <w:t>CE(交叉熵)</w:t>
            </w:r>
          </w:p>
        </w:tc>
        <w:tc>
          <w:tcPr>
            <w:tcW w:w="2130" w:type="dxa"/>
          </w:tcPr>
          <w:p>
            <w:pPr>
              <w:numPr>
                <w:ilvl w:val="0"/>
                <w:numId w:val="0"/>
              </w:numPr>
              <w:rPr>
                <w:rFonts w:hint="default"/>
                <w:color w:val="auto"/>
                <w:vertAlign w:val="baseline"/>
                <w:lang w:val="en-US" w:eastAsia="zh-CN"/>
              </w:rPr>
            </w:pPr>
            <w:r>
              <w:rPr>
                <w:rFonts w:hint="eastAsia"/>
                <w:color w:val="auto"/>
                <w:vertAlign w:val="baseline"/>
                <w:lang w:val="en-US" w:eastAsia="zh-CN"/>
              </w:rPr>
              <w:t>36.61%</w:t>
            </w:r>
          </w:p>
        </w:tc>
        <w:tc>
          <w:tcPr>
            <w:tcW w:w="2130" w:type="dxa"/>
          </w:tcPr>
          <w:p>
            <w:pPr>
              <w:numPr>
                <w:ilvl w:val="0"/>
                <w:numId w:val="0"/>
              </w:numPr>
              <w:rPr>
                <w:rFonts w:hint="default"/>
                <w:color w:val="auto"/>
                <w:vertAlign w:val="baseline"/>
                <w:lang w:val="en-US" w:eastAsia="zh-CN"/>
              </w:rPr>
            </w:pPr>
            <w:r>
              <w:rPr>
                <w:rFonts w:hint="eastAsia"/>
                <w:color w:val="auto"/>
                <w:vertAlign w:val="baseline"/>
                <w:lang w:val="en-US" w:eastAsia="zh-CN"/>
              </w:rPr>
              <w:t>45.11%</w:t>
            </w:r>
          </w:p>
        </w:tc>
        <w:tc>
          <w:tcPr>
            <w:tcW w:w="2130" w:type="dxa"/>
          </w:tcPr>
          <w:p>
            <w:pPr>
              <w:numPr>
                <w:ilvl w:val="0"/>
                <w:numId w:val="0"/>
              </w:numPr>
              <w:rPr>
                <w:rFonts w:hint="default"/>
                <w:color w:val="FF0000"/>
                <w:vertAlign w:val="baseline"/>
                <w:lang w:val="en-US" w:eastAsia="zh-CN"/>
              </w:rPr>
            </w:pPr>
            <w:r>
              <w:rPr>
                <w:rFonts w:hint="eastAsia"/>
                <w:color w:val="FF0000"/>
                <w:vertAlign w:val="baseline"/>
                <w:lang w:val="en-US" w:eastAsia="zh-CN"/>
              </w:rPr>
              <w:t>45.55%</w:t>
            </w:r>
          </w:p>
        </w:tc>
      </w:tr>
    </w:tbl>
    <w:p>
      <w:pPr>
        <w:numPr>
          <w:numId w:val="0"/>
        </w:numPr>
        <w:ind w:firstLine="420" w:firstLineChars="0"/>
        <w:rPr>
          <w:rFonts w:hint="eastAsia"/>
          <w:lang w:val="en-US" w:eastAsia="zh-CN"/>
        </w:rPr>
      </w:pPr>
      <w:r>
        <w:rPr>
          <w:rFonts w:hint="eastAsia"/>
          <w:lang w:val="en-US" w:eastAsia="zh-CN"/>
        </w:rPr>
        <w:t>可以看到在增加了灰度维度后正确率有了小幅度上升，因为其实在原来的用128种取值表示一个像素的表示法中隐含了粗略的灰度区间，灰度维度只不过是将这个灰度区间精细化了，信息是有相当程度的冗余的，所以性能提升并不明显。</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此外引入图像的区间信息，将图像按照区域划分成8*8的三通道块，对每个颜色通道的每个块计算该块内该颜色的平均值，得到8*8*3=192维附加信息，将其补充到原向量后得到320维向量，但要注意最好不要直接用该向量参与计算，因为该向量的前128维和后192维的取值范围是不同的，前128维是基于颜色空间的统计分布而后192维是区域颜色均值，如果直接使用距离函数进行测量距离会导致前后两部分的数据尺度不统一从而使结果不准确，故采用前后段各自求距离再按比例加和统一比较。</w:t>
      </w:r>
    </w:p>
    <w:p>
      <w:pPr>
        <w:numPr>
          <w:numId w:val="0"/>
        </w:numPr>
        <w:ind w:firstLine="420" w:firstLineChars="0"/>
        <w:rPr>
          <w:rFonts w:hint="eastAsia"/>
          <w:lang w:val="en-US" w:eastAsia="zh-CN"/>
        </w:rPr>
      </w:pPr>
      <w:r>
        <w:rPr>
          <w:rFonts w:hint="eastAsia"/>
          <w:lang w:val="en-US" w:eastAsia="zh-CN"/>
        </w:rPr>
        <w:t>设前半段距离为d1，后半段距离为d2，则实际排序的距离为d=αd1+d2。调整参数α使得正确率最高，并观察正确率随α的变化的变化规律。</w:t>
      </w:r>
    </w:p>
    <w:p>
      <w:pPr>
        <w:numPr>
          <w:numId w:val="0"/>
        </w:numPr>
        <w:ind w:firstLine="420" w:firstLineChars="0"/>
        <w:rPr>
          <w:rFonts w:hint="default"/>
          <w:lang w:val="en-US" w:eastAsia="zh-CN"/>
        </w:rPr>
      </w:pPr>
      <w:r>
        <w:rPr>
          <w:rFonts w:hint="eastAsia"/>
          <w:lang w:val="en-US" w:eastAsia="zh-CN"/>
        </w:rPr>
        <w:t>下默认采取128+192=320维向量。</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numPr>
                <w:numId w:val="0"/>
              </w:numPr>
              <w:rPr>
                <w:rFonts w:hint="default"/>
                <w:vertAlign w:val="baseline"/>
                <w:lang w:val="en-US" w:eastAsia="zh-CN"/>
              </w:rPr>
            </w:pPr>
            <w:r>
              <w:rPr>
                <w:rFonts w:hint="eastAsia"/>
                <w:vertAlign w:val="baseline"/>
                <w:lang w:val="en-US" w:eastAsia="zh-CN"/>
              </w:rPr>
              <w:t>α</w:t>
            </w:r>
          </w:p>
        </w:tc>
        <w:tc>
          <w:tcPr>
            <w:tcW w:w="1703" w:type="dxa"/>
          </w:tcPr>
          <w:p>
            <w:pPr>
              <w:numPr>
                <w:numId w:val="0"/>
              </w:numPr>
              <w:rPr>
                <w:rFonts w:hint="default"/>
                <w:vertAlign w:val="baseline"/>
                <w:lang w:val="en-US" w:eastAsia="zh-CN"/>
              </w:rPr>
            </w:pPr>
            <w:r>
              <w:rPr>
                <w:rFonts w:hint="eastAsia"/>
                <w:vertAlign w:val="baseline"/>
                <w:lang w:val="en-US" w:eastAsia="zh-CN"/>
              </w:rPr>
              <w:t>L2</w:t>
            </w:r>
          </w:p>
        </w:tc>
        <w:tc>
          <w:tcPr>
            <w:tcW w:w="1704" w:type="dxa"/>
          </w:tcPr>
          <w:p>
            <w:pPr>
              <w:numPr>
                <w:numId w:val="0"/>
              </w:numPr>
              <w:rPr>
                <w:rFonts w:hint="default"/>
                <w:vertAlign w:val="baseline"/>
                <w:lang w:val="en-US" w:eastAsia="zh-CN"/>
              </w:rPr>
            </w:pPr>
            <w:r>
              <w:rPr>
                <w:rFonts w:hint="eastAsia"/>
                <w:vertAlign w:val="baseline"/>
                <w:lang w:val="en-US" w:eastAsia="zh-CN"/>
              </w:rPr>
              <w:t>HI</w:t>
            </w:r>
          </w:p>
        </w:tc>
        <w:tc>
          <w:tcPr>
            <w:tcW w:w="1704" w:type="dxa"/>
          </w:tcPr>
          <w:p>
            <w:pPr>
              <w:numPr>
                <w:numId w:val="0"/>
              </w:numPr>
              <w:rPr>
                <w:rFonts w:hint="default"/>
                <w:vertAlign w:val="baseline"/>
                <w:lang w:val="en-US" w:eastAsia="zh-CN"/>
              </w:rPr>
            </w:pPr>
            <w:r>
              <w:rPr>
                <w:rFonts w:hint="eastAsia"/>
                <w:vertAlign w:val="baseline"/>
                <w:lang w:val="en-US" w:eastAsia="zh-CN"/>
              </w:rPr>
              <w:t>Bh</w:t>
            </w:r>
          </w:p>
        </w:tc>
        <w:tc>
          <w:tcPr>
            <w:tcW w:w="1704" w:type="dxa"/>
          </w:tcPr>
          <w:p>
            <w:pPr>
              <w:numPr>
                <w:numId w:val="0"/>
              </w:numPr>
              <w:rPr>
                <w:rFonts w:hint="default"/>
                <w:vertAlign w:val="baseline"/>
                <w:lang w:val="en-US" w:eastAsia="zh-CN"/>
              </w:rPr>
            </w:pPr>
            <w:r>
              <w:rPr>
                <w:rFonts w:hint="eastAsia"/>
                <w:vertAlign w:val="baseline"/>
                <w:lang w:val="en-US" w:eastAsia="zh-CN"/>
              </w:rPr>
              <w:t>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numPr>
                <w:numId w:val="0"/>
              </w:numPr>
              <w:rPr>
                <w:rFonts w:hint="default"/>
                <w:vertAlign w:val="baseline"/>
                <w:lang w:val="en-US" w:eastAsia="zh-CN"/>
              </w:rPr>
            </w:pPr>
            <w:r>
              <w:rPr>
                <w:rFonts w:hint="eastAsia"/>
                <w:vertAlign w:val="baseline"/>
                <w:lang w:val="en-US" w:eastAsia="zh-CN"/>
              </w:rPr>
              <w:t>0.1</w:t>
            </w:r>
          </w:p>
        </w:tc>
        <w:tc>
          <w:tcPr>
            <w:tcW w:w="1703" w:type="dxa"/>
          </w:tcPr>
          <w:p>
            <w:pPr>
              <w:numPr>
                <w:numId w:val="0"/>
              </w:numPr>
              <w:rPr>
                <w:rFonts w:hint="default"/>
                <w:vertAlign w:val="baseline"/>
                <w:lang w:val="en-US" w:eastAsia="zh-CN"/>
              </w:rPr>
            </w:pPr>
            <w:r>
              <w:rPr>
                <w:rFonts w:hint="default"/>
                <w:vertAlign w:val="baseline"/>
                <w:lang w:val="en-US" w:eastAsia="zh-CN"/>
              </w:rPr>
              <w:t>37</w:t>
            </w:r>
            <w:r>
              <w:rPr>
                <w:rFonts w:hint="eastAsia"/>
                <w:vertAlign w:val="baseline"/>
                <w:lang w:val="en-US" w:eastAsia="zh-CN"/>
              </w:rPr>
              <w:t>.</w:t>
            </w:r>
            <w:r>
              <w:rPr>
                <w:rFonts w:hint="default"/>
                <w:vertAlign w:val="baseline"/>
                <w:lang w:val="en-US" w:eastAsia="zh-CN"/>
              </w:rPr>
              <w:t>70</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eastAsia"/>
                <w:vertAlign w:val="baseline"/>
                <w:lang w:val="en-US" w:eastAsia="zh-CN"/>
              </w:rPr>
              <w:t>36.67%</w:t>
            </w:r>
          </w:p>
        </w:tc>
        <w:tc>
          <w:tcPr>
            <w:tcW w:w="1704" w:type="dxa"/>
          </w:tcPr>
          <w:p>
            <w:pPr>
              <w:numPr>
                <w:numId w:val="0"/>
              </w:numPr>
              <w:rPr>
                <w:rFonts w:hint="default"/>
                <w:vertAlign w:val="baseline"/>
                <w:lang w:val="en-US" w:eastAsia="zh-CN"/>
              </w:rPr>
            </w:pPr>
            <w:r>
              <w:rPr>
                <w:rFonts w:hint="default"/>
                <w:vertAlign w:val="baseline"/>
                <w:lang w:val="en-US" w:eastAsia="zh-CN"/>
              </w:rPr>
              <w:t>23</w:t>
            </w:r>
            <w:r>
              <w:rPr>
                <w:rFonts w:hint="eastAsia"/>
                <w:vertAlign w:val="baseline"/>
                <w:lang w:val="en-US" w:eastAsia="zh-CN"/>
              </w:rPr>
              <w:t>.</w:t>
            </w:r>
            <w:r>
              <w:rPr>
                <w:rFonts w:hint="default"/>
                <w:vertAlign w:val="baseline"/>
                <w:lang w:val="en-US" w:eastAsia="zh-CN"/>
              </w:rPr>
              <w:t>98</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39</w:t>
            </w:r>
            <w:r>
              <w:rPr>
                <w:rFonts w:hint="eastAsia"/>
                <w:vertAlign w:val="baseline"/>
                <w:lang w:val="en-US" w:eastAsia="zh-CN"/>
              </w:rPr>
              <w:t>.</w:t>
            </w:r>
            <w:r>
              <w:rPr>
                <w:rFonts w:hint="default"/>
                <w:vertAlign w:val="baseline"/>
                <w:lang w:val="en-US" w:eastAsia="zh-CN"/>
              </w:rPr>
              <w:t>12</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numPr>
                <w:numId w:val="0"/>
              </w:numPr>
              <w:rPr>
                <w:rFonts w:hint="default"/>
                <w:vertAlign w:val="baseline"/>
                <w:lang w:val="en-US" w:eastAsia="zh-CN"/>
              </w:rPr>
            </w:pPr>
            <w:r>
              <w:rPr>
                <w:rFonts w:hint="eastAsia"/>
                <w:vertAlign w:val="baseline"/>
                <w:lang w:val="en-US" w:eastAsia="zh-CN"/>
              </w:rPr>
              <w:t>0.3</w:t>
            </w:r>
          </w:p>
        </w:tc>
        <w:tc>
          <w:tcPr>
            <w:tcW w:w="1703" w:type="dxa"/>
          </w:tcPr>
          <w:p>
            <w:pPr>
              <w:numPr>
                <w:numId w:val="0"/>
              </w:numPr>
              <w:rPr>
                <w:rFonts w:hint="default"/>
                <w:vertAlign w:val="baseline"/>
                <w:lang w:val="en-US" w:eastAsia="zh-CN"/>
              </w:rPr>
            </w:pPr>
            <w:r>
              <w:rPr>
                <w:rFonts w:hint="default"/>
                <w:vertAlign w:val="baseline"/>
                <w:lang w:val="en-US" w:eastAsia="zh-CN"/>
              </w:rPr>
              <w:t>37</w:t>
            </w:r>
            <w:r>
              <w:rPr>
                <w:rFonts w:hint="eastAsia"/>
                <w:vertAlign w:val="baseline"/>
                <w:lang w:val="en-US" w:eastAsia="zh-CN"/>
              </w:rPr>
              <w:t>.</w:t>
            </w:r>
            <w:r>
              <w:rPr>
                <w:rFonts w:hint="default"/>
                <w:vertAlign w:val="baseline"/>
                <w:lang w:val="en-US" w:eastAsia="zh-CN"/>
              </w:rPr>
              <w:t>6</w:t>
            </w:r>
            <w:r>
              <w:rPr>
                <w:rFonts w:hint="eastAsia"/>
                <w:vertAlign w:val="baseline"/>
                <w:lang w:val="en-US" w:eastAsia="zh-CN"/>
              </w:rPr>
              <w:t>2%</w:t>
            </w:r>
          </w:p>
        </w:tc>
        <w:tc>
          <w:tcPr>
            <w:tcW w:w="1704" w:type="dxa"/>
          </w:tcPr>
          <w:p>
            <w:pPr>
              <w:numPr>
                <w:numId w:val="0"/>
              </w:numPr>
              <w:rPr>
                <w:rFonts w:hint="default"/>
                <w:vertAlign w:val="baseline"/>
                <w:lang w:val="en-US" w:eastAsia="zh-CN"/>
              </w:rPr>
            </w:pPr>
            <w:r>
              <w:rPr>
                <w:rFonts w:hint="eastAsia"/>
                <w:vertAlign w:val="baseline"/>
                <w:lang w:val="en-US" w:eastAsia="zh-CN"/>
              </w:rPr>
              <w:t>44.36%</w:t>
            </w:r>
          </w:p>
        </w:tc>
        <w:tc>
          <w:tcPr>
            <w:tcW w:w="1704" w:type="dxa"/>
          </w:tcPr>
          <w:p>
            <w:pPr>
              <w:numPr>
                <w:numId w:val="0"/>
              </w:numPr>
              <w:rPr>
                <w:rFonts w:hint="default"/>
                <w:vertAlign w:val="baseline"/>
                <w:lang w:val="en-US" w:eastAsia="zh-CN"/>
              </w:rPr>
            </w:pPr>
            <w:r>
              <w:rPr>
                <w:rFonts w:hint="default"/>
                <w:vertAlign w:val="baseline"/>
                <w:lang w:val="en-US" w:eastAsia="zh-CN"/>
              </w:rPr>
              <w:t>42</w:t>
            </w:r>
            <w:r>
              <w:rPr>
                <w:rFonts w:hint="eastAsia"/>
                <w:vertAlign w:val="baseline"/>
                <w:lang w:val="en-US" w:eastAsia="zh-CN"/>
              </w:rPr>
              <w:t>.</w:t>
            </w:r>
            <w:r>
              <w:rPr>
                <w:rFonts w:hint="default"/>
                <w:vertAlign w:val="baseline"/>
                <w:lang w:val="en-US" w:eastAsia="zh-CN"/>
              </w:rPr>
              <w:t>4</w:t>
            </w:r>
            <w:r>
              <w:rPr>
                <w:rFonts w:hint="eastAsia"/>
                <w:vertAlign w:val="baseline"/>
                <w:lang w:val="en-US" w:eastAsia="zh-CN"/>
              </w:rPr>
              <w:t>8%</w:t>
            </w:r>
          </w:p>
        </w:tc>
        <w:tc>
          <w:tcPr>
            <w:tcW w:w="1704" w:type="dxa"/>
          </w:tcPr>
          <w:p>
            <w:pPr>
              <w:numPr>
                <w:numId w:val="0"/>
              </w:numPr>
              <w:rPr>
                <w:rFonts w:hint="default"/>
                <w:vertAlign w:val="baseline"/>
                <w:lang w:val="en-US" w:eastAsia="zh-CN"/>
              </w:rPr>
            </w:pPr>
            <w:r>
              <w:rPr>
                <w:rFonts w:hint="default"/>
                <w:vertAlign w:val="baseline"/>
                <w:lang w:val="en-US" w:eastAsia="zh-CN"/>
              </w:rPr>
              <w:t>44</w:t>
            </w:r>
            <w:r>
              <w:rPr>
                <w:rFonts w:hint="eastAsia"/>
                <w:vertAlign w:val="baseline"/>
                <w:lang w:val="en-US" w:eastAsia="zh-CN"/>
              </w:rPr>
              <w:t>.</w:t>
            </w:r>
            <w:r>
              <w:rPr>
                <w:rFonts w:hint="default"/>
                <w:vertAlign w:val="baseline"/>
                <w:lang w:val="en-US" w:eastAsia="zh-CN"/>
              </w:rPr>
              <w:t>6</w:t>
            </w: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numPr>
                <w:numId w:val="0"/>
              </w:numPr>
              <w:rPr>
                <w:rFonts w:hint="default"/>
                <w:vertAlign w:val="baseline"/>
                <w:lang w:val="en-US" w:eastAsia="zh-CN"/>
              </w:rPr>
            </w:pPr>
            <w:r>
              <w:rPr>
                <w:rFonts w:hint="eastAsia"/>
                <w:vertAlign w:val="baseline"/>
                <w:lang w:val="en-US" w:eastAsia="zh-CN"/>
              </w:rPr>
              <w:t>0.5</w:t>
            </w:r>
          </w:p>
        </w:tc>
        <w:tc>
          <w:tcPr>
            <w:tcW w:w="1703" w:type="dxa"/>
          </w:tcPr>
          <w:p>
            <w:pPr>
              <w:numPr>
                <w:numId w:val="0"/>
              </w:numPr>
              <w:rPr>
                <w:rFonts w:hint="default"/>
                <w:vertAlign w:val="baseline"/>
                <w:lang w:val="en-US" w:eastAsia="zh-CN"/>
              </w:rPr>
            </w:pPr>
            <w:r>
              <w:rPr>
                <w:rFonts w:hint="default"/>
                <w:vertAlign w:val="baseline"/>
                <w:lang w:val="en-US" w:eastAsia="zh-CN"/>
              </w:rPr>
              <w:t>37</w:t>
            </w:r>
            <w:r>
              <w:rPr>
                <w:rFonts w:hint="eastAsia"/>
                <w:vertAlign w:val="baseline"/>
                <w:lang w:val="en-US" w:eastAsia="zh-CN"/>
              </w:rPr>
              <w:t>.</w:t>
            </w:r>
            <w:r>
              <w:rPr>
                <w:rFonts w:hint="default"/>
                <w:vertAlign w:val="baseline"/>
                <w:lang w:val="en-US" w:eastAsia="zh-CN"/>
              </w:rPr>
              <w:t>63</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eastAsia"/>
                <w:vertAlign w:val="baseline"/>
                <w:lang w:val="en-US" w:eastAsia="zh-CN"/>
              </w:rPr>
              <w:t>45.71%</w:t>
            </w:r>
          </w:p>
        </w:tc>
        <w:tc>
          <w:tcPr>
            <w:tcW w:w="1704" w:type="dxa"/>
          </w:tcPr>
          <w:p>
            <w:pPr>
              <w:numPr>
                <w:numId w:val="0"/>
              </w:numPr>
              <w:rPr>
                <w:rFonts w:hint="default"/>
                <w:vertAlign w:val="baseline"/>
                <w:lang w:val="en-US" w:eastAsia="zh-CN"/>
              </w:rPr>
            </w:pPr>
            <w:r>
              <w:rPr>
                <w:rFonts w:hint="default"/>
                <w:vertAlign w:val="baseline"/>
                <w:lang w:val="en-US" w:eastAsia="zh-CN"/>
              </w:rPr>
              <w:t>46</w:t>
            </w:r>
            <w:r>
              <w:rPr>
                <w:rFonts w:hint="eastAsia"/>
                <w:vertAlign w:val="baseline"/>
                <w:lang w:val="en-US" w:eastAsia="zh-CN"/>
              </w:rPr>
              <w:t>.</w:t>
            </w:r>
            <w:r>
              <w:rPr>
                <w:rFonts w:hint="default"/>
                <w:vertAlign w:val="baseline"/>
                <w:lang w:val="en-US" w:eastAsia="zh-CN"/>
              </w:rPr>
              <w:t>2</w:t>
            </w:r>
            <w:r>
              <w:rPr>
                <w:rFonts w:hint="eastAsia"/>
                <w:vertAlign w:val="baseline"/>
                <w:lang w:val="en-US" w:eastAsia="zh-CN"/>
              </w:rPr>
              <w:t>8%</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03</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numPr>
                <w:numId w:val="0"/>
              </w:numPr>
              <w:rPr>
                <w:rFonts w:hint="default"/>
                <w:vertAlign w:val="baseline"/>
                <w:lang w:val="en-US" w:eastAsia="zh-CN"/>
              </w:rPr>
            </w:pPr>
            <w:r>
              <w:rPr>
                <w:rFonts w:hint="eastAsia"/>
                <w:vertAlign w:val="baseline"/>
                <w:lang w:val="en-US" w:eastAsia="zh-CN"/>
              </w:rPr>
              <w:t>1</w:t>
            </w:r>
          </w:p>
        </w:tc>
        <w:tc>
          <w:tcPr>
            <w:tcW w:w="1703" w:type="dxa"/>
          </w:tcPr>
          <w:p>
            <w:pPr>
              <w:numPr>
                <w:numId w:val="0"/>
              </w:numPr>
              <w:rPr>
                <w:rFonts w:hint="default"/>
                <w:vertAlign w:val="baseline"/>
                <w:lang w:val="en-US" w:eastAsia="zh-CN"/>
              </w:rPr>
            </w:pPr>
            <w:r>
              <w:rPr>
                <w:rFonts w:hint="default"/>
                <w:vertAlign w:val="baseline"/>
                <w:lang w:val="en-US" w:eastAsia="zh-CN"/>
              </w:rPr>
              <w:t>37</w:t>
            </w:r>
            <w:r>
              <w:rPr>
                <w:rFonts w:hint="eastAsia"/>
                <w:vertAlign w:val="baseline"/>
                <w:lang w:val="en-US" w:eastAsia="zh-CN"/>
              </w:rPr>
              <w:t>.</w:t>
            </w:r>
            <w:r>
              <w:rPr>
                <w:rFonts w:hint="default"/>
                <w:vertAlign w:val="baseline"/>
                <w:lang w:val="en-US" w:eastAsia="zh-CN"/>
              </w:rPr>
              <w:t>63</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67</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47</w:t>
            </w:r>
            <w:r>
              <w:rPr>
                <w:rFonts w:hint="eastAsia"/>
                <w:vertAlign w:val="baseline"/>
                <w:lang w:val="en-US" w:eastAsia="zh-CN"/>
              </w:rPr>
              <w:t>.</w:t>
            </w:r>
            <w:r>
              <w:rPr>
                <w:rFonts w:hint="default"/>
                <w:vertAlign w:val="baseline"/>
                <w:lang w:val="en-US" w:eastAsia="zh-CN"/>
              </w:rPr>
              <w:t>64</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31</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numPr>
                <w:numId w:val="0"/>
              </w:numPr>
              <w:rPr>
                <w:rFonts w:hint="default"/>
                <w:vertAlign w:val="baseline"/>
                <w:lang w:val="en-US" w:eastAsia="zh-CN"/>
              </w:rPr>
            </w:pPr>
            <w:r>
              <w:rPr>
                <w:rFonts w:hint="eastAsia"/>
                <w:vertAlign w:val="baseline"/>
                <w:lang w:val="en-US" w:eastAsia="zh-CN"/>
              </w:rPr>
              <w:t>2</w:t>
            </w:r>
          </w:p>
        </w:tc>
        <w:tc>
          <w:tcPr>
            <w:tcW w:w="1703" w:type="dxa"/>
          </w:tcPr>
          <w:p>
            <w:pPr>
              <w:numPr>
                <w:numId w:val="0"/>
              </w:numPr>
              <w:rPr>
                <w:rFonts w:hint="default"/>
                <w:vertAlign w:val="baseline"/>
                <w:lang w:val="en-US" w:eastAsia="zh-CN"/>
              </w:rPr>
            </w:pPr>
            <w:r>
              <w:rPr>
                <w:rFonts w:hint="default"/>
                <w:vertAlign w:val="baseline"/>
                <w:lang w:val="en-US" w:eastAsia="zh-CN"/>
              </w:rPr>
              <w:t>37</w:t>
            </w:r>
            <w:r>
              <w:rPr>
                <w:rFonts w:hint="eastAsia"/>
                <w:vertAlign w:val="baseline"/>
                <w:lang w:val="en-US" w:eastAsia="zh-CN"/>
              </w:rPr>
              <w:t>.</w:t>
            </w:r>
            <w:r>
              <w:rPr>
                <w:rFonts w:hint="default"/>
                <w:vertAlign w:val="baseline"/>
                <w:lang w:val="en-US" w:eastAsia="zh-CN"/>
              </w:rPr>
              <w:t>6</w:t>
            </w:r>
            <w:r>
              <w:rPr>
                <w:rFonts w:hint="eastAsia"/>
                <w:vertAlign w:val="baseline"/>
                <w:lang w:val="en-US" w:eastAsia="zh-CN"/>
              </w:rPr>
              <w:t>2%</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27</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47</w:t>
            </w:r>
            <w:r>
              <w:rPr>
                <w:rFonts w:hint="eastAsia"/>
                <w:vertAlign w:val="baseline"/>
                <w:lang w:val="en-US" w:eastAsia="zh-CN"/>
              </w:rPr>
              <w:t>.</w:t>
            </w:r>
            <w:r>
              <w:rPr>
                <w:rFonts w:hint="default"/>
                <w:vertAlign w:val="baseline"/>
                <w:lang w:val="en-US" w:eastAsia="zh-CN"/>
              </w:rPr>
              <w:t>7</w:t>
            </w:r>
            <w:r>
              <w:rPr>
                <w:rFonts w:hint="eastAsia"/>
                <w:vertAlign w:val="baseline"/>
                <w:lang w:val="en-US" w:eastAsia="zh-CN"/>
              </w:rPr>
              <w:t>3%</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4</w:t>
            </w: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numPr>
                <w:numId w:val="0"/>
              </w:numPr>
              <w:rPr>
                <w:rFonts w:hint="default"/>
                <w:vertAlign w:val="baseline"/>
                <w:lang w:val="en-US" w:eastAsia="zh-CN"/>
              </w:rPr>
            </w:pPr>
            <w:r>
              <w:rPr>
                <w:rFonts w:hint="eastAsia"/>
                <w:vertAlign w:val="baseline"/>
                <w:lang w:val="en-US" w:eastAsia="zh-CN"/>
              </w:rPr>
              <w:t>3</w:t>
            </w:r>
          </w:p>
        </w:tc>
        <w:tc>
          <w:tcPr>
            <w:tcW w:w="1703" w:type="dxa"/>
          </w:tcPr>
          <w:p>
            <w:pPr>
              <w:numPr>
                <w:numId w:val="0"/>
              </w:numPr>
              <w:rPr>
                <w:rFonts w:hint="default"/>
                <w:vertAlign w:val="baseline"/>
                <w:lang w:val="en-US" w:eastAsia="zh-CN"/>
              </w:rPr>
            </w:pPr>
            <w:r>
              <w:rPr>
                <w:rFonts w:hint="default"/>
                <w:vertAlign w:val="baseline"/>
                <w:lang w:val="en-US" w:eastAsia="zh-CN"/>
              </w:rPr>
              <w:t>37</w:t>
            </w:r>
            <w:r>
              <w:rPr>
                <w:rFonts w:hint="eastAsia"/>
                <w:vertAlign w:val="baseline"/>
                <w:lang w:val="en-US" w:eastAsia="zh-CN"/>
              </w:rPr>
              <w:t>.</w:t>
            </w:r>
            <w:r>
              <w:rPr>
                <w:rFonts w:hint="default"/>
                <w:vertAlign w:val="baseline"/>
                <w:lang w:val="en-US" w:eastAsia="zh-CN"/>
              </w:rPr>
              <w:t>6</w:t>
            </w:r>
            <w:r>
              <w:rPr>
                <w:rFonts w:hint="eastAsia"/>
                <w:vertAlign w:val="baseline"/>
                <w:lang w:val="en-US" w:eastAsia="zh-CN"/>
              </w:rPr>
              <w:t>2%</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18</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47</w:t>
            </w:r>
            <w:r>
              <w:rPr>
                <w:rFonts w:hint="eastAsia"/>
                <w:vertAlign w:val="baseline"/>
                <w:lang w:val="en-US" w:eastAsia="zh-CN"/>
              </w:rPr>
              <w:t>.</w:t>
            </w:r>
            <w:r>
              <w:rPr>
                <w:rFonts w:hint="default"/>
                <w:vertAlign w:val="baseline"/>
                <w:lang w:val="en-US" w:eastAsia="zh-CN"/>
              </w:rPr>
              <w:t>46</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37</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numPr>
                <w:numId w:val="0"/>
              </w:numPr>
              <w:rPr>
                <w:rFonts w:hint="default"/>
                <w:vertAlign w:val="baseline"/>
                <w:lang w:val="en-US" w:eastAsia="zh-CN"/>
              </w:rPr>
            </w:pPr>
            <w:r>
              <w:rPr>
                <w:rFonts w:hint="eastAsia"/>
                <w:vertAlign w:val="baseline"/>
                <w:lang w:val="en-US" w:eastAsia="zh-CN"/>
              </w:rPr>
              <w:t>5</w:t>
            </w:r>
          </w:p>
        </w:tc>
        <w:tc>
          <w:tcPr>
            <w:tcW w:w="1703" w:type="dxa"/>
          </w:tcPr>
          <w:p>
            <w:pPr>
              <w:numPr>
                <w:numId w:val="0"/>
              </w:numPr>
              <w:rPr>
                <w:rFonts w:hint="default"/>
                <w:vertAlign w:val="baseline"/>
                <w:lang w:val="en-US" w:eastAsia="zh-CN"/>
              </w:rPr>
            </w:pPr>
            <w:r>
              <w:rPr>
                <w:rFonts w:hint="default"/>
                <w:vertAlign w:val="baseline"/>
                <w:lang w:val="en-US" w:eastAsia="zh-CN"/>
              </w:rPr>
              <w:t>37</w:t>
            </w:r>
            <w:r>
              <w:rPr>
                <w:rFonts w:hint="eastAsia"/>
                <w:vertAlign w:val="baseline"/>
                <w:lang w:val="en-US" w:eastAsia="zh-CN"/>
              </w:rPr>
              <w:t>.</w:t>
            </w:r>
            <w:r>
              <w:rPr>
                <w:rFonts w:hint="default"/>
                <w:vertAlign w:val="baseline"/>
                <w:lang w:val="en-US" w:eastAsia="zh-CN"/>
              </w:rPr>
              <w:t>6</w:t>
            </w:r>
            <w:r>
              <w:rPr>
                <w:rFonts w:hint="eastAsia"/>
                <w:vertAlign w:val="baseline"/>
                <w:lang w:val="en-US" w:eastAsia="zh-CN"/>
              </w:rPr>
              <w:t>2%</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1</w:t>
            </w:r>
            <w:r>
              <w:rPr>
                <w:rFonts w:hint="eastAsia"/>
                <w:vertAlign w:val="baseline"/>
                <w:lang w:val="en-US" w:eastAsia="zh-CN"/>
              </w:rPr>
              <w:t>3%</w:t>
            </w:r>
          </w:p>
        </w:tc>
        <w:tc>
          <w:tcPr>
            <w:tcW w:w="1704" w:type="dxa"/>
          </w:tcPr>
          <w:p>
            <w:pPr>
              <w:numPr>
                <w:numId w:val="0"/>
              </w:numPr>
              <w:rPr>
                <w:rFonts w:hint="default"/>
                <w:vertAlign w:val="baseline"/>
                <w:lang w:val="en-US" w:eastAsia="zh-CN"/>
              </w:rPr>
            </w:pPr>
            <w:r>
              <w:rPr>
                <w:rFonts w:hint="default"/>
                <w:vertAlign w:val="baseline"/>
                <w:lang w:val="en-US" w:eastAsia="zh-CN"/>
              </w:rPr>
              <w:t>47</w:t>
            </w:r>
            <w:r>
              <w:rPr>
                <w:rFonts w:hint="eastAsia"/>
                <w:vertAlign w:val="baseline"/>
                <w:lang w:val="en-US" w:eastAsia="zh-CN"/>
              </w:rPr>
              <w:t>.</w:t>
            </w:r>
            <w:r>
              <w:rPr>
                <w:rFonts w:hint="default"/>
                <w:vertAlign w:val="baseline"/>
                <w:lang w:val="en-US" w:eastAsia="zh-CN"/>
              </w:rPr>
              <w:t>32</w:t>
            </w:r>
            <w:r>
              <w:rPr>
                <w:rFonts w:hint="eastAsia"/>
                <w:vertAlign w:val="baseline"/>
                <w:lang w:val="en-US" w:eastAsia="zh-CN"/>
              </w:rPr>
              <w:t>%</w:t>
            </w:r>
          </w:p>
        </w:tc>
        <w:tc>
          <w:tcPr>
            <w:tcW w:w="1704" w:type="dxa"/>
          </w:tcPr>
          <w:p>
            <w:pPr>
              <w:numPr>
                <w:numId w:val="0"/>
              </w:numPr>
              <w:rPr>
                <w:rFonts w:hint="default"/>
                <w:vertAlign w:val="baseline"/>
                <w:lang w:val="en-US" w:eastAsia="zh-CN"/>
              </w:rPr>
            </w:pPr>
            <w:r>
              <w:rPr>
                <w:rFonts w:hint="default"/>
                <w:vertAlign w:val="baseline"/>
                <w:lang w:val="en-US" w:eastAsia="zh-CN"/>
              </w:rPr>
              <w:t>45</w:t>
            </w:r>
            <w:r>
              <w:rPr>
                <w:rFonts w:hint="eastAsia"/>
                <w:vertAlign w:val="baseline"/>
                <w:lang w:val="en-US" w:eastAsia="zh-CN"/>
              </w:rPr>
              <w:t>.</w:t>
            </w:r>
            <w:r>
              <w:rPr>
                <w:rFonts w:hint="default"/>
                <w:vertAlign w:val="baseline"/>
                <w:lang w:val="en-US" w:eastAsia="zh-CN"/>
              </w:rPr>
              <w:t>2</w:t>
            </w:r>
            <w:r>
              <w:rPr>
                <w:rFonts w:hint="eastAsia"/>
                <w:vertAlign w:val="baseline"/>
                <w:lang w:val="en-US" w:eastAsia="zh-CN"/>
              </w:rPr>
              <w:t>3%</w:t>
            </w:r>
          </w:p>
        </w:tc>
      </w:tr>
    </w:tbl>
    <w:p>
      <w:pPr>
        <w:numPr>
          <w:numId w:val="0"/>
        </w:numPr>
        <w:ind w:firstLine="420" w:firstLineChars="0"/>
        <w:rPr>
          <w:rFonts w:hint="default"/>
          <w:lang w:val="en-US" w:eastAsia="zh-CN"/>
        </w:rPr>
      </w:pPr>
    </w:p>
    <w:p>
      <w:pPr>
        <w:numPr>
          <w:numId w:val="0"/>
        </w:numPr>
        <w:ind w:firstLine="420" w:firstLineChars="0"/>
        <w:rPr>
          <w:rFonts w:hint="default"/>
          <w:lang w:val="en-US" w:eastAsia="zh-CN"/>
        </w:rPr>
      </w:pPr>
    </w:p>
    <w:p>
      <w:pPr>
        <w:numPr>
          <w:numId w:val="0"/>
        </w:numPr>
        <w:jc w:val="center"/>
      </w:pPr>
      <w:r>
        <w:drawing>
          <wp:inline distT="0" distB="0" distL="114300" distR="114300">
            <wp:extent cx="4058285" cy="2349500"/>
            <wp:effectExtent l="4445" t="5080" r="6350" b="7620"/>
            <wp:docPr id="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numPr>
          <w:numId w:val="0"/>
        </w:numPr>
        <w:jc w:val="both"/>
        <w:rPr>
          <w:rFonts w:hint="default"/>
          <w:lang w:val="en-US" w:eastAsia="zh-CN"/>
        </w:rPr>
      </w:pPr>
    </w:p>
    <w:p>
      <w:pPr>
        <w:numPr>
          <w:numId w:val="0"/>
        </w:numPr>
        <w:ind w:firstLine="420" w:firstLineChars="0"/>
        <w:jc w:val="both"/>
        <w:rPr>
          <w:rFonts w:hint="eastAsia"/>
          <w:lang w:val="en-US" w:eastAsia="zh-CN"/>
        </w:rPr>
      </w:pPr>
      <w:r>
        <w:rPr>
          <w:rFonts w:hint="eastAsia"/>
          <w:lang w:val="en-US" w:eastAsia="zh-CN"/>
        </w:rPr>
        <w:t>显然对于不同的距离函数，α会在不同的地方取到最值，但由于不修改α也并不能给正确率带来显著提升所以在此不做过多深入讨论。</w:t>
      </w:r>
    </w:p>
    <w:p>
      <w:pPr>
        <w:numPr>
          <w:numId w:val="0"/>
        </w:numPr>
        <w:ind w:firstLine="420" w:firstLineChars="0"/>
        <w:jc w:val="both"/>
        <w:rPr>
          <w:rFonts w:hint="default"/>
          <w:lang w:val="en-US" w:eastAsia="zh-CN"/>
        </w:rPr>
      </w:pPr>
    </w:p>
    <w:p>
      <w:pPr>
        <w:numPr>
          <w:numId w:val="0"/>
        </w:numPr>
        <w:ind w:firstLine="420" w:firstLineChars="0"/>
        <w:jc w:val="both"/>
        <w:rPr>
          <w:rFonts w:hint="eastAsia"/>
          <w:lang w:val="en-US" w:eastAsia="zh-CN"/>
        </w:rPr>
      </w:pPr>
      <w:r>
        <w:rPr>
          <w:rFonts w:hint="eastAsia"/>
          <w:lang w:val="en-US" w:eastAsia="zh-CN"/>
        </w:rPr>
        <w:t>除了上述三点之外，在16、128维度之外也曾尝试使用1024维（8:16:8）的颜色空间划分方法进行测试，但由于分的更细时本来可能处于同一组的相近颜色就被统计成了不同的组，少了很多模糊性和兼容性。同时运行速度大幅减低，正确率也出现大幅降低。</w:t>
      </w:r>
    </w:p>
    <w:p>
      <w:pPr>
        <w:numPr>
          <w:numId w:val="0"/>
        </w:numPr>
        <w:ind w:firstLine="420" w:firstLineChars="0"/>
        <w:jc w:val="both"/>
        <w:rPr>
          <w:rFonts w:hint="default"/>
          <w:lang w:val="en-US" w:eastAsia="zh-CN"/>
        </w:rPr>
      </w:pPr>
    </w:p>
    <w:p>
      <w:pPr>
        <w:numPr>
          <w:ilvl w:val="0"/>
          <w:numId w:val="1"/>
        </w:numPr>
        <w:rPr>
          <w:rFonts w:hint="default"/>
          <w:b/>
          <w:bCs/>
          <w:lang w:val="en-US" w:eastAsia="zh-CN"/>
        </w:rPr>
      </w:pPr>
      <w:r>
        <w:rPr>
          <w:rFonts w:hint="eastAsia"/>
          <w:b/>
          <w:bCs/>
          <w:lang w:val="en-US" w:eastAsia="zh-CN"/>
        </w:rPr>
        <w:t>思考总结</w:t>
      </w:r>
    </w:p>
    <w:p>
      <w:pPr>
        <w:numPr>
          <w:numId w:val="0"/>
        </w:numPr>
        <w:ind w:firstLine="420" w:firstLineChars="0"/>
        <w:rPr>
          <w:rFonts w:hint="eastAsia"/>
          <w:lang w:val="en-US" w:eastAsia="zh-CN"/>
        </w:rPr>
      </w:pPr>
      <w:r>
        <w:rPr>
          <w:rFonts w:hint="eastAsia"/>
          <w:lang w:val="en-US" w:eastAsia="zh-CN"/>
        </w:rPr>
        <w:t>本次实验中虽然从各个角度实现并尝试对这种基于颜色的图片检索算法进行改进但是算法准确率仍然堪忧，前30结果中平均只有</w:t>
      </w:r>
      <w:bookmarkStart w:id="0" w:name="_GoBack"/>
      <w:bookmarkEnd w:id="0"/>
      <w:r>
        <w:rPr>
          <w:rFonts w:hint="eastAsia"/>
          <w:lang w:val="en-US" w:eastAsia="zh-CN"/>
        </w:rPr>
        <w:t>不到50%的结果是同类型图片（其中还有大多数高正确率检索是足球类中的检索，其他类检索正确率更低）。</w:t>
      </w:r>
    </w:p>
    <w:p>
      <w:pPr>
        <w:numPr>
          <w:numId w:val="0"/>
        </w:numPr>
        <w:ind w:firstLine="420" w:firstLineChars="0"/>
        <w:rPr>
          <w:rFonts w:hint="eastAsia"/>
          <w:lang w:val="en-US" w:eastAsia="zh-CN"/>
        </w:rPr>
      </w:pPr>
      <w:r>
        <w:rPr>
          <w:rFonts w:hint="eastAsia"/>
          <w:lang w:val="en-US" w:eastAsia="zh-CN"/>
        </w:rPr>
        <w:t>究其原因，可能是图像的颜色本身的表达力就很有限，单纯从颜色联合分布角度入手更是忽视了大量的图片细节信息而只关注偏向于大局的信息。这样就很容易导致无法通过细节区分图片或者将氛围和底色相近但内容不同的图片归为一类。</w:t>
      </w:r>
    </w:p>
    <w:p>
      <w:pPr>
        <w:numPr>
          <w:numId w:val="0"/>
        </w:numPr>
        <w:ind w:firstLine="420" w:firstLineChars="0"/>
        <w:rPr>
          <w:rFonts w:hint="default"/>
          <w:lang w:val="en-US" w:eastAsia="zh-CN"/>
        </w:rPr>
      </w:pPr>
      <w:r>
        <w:rPr>
          <w:rFonts w:hint="eastAsia"/>
          <w:lang w:val="en-US" w:eastAsia="zh-CN"/>
        </w:rPr>
        <w:t>想要解决这个问题，可以考虑捕捉图形的一些细节信息，最基本的比如边缘信息。例如对图像进行边缘提取后再通过卷积使得图像处在图片中心，再把这个居中边缘图作为向量检索接近的图片。当然，也可以直接用CNN训练自编码器将图片压缩成低维向量后观察这些图像向量的聚类情况，决定是否可以用自编码向量作为图片的检索标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
    <w:pitch w:val="default"/>
    <w:sig w:usb0="E0002EFF" w:usb1="C000785B" w:usb2="00000009" w:usb3="00000000" w:csb0="400001FF" w:csb1="FFFF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ADD29A"/>
    <w:multiLevelType w:val="multilevel"/>
    <w:tmpl w:val="60ADD29A"/>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06F83"/>
    <w:rsid w:val="00EF4DBF"/>
    <w:rsid w:val="011823DB"/>
    <w:rsid w:val="014C3201"/>
    <w:rsid w:val="02032643"/>
    <w:rsid w:val="02054301"/>
    <w:rsid w:val="020C0A10"/>
    <w:rsid w:val="02135D97"/>
    <w:rsid w:val="04C64D97"/>
    <w:rsid w:val="06EB5370"/>
    <w:rsid w:val="08271818"/>
    <w:rsid w:val="0B8A751B"/>
    <w:rsid w:val="0C8F5761"/>
    <w:rsid w:val="0E0E3EA8"/>
    <w:rsid w:val="0E2A2FBB"/>
    <w:rsid w:val="10454463"/>
    <w:rsid w:val="107A478C"/>
    <w:rsid w:val="10B9655B"/>
    <w:rsid w:val="123F2624"/>
    <w:rsid w:val="125A137E"/>
    <w:rsid w:val="14F93122"/>
    <w:rsid w:val="15EA79D9"/>
    <w:rsid w:val="1782217B"/>
    <w:rsid w:val="1C1C6A21"/>
    <w:rsid w:val="1DCC0485"/>
    <w:rsid w:val="1E7C14FE"/>
    <w:rsid w:val="21C7283D"/>
    <w:rsid w:val="22D1405C"/>
    <w:rsid w:val="237F78CE"/>
    <w:rsid w:val="23C25083"/>
    <w:rsid w:val="247A7BFD"/>
    <w:rsid w:val="254D5272"/>
    <w:rsid w:val="284C65B1"/>
    <w:rsid w:val="29202A5C"/>
    <w:rsid w:val="29253E99"/>
    <w:rsid w:val="29D40F55"/>
    <w:rsid w:val="2D404870"/>
    <w:rsid w:val="2D6C4141"/>
    <w:rsid w:val="2E194EA8"/>
    <w:rsid w:val="2E3C663C"/>
    <w:rsid w:val="2F402079"/>
    <w:rsid w:val="315841E9"/>
    <w:rsid w:val="31C35ED1"/>
    <w:rsid w:val="32810981"/>
    <w:rsid w:val="341501BA"/>
    <w:rsid w:val="34803F78"/>
    <w:rsid w:val="369C47A1"/>
    <w:rsid w:val="38C87827"/>
    <w:rsid w:val="3CE30D7F"/>
    <w:rsid w:val="3D004793"/>
    <w:rsid w:val="3D990B69"/>
    <w:rsid w:val="3DF332C0"/>
    <w:rsid w:val="3E9F28B6"/>
    <w:rsid w:val="3F8A3313"/>
    <w:rsid w:val="465075E8"/>
    <w:rsid w:val="47430E24"/>
    <w:rsid w:val="47BA485F"/>
    <w:rsid w:val="480C4F05"/>
    <w:rsid w:val="494A0617"/>
    <w:rsid w:val="4A3346B0"/>
    <w:rsid w:val="4B6D1D9A"/>
    <w:rsid w:val="4D1952B9"/>
    <w:rsid w:val="526F28A7"/>
    <w:rsid w:val="54683B0F"/>
    <w:rsid w:val="54F371D2"/>
    <w:rsid w:val="55C86360"/>
    <w:rsid w:val="5683110C"/>
    <w:rsid w:val="57575EDD"/>
    <w:rsid w:val="576D1B5B"/>
    <w:rsid w:val="580470F5"/>
    <w:rsid w:val="590A5958"/>
    <w:rsid w:val="5CBF0683"/>
    <w:rsid w:val="5DF773CB"/>
    <w:rsid w:val="5E382E66"/>
    <w:rsid w:val="5F846F33"/>
    <w:rsid w:val="5F95046E"/>
    <w:rsid w:val="61AC0A2E"/>
    <w:rsid w:val="632170A1"/>
    <w:rsid w:val="63DD6810"/>
    <w:rsid w:val="63E410ED"/>
    <w:rsid w:val="65CE6C03"/>
    <w:rsid w:val="6686634B"/>
    <w:rsid w:val="66D41D4C"/>
    <w:rsid w:val="6C1A3EEC"/>
    <w:rsid w:val="6CAF0A87"/>
    <w:rsid w:val="6CB43D3C"/>
    <w:rsid w:val="6E3E56B3"/>
    <w:rsid w:val="6EE17B84"/>
    <w:rsid w:val="700913F1"/>
    <w:rsid w:val="7057438F"/>
    <w:rsid w:val="711D000C"/>
    <w:rsid w:val="7259224C"/>
    <w:rsid w:val="7528277C"/>
    <w:rsid w:val="75322DB0"/>
    <w:rsid w:val="76E5060B"/>
    <w:rsid w:val="782D445D"/>
    <w:rsid w:val="78AE691E"/>
    <w:rsid w:val="7D964975"/>
    <w:rsid w:val="7F6203D4"/>
    <w:rsid w:val="7FC97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正确率随</a:t>
            </a:r>
            <a:r>
              <a:rPr lang="en-US" altLang="zh-CN"/>
              <a:t>α</a:t>
            </a:r>
            <a:r>
              <a:rPr altLang="en-US"/>
              <a:t>变化曲线图</a:t>
            </a:r>
            <a:endParaRPr altLang="en-US"/>
          </a:p>
        </c:rich>
      </c:tx>
      <c:layout/>
      <c:overlay val="0"/>
      <c:spPr>
        <a:noFill/>
        <a:ln>
          <a:noFill/>
        </a:ln>
        <a:effectLst/>
      </c:spPr>
    </c:title>
    <c:autoTitleDeleted val="0"/>
    <c:plotArea>
      <c:layout/>
      <c:lineChart>
        <c:grouping val="standard"/>
        <c:varyColors val="0"/>
        <c:ser>
          <c:idx val="1"/>
          <c:order val="1"/>
          <c:tx>
            <c:strRef>
              <c:f>[工作簿1]Sheet1!$B$1</c:f>
              <c:strCache>
                <c:ptCount val="1"/>
                <c:pt idx="0">
                  <c:v>L2</c:v>
                </c:pt>
              </c:strCache>
            </c:strRef>
          </c:tx>
          <c:spPr>
            <a:ln w="28575" cap="rnd">
              <a:solidFill>
                <a:schemeClr val="accent2"/>
              </a:solidFill>
              <a:round/>
            </a:ln>
            <a:effectLst/>
          </c:spPr>
          <c:marker>
            <c:symbol val="none"/>
          </c:marker>
          <c:dLbls>
            <c:delete val="1"/>
          </c:dLbls>
          <c:cat>
            <c:numRef>
              <c:f>[工作簿1]Sheet1!$A$2:$A$8</c:f>
              <c:numCache>
                <c:formatCode>General</c:formatCode>
                <c:ptCount val="7"/>
                <c:pt idx="0">
                  <c:v>0.1</c:v>
                </c:pt>
                <c:pt idx="1">
                  <c:v>0.3</c:v>
                </c:pt>
                <c:pt idx="2">
                  <c:v>0.5</c:v>
                </c:pt>
                <c:pt idx="3">
                  <c:v>1</c:v>
                </c:pt>
                <c:pt idx="4">
                  <c:v>2</c:v>
                </c:pt>
                <c:pt idx="5">
                  <c:v>3</c:v>
                </c:pt>
                <c:pt idx="6">
                  <c:v>5</c:v>
                </c:pt>
              </c:numCache>
            </c:numRef>
          </c:cat>
          <c:val>
            <c:numRef>
              <c:f>[工作簿1]Sheet1!$B$2:$B$8</c:f>
              <c:numCache>
                <c:formatCode>0.00%</c:formatCode>
                <c:ptCount val="7"/>
                <c:pt idx="0">
                  <c:v>0.377</c:v>
                </c:pt>
                <c:pt idx="1">
                  <c:v>0.3762</c:v>
                </c:pt>
                <c:pt idx="2">
                  <c:v>0.3763</c:v>
                </c:pt>
                <c:pt idx="3">
                  <c:v>0.3763</c:v>
                </c:pt>
                <c:pt idx="4">
                  <c:v>0.3762</c:v>
                </c:pt>
                <c:pt idx="5">
                  <c:v>0.3762</c:v>
                </c:pt>
                <c:pt idx="6">
                  <c:v>0.3762</c:v>
                </c:pt>
              </c:numCache>
            </c:numRef>
          </c:val>
          <c:smooth val="0"/>
        </c:ser>
        <c:ser>
          <c:idx val="2"/>
          <c:order val="2"/>
          <c:tx>
            <c:strRef>
              <c:f>[工作簿1]Sheet1!$C$1</c:f>
              <c:strCache>
                <c:ptCount val="1"/>
                <c:pt idx="0">
                  <c:v>HI</c:v>
                </c:pt>
              </c:strCache>
            </c:strRef>
          </c:tx>
          <c:spPr>
            <a:ln w="28575" cap="rnd">
              <a:solidFill>
                <a:schemeClr val="accent3"/>
              </a:solidFill>
              <a:round/>
            </a:ln>
            <a:effectLst/>
          </c:spPr>
          <c:marker>
            <c:symbol val="none"/>
          </c:marker>
          <c:dLbls>
            <c:delete val="1"/>
          </c:dLbls>
          <c:cat>
            <c:numRef>
              <c:f>[工作簿1]Sheet1!$A$2:$A$8</c:f>
              <c:numCache>
                <c:formatCode>General</c:formatCode>
                <c:ptCount val="7"/>
                <c:pt idx="0">
                  <c:v>0.1</c:v>
                </c:pt>
                <c:pt idx="1">
                  <c:v>0.3</c:v>
                </c:pt>
                <c:pt idx="2">
                  <c:v>0.5</c:v>
                </c:pt>
                <c:pt idx="3">
                  <c:v>1</c:v>
                </c:pt>
                <c:pt idx="4">
                  <c:v>2</c:v>
                </c:pt>
                <c:pt idx="5">
                  <c:v>3</c:v>
                </c:pt>
                <c:pt idx="6">
                  <c:v>5</c:v>
                </c:pt>
              </c:numCache>
            </c:numRef>
          </c:cat>
          <c:val>
            <c:numRef>
              <c:f>[工作簿1]Sheet1!$C$2:$C$8</c:f>
              <c:numCache>
                <c:formatCode>0.00%</c:formatCode>
                <c:ptCount val="7"/>
                <c:pt idx="0">
                  <c:v>0.3667</c:v>
                </c:pt>
                <c:pt idx="1">
                  <c:v>0.4436</c:v>
                </c:pt>
                <c:pt idx="2">
                  <c:v>0.4571</c:v>
                </c:pt>
                <c:pt idx="3">
                  <c:v>0.4567</c:v>
                </c:pt>
                <c:pt idx="4">
                  <c:v>0.4527</c:v>
                </c:pt>
                <c:pt idx="5">
                  <c:v>0.4518</c:v>
                </c:pt>
                <c:pt idx="6">
                  <c:v>0.4513</c:v>
                </c:pt>
              </c:numCache>
            </c:numRef>
          </c:val>
          <c:smooth val="0"/>
        </c:ser>
        <c:ser>
          <c:idx val="3"/>
          <c:order val="3"/>
          <c:tx>
            <c:strRef>
              <c:f>[工作簿1]Sheet1!$D$1</c:f>
              <c:strCache>
                <c:ptCount val="1"/>
                <c:pt idx="0">
                  <c:v>Bh</c:v>
                </c:pt>
              </c:strCache>
            </c:strRef>
          </c:tx>
          <c:spPr>
            <a:ln w="28575" cap="rnd">
              <a:solidFill>
                <a:schemeClr val="accent4"/>
              </a:solidFill>
              <a:round/>
            </a:ln>
            <a:effectLst/>
          </c:spPr>
          <c:marker>
            <c:symbol val="none"/>
          </c:marker>
          <c:dLbls>
            <c:delete val="1"/>
          </c:dLbls>
          <c:cat>
            <c:numRef>
              <c:f>[工作簿1]Sheet1!$A$2:$A$8</c:f>
              <c:numCache>
                <c:formatCode>General</c:formatCode>
                <c:ptCount val="7"/>
                <c:pt idx="0">
                  <c:v>0.1</c:v>
                </c:pt>
                <c:pt idx="1">
                  <c:v>0.3</c:v>
                </c:pt>
                <c:pt idx="2">
                  <c:v>0.5</c:v>
                </c:pt>
                <c:pt idx="3">
                  <c:v>1</c:v>
                </c:pt>
                <c:pt idx="4">
                  <c:v>2</c:v>
                </c:pt>
                <c:pt idx="5">
                  <c:v>3</c:v>
                </c:pt>
                <c:pt idx="6">
                  <c:v>5</c:v>
                </c:pt>
              </c:numCache>
            </c:numRef>
          </c:cat>
          <c:val>
            <c:numRef>
              <c:f>[工作簿1]Sheet1!$D$2:$D$8</c:f>
              <c:numCache>
                <c:formatCode>0.00%</c:formatCode>
                <c:ptCount val="7"/>
                <c:pt idx="0">
                  <c:v>0.2398</c:v>
                </c:pt>
                <c:pt idx="1">
                  <c:v>0.4248</c:v>
                </c:pt>
                <c:pt idx="2">
                  <c:v>0.4628</c:v>
                </c:pt>
                <c:pt idx="3">
                  <c:v>0.4764</c:v>
                </c:pt>
                <c:pt idx="4">
                  <c:v>0.4773</c:v>
                </c:pt>
                <c:pt idx="5">
                  <c:v>0.4746</c:v>
                </c:pt>
                <c:pt idx="6">
                  <c:v>0.4732</c:v>
                </c:pt>
              </c:numCache>
            </c:numRef>
          </c:val>
          <c:smooth val="0"/>
        </c:ser>
        <c:ser>
          <c:idx val="4"/>
          <c:order val="4"/>
          <c:tx>
            <c:strRef>
              <c:f>[工作簿1]Sheet1!$E$1</c:f>
              <c:strCache>
                <c:ptCount val="1"/>
                <c:pt idx="0">
                  <c:v>CE</c:v>
                </c:pt>
              </c:strCache>
            </c:strRef>
          </c:tx>
          <c:spPr>
            <a:ln w="28575" cap="rnd">
              <a:solidFill>
                <a:schemeClr val="accent5"/>
              </a:solidFill>
              <a:round/>
            </a:ln>
            <a:effectLst/>
          </c:spPr>
          <c:marker>
            <c:symbol val="none"/>
          </c:marker>
          <c:dLbls>
            <c:delete val="1"/>
          </c:dLbls>
          <c:cat>
            <c:numRef>
              <c:f>[工作簿1]Sheet1!$A$2:$A$8</c:f>
              <c:numCache>
                <c:formatCode>General</c:formatCode>
                <c:ptCount val="7"/>
                <c:pt idx="0">
                  <c:v>0.1</c:v>
                </c:pt>
                <c:pt idx="1">
                  <c:v>0.3</c:v>
                </c:pt>
                <c:pt idx="2">
                  <c:v>0.5</c:v>
                </c:pt>
                <c:pt idx="3">
                  <c:v>1</c:v>
                </c:pt>
                <c:pt idx="4">
                  <c:v>2</c:v>
                </c:pt>
                <c:pt idx="5">
                  <c:v>3</c:v>
                </c:pt>
                <c:pt idx="6">
                  <c:v>5</c:v>
                </c:pt>
              </c:numCache>
            </c:numRef>
          </c:cat>
          <c:val>
            <c:numRef>
              <c:f>[工作簿1]Sheet1!$E$2:$E$8</c:f>
              <c:numCache>
                <c:formatCode>0.00%</c:formatCode>
                <c:ptCount val="7"/>
                <c:pt idx="0">
                  <c:v>0.3912</c:v>
                </c:pt>
                <c:pt idx="1">
                  <c:v>0.4463</c:v>
                </c:pt>
                <c:pt idx="2">
                  <c:v>0.4503</c:v>
                </c:pt>
                <c:pt idx="3">
                  <c:v>0.4531</c:v>
                </c:pt>
                <c:pt idx="4">
                  <c:v>0.4545</c:v>
                </c:pt>
                <c:pt idx="5">
                  <c:v>0.4537</c:v>
                </c:pt>
                <c:pt idx="6">
                  <c:v>0.4523</c:v>
                </c:pt>
              </c:numCache>
            </c:numRef>
          </c:val>
          <c:smooth val="0"/>
        </c:ser>
        <c:dLbls>
          <c:showLegendKey val="0"/>
          <c:showVal val="0"/>
          <c:showCatName val="0"/>
          <c:showSerName val="0"/>
          <c:showPercent val="0"/>
          <c:showBubbleSize val="0"/>
        </c:dLbls>
        <c:marker val="0"/>
        <c:smooth val="0"/>
        <c:axId val="231649047"/>
        <c:axId val="898261319"/>
        <c:extLst>
          <c:ext xmlns:c15="http://schemas.microsoft.com/office/drawing/2012/chart" uri="{02D57815-91ED-43cb-92C2-25804820EDAC}">
            <c15:filteredLineSeries>
              <c15:ser>
                <c:idx val="0"/>
                <c:order val="0"/>
                <c:tx>
                  <c:strRef>
                    <c:extLst>
                      <c:ext uri="{02D57815-91ED-43cb-92C2-25804820EDAC}">
                        <c15:formulaRef>
                          <c15:sqref>[工作簿1]Sheet1!$A$1</c15:sqref>
                        </c15:formulaRef>
                      </c:ext>
                    </c:extLst>
                    <c:strCache>
                      <c:ptCount val="1"/>
                      <c:pt idx="0">
                        <c:v>α</c:v>
                      </c:pt>
                    </c:strCache>
                  </c:strRef>
                </c:tx>
                <c:spPr>
                  <a:ln w="28575" cap="rnd">
                    <a:solidFill>
                      <a:schemeClr val="accent1"/>
                    </a:solidFill>
                    <a:round/>
                  </a:ln>
                  <a:effectLst/>
                </c:spPr>
                <c:marker>
                  <c:symbol val="none"/>
                </c:marker>
                <c:dLbls>
                  <c:delete val="1"/>
                </c:dLbls>
                <c:cat>
                  <c:numRef>
                    <c:extLst>
                      <c:ext uri="{02D57815-91ED-43cb-92C2-25804820EDAC}">
                        <c15:fullRef>
                          <c15:sqref/>
                        </c15:fullRef>
                        <c15:formulaRef>
                          <c15:sqref>[工作簿1]Sheet1!$A$2:$A$8</c15:sqref>
                        </c15:formulaRef>
                      </c:ext>
                    </c:extLst>
                    <c:numCache>
                      <c:formatCode>General</c:formatCode>
                      <c:ptCount val="7"/>
                      <c:pt idx="0">
                        <c:v>0.1</c:v>
                      </c:pt>
                      <c:pt idx="1">
                        <c:v>0.3</c:v>
                      </c:pt>
                      <c:pt idx="2">
                        <c:v>0.5</c:v>
                      </c:pt>
                      <c:pt idx="3">
                        <c:v>1</c:v>
                      </c:pt>
                      <c:pt idx="4">
                        <c:v>2</c:v>
                      </c:pt>
                      <c:pt idx="5">
                        <c:v>3</c:v>
                      </c:pt>
                      <c:pt idx="6">
                        <c:v>5</c:v>
                      </c:pt>
                    </c:numCache>
                  </c:numRef>
                </c:cat>
                <c:val>
                  <c:numRef>
                    <c:extLst>
                      <c:ext uri="{02D57815-91ED-43cb-92C2-25804820EDAC}">
                        <c15:formulaRef>
                          <c15:sqref>{0.1,0.3,0.5,1,2,3,5}</c15:sqref>
                        </c15:formulaRef>
                      </c:ext>
                    </c:extLst>
                    <c:numCache>
                      <c:formatCode>General</c:formatCode>
                      <c:ptCount val="7"/>
                      <c:pt idx="0">
                        <c:v>0.1</c:v>
                      </c:pt>
                      <c:pt idx="1">
                        <c:v>0.3</c:v>
                      </c:pt>
                      <c:pt idx="2">
                        <c:v>0.5</c:v>
                      </c:pt>
                      <c:pt idx="3">
                        <c:v>1</c:v>
                      </c:pt>
                      <c:pt idx="4">
                        <c:v>2</c:v>
                      </c:pt>
                      <c:pt idx="5">
                        <c:v>3</c:v>
                      </c:pt>
                      <c:pt idx="6">
                        <c:v>5</c:v>
                      </c:pt>
                    </c:numCache>
                  </c:numRef>
                </c:val>
                <c:smooth val="0"/>
              </c15:ser>
            </c15:filteredLineSeries>
          </c:ext>
        </c:extLst>
      </c:lineChart>
      <c:catAx>
        <c:axId val="2316490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98261319"/>
        <c:crosses val="autoZero"/>
        <c:auto val="1"/>
        <c:lblAlgn val="ctr"/>
        <c:lblOffset val="100"/>
        <c:noMultiLvlLbl val="0"/>
      </c:catAx>
      <c:valAx>
        <c:axId val="89826131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3164904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2020-05-27T12:44:19Z</dcterms:created>
  <dc:creator>Administrator</dc:creator>
  <cp:lastModifiedBy>thomount</cp:lastModifiedBy>
  <dcterms:modified xsi:type="dcterms:W3CDTF">2020-05-27T22:09:10Z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