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91956" w14:textId="77777777" w:rsidR="00DA6E26" w:rsidRDefault="006A136D">
      <w:pPr>
        <w:pStyle w:val="Heading1"/>
        <w:tabs>
          <w:tab w:val="left" w:pos="6686"/>
        </w:tabs>
        <w:spacing w:before="41"/>
      </w:pPr>
      <w:r>
        <w:rPr>
          <w:w w:val="95"/>
        </w:rPr>
        <w:t>HUM2020.01</w:t>
      </w:r>
      <w:r>
        <w:rPr>
          <w:w w:val="95"/>
        </w:rPr>
        <w:tab/>
        <w:t>Brandon</w:t>
      </w:r>
      <w:r>
        <w:rPr>
          <w:spacing w:val="-16"/>
          <w:w w:val="95"/>
        </w:rPr>
        <w:t xml:space="preserve"> </w:t>
      </w:r>
      <w:r>
        <w:rPr>
          <w:w w:val="95"/>
        </w:rPr>
        <w:t>Thompson</w:t>
      </w:r>
    </w:p>
    <w:p w14:paraId="21CDD335" w14:textId="77777777" w:rsidR="00DA6E26" w:rsidRDefault="006A136D">
      <w:pPr>
        <w:pStyle w:val="BodyText"/>
        <w:tabs>
          <w:tab w:val="left" w:pos="6703"/>
        </w:tabs>
        <w:spacing w:before="205"/>
        <w:ind w:right="78"/>
        <w:jc w:val="center"/>
      </w:pPr>
      <w:r>
        <w:t>Prof.</w:t>
      </w:r>
      <w:r>
        <w:rPr>
          <w:spacing w:val="29"/>
        </w:rPr>
        <w:t xml:space="preserve"> </w:t>
      </w:r>
      <w:r>
        <w:t>Luck</w:t>
      </w:r>
      <w:r>
        <w:tab/>
      </w:r>
      <w:r>
        <w:rPr>
          <w:w w:val="95"/>
        </w:rPr>
        <w:t>Due Date:</w:t>
      </w:r>
      <w:r>
        <w:rPr>
          <w:spacing w:val="50"/>
          <w:w w:val="95"/>
        </w:rPr>
        <w:t xml:space="preserve"> </w:t>
      </w:r>
      <w:r>
        <w:rPr>
          <w:w w:val="95"/>
        </w:rPr>
        <w:t>11/29/2020</w:t>
      </w:r>
    </w:p>
    <w:p w14:paraId="702C5F5C" w14:textId="77777777" w:rsidR="00DA6E26" w:rsidRDefault="00DA6E26">
      <w:pPr>
        <w:pStyle w:val="BodyText"/>
      </w:pPr>
    </w:p>
    <w:p w14:paraId="715334B8" w14:textId="77777777" w:rsidR="00DA6E26" w:rsidRDefault="00DA6E26">
      <w:pPr>
        <w:pStyle w:val="BodyText"/>
      </w:pPr>
    </w:p>
    <w:p w14:paraId="201A710E" w14:textId="77777777" w:rsidR="00DA6E26" w:rsidRDefault="00DA6E26">
      <w:pPr>
        <w:pStyle w:val="BodyText"/>
        <w:rPr>
          <w:sz w:val="35"/>
        </w:rPr>
      </w:pPr>
    </w:p>
    <w:p w14:paraId="316FE374" w14:textId="77777777" w:rsidR="00DA6E26" w:rsidRDefault="006A136D">
      <w:pPr>
        <w:pStyle w:val="Heading1"/>
        <w:ind w:right="77"/>
      </w:pPr>
      <w:r>
        <w:t>Paper 3: Brown v. Board of Education Context and Analysis.</w:t>
      </w:r>
    </w:p>
    <w:p w14:paraId="2C75A9EA" w14:textId="77777777" w:rsidR="00DA6E26" w:rsidRDefault="00DA6E26">
      <w:pPr>
        <w:pStyle w:val="BodyText"/>
        <w:rPr>
          <w:b/>
        </w:rPr>
      </w:pPr>
    </w:p>
    <w:p w14:paraId="39044881" w14:textId="2669036D" w:rsidR="00DA6E26" w:rsidRDefault="006A136D">
      <w:pPr>
        <w:pStyle w:val="BodyText"/>
        <w:spacing w:before="192" w:line="420" w:lineRule="auto"/>
        <w:ind w:left="100" w:right="148" w:firstLine="351"/>
        <w:jc w:val="right"/>
      </w:pPr>
      <w:r>
        <w:t>In</w:t>
      </w:r>
      <w:r>
        <w:rPr>
          <w:spacing w:val="-21"/>
        </w:rPr>
        <w:t xml:space="preserve"> </w:t>
      </w:r>
      <w:r>
        <w:t>order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analyze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“Brown</w:t>
      </w:r>
      <w:r>
        <w:rPr>
          <w:spacing w:val="-21"/>
        </w:rPr>
        <w:t xml:space="preserve"> </w:t>
      </w:r>
      <w:r>
        <w:t>v.</w:t>
      </w:r>
      <w:r>
        <w:rPr>
          <w:spacing w:val="-21"/>
        </w:rPr>
        <w:t xml:space="preserve"> </w:t>
      </w:r>
      <w:r>
        <w:t>Board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Education</w:t>
      </w:r>
      <w:r>
        <w:rPr>
          <w:spacing w:val="-20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rPr>
          <w:spacing w:val="-4"/>
        </w:rPr>
        <w:t>Topeka”</w:t>
      </w:r>
      <w:r>
        <w:rPr>
          <w:spacing w:val="-21"/>
        </w:rPr>
        <w:t xml:space="preserve"> </w:t>
      </w:r>
      <w:r>
        <w:t>supreme</w:t>
      </w:r>
      <w:r>
        <w:rPr>
          <w:spacing w:val="-21"/>
        </w:rPr>
        <w:t xml:space="preserve"> </w:t>
      </w:r>
      <w:r>
        <w:t>court</w:t>
      </w:r>
      <w:r>
        <w:rPr>
          <w:spacing w:val="-21"/>
        </w:rPr>
        <w:t xml:space="preserve"> </w:t>
      </w:r>
      <w:r>
        <w:t>case,</w:t>
      </w:r>
      <w:r>
        <w:rPr>
          <w:w w:val="93"/>
        </w:rPr>
        <w:t xml:space="preserve"> </w:t>
      </w:r>
      <w:r>
        <w:rPr>
          <w:spacing w:val="-4"/>
        </w:rPr>
        <w:t xml:space="preserve">we </w:t>
      </w:r>
      <w:r>
        <w:t>must first understand some previous developments. The</w:t>
      </w:r>
      <w:r>
        <w:rPr>
          <w:spacing w:val="-10"/>
        </w:rPr>
        <w:t xml:space="preserve"> </w:t>
      </w:r>
      <w:r>
        <w:rPr>
          <w:spacing w:val="-3"/>
        </w:rPr>
        <w:t>Fourteenth</w:t>
      </w:r>
      <w:r>
        <w:t xml:space="preserve"> Amendment,</w:t>
      </w:r>
      <w:r>
        <w:rPr>
          <w:w w:val="105"/>
        </w:rPr>
        <w:t xml:space="preserve"> </w:t>
      </w:r>
      <w:r>
        <w:t>section</w:t>
      </w:r>
      <w:r>
        <w:rPr>
          <w:spacing w:val="-9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states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“No</w:t>
      </w:r>
      <w:r>
        <w:rPr>
          <w:spacing w:val="-8"/>
        </w:rPr>
        <w:t xml:space="preserve"> </w:t>
      </w:r>
      <w:r>
        <w:t>State</w:t>
      </w:r>
      <w:r>
        <w:rPr>
          <w:spacing w:val="-7"/>
        </w:rPr>
        <w:t xml:space="preserve"> </w:t>
      </w:r>
      <w:r>
        <w:t>shall</w:t>
      </w:r>
      <w:r>
        <w:rPr>
          <w:spacing w:val="-9"/>
        </w:rPr>
        <w:t xml:space="preserve"> </w:t>
      </w:r>
      <w:r>
        <w:t>.</w:t>
      </w:r>
      <w:r>
        <w:rPr>
          <w:spacing w:val="-31"/>
        </w:rPr>
        <w:t xml:space="preserve"> </w:t>
      </w:r>
      <w:r>
        <w:t>.</w:t>
      </w:r>
      <w:r>
        <w:rPr>
          <w:spacing w:val="-32"/>
        </w:rPr>
        <w:t xml:space="preserve"> </w:t>
      </w:r>
      <w:r>
        <w:t>.</w:t>
      </w:r>
      <w:r>
        <w:rPr>
          <w:spacing w:val="-31"/>
        </w:rPr>
        <w:t xml:space="preserve"> </w:t>
      </w:r>
      <w:r>
        <w:t>deny</w:t>
      </w:r>
      <w:r>
        <w:rPr>
          <w:spacing w:val="-8"/>
        </w:rPr>
        <w:t xml:space="preserve"> </w:t>
      </w:r>
      <w:r>
        <w:rPr>
          <w:spacing w:val="-3"/>
        </w:rPr>
        <w:t>any</w:t>
      </w:r>
      <w:r>
        <w:rPr>
          <w:spacing w:val="-9"/>
        </w:rPr>
        <w:t xml:space="preserve"> </w:t>
      </w:r>
      <w:r>
        <w:t>person</w:t>
      </w:r>
      <w:r>
        <w:rPr>
          <w:spacing w:val="-8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jurisdiction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equal</w:t>
      </w:r>
      <w:r>
        <w:rPr>
          <w:w w:val="93"/>
        </w:rPr>
        <w:t xml:space="preserve"> </w:t>
      </w:r>
      <w:r>
        <w:t>protection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laws.”</w:t>
      </w:r>
      <w:r w:rsidR="00763E14">
        <w:t xml:space="preserve"> </w:t>
      </w:r>
      <w:sdt>
        <w:sdtPr>
          <w:id w:val="1504242344"/>
          <w:citation/>
        </w:sdtPr>
        <w:sdtContent>
          <w:r w:rsidR="00763E14">
            <w:fldChar w:fldCharType="begin"/>
          </w:r>
          <w:r w:rsidR="00763E14">
            <w:instrText xml:space="preserve"> CITATION Con68 \l 1033 </w:instrText>
          </w:r>
          <w:r w:rsidR="00763E14">
            <w:fldChar w:fldCharType="separate"/>
          </w:r>
          <w:r w:rsidR="00763E14">
            <w:rPr>
              <w:noProof/>
            </w:rPr>
            <w:t>(Congress)</w:t>
          </w:r>
          <w:r w:rsidR="00763E14">
            <w:fldChar w:fldCharType="end"/>
          </w:r>
        </w:sdtContent>
      </w:sdt>
      <w:r>
        <w:rPr>
          <w:spacing w:val="27"/>
        </w:rPr>
        <w:t xml:space="preserve"> </w:t>
      </w:r>
      <w:r w:rsidR="00763E14">
        <w:rPr>
          <w:spacing w:val="27"/>
        </w:rPr>
        <w:t>M</w:t>
      </w:r>
      <w:r>
        <w:t>eaning,</w:t>
      </w:r>
      <w:r>
        <w:rPr>
          <w:spacing w:val="26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states</w:t>
      </w:r>
      <w:r>
        <w:rPr>
          <w:spacing w:val="21"/>
        </w:rPr>
        <w:t xml:space="preserve"> </w:t>
      </w:r>
      <w:r>
        <w:t>could</w:t>
      </w:r>
      <w:r>
        <w:rPr>
          <w:spacing w:val="21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treat</w:t>
      </w:r>
      <w:r>
        <w:rPr>
          <w:spacing w:val="22"/>
        </w:rPr>
        <w:t xml:space="preserve"> </w:t>
      </w:r>
      <w:r>
        <w:t>whites</w:t>
      </w:r>
      <w:r>
        <w:rPr>
          <w:spacing w:val="21"/>
        </w:rPr>
        <w:t xml:space="preserve"> </w:t>
      </w:r>
      <w:r>
        <w:t>and</w:t>
      </w:r>
      <w:r>
        <w:rPr>
          <w:w w:val="92"/>
        </w:rPr>
        <w:t xml:space="preserve"> </w:t>
      </w:r>
      <w:r>
        <w:t>non-whites</w:t>
      </w:r>
      <w:r>
        <w:rPr>
          <w:spacing w:val="-26"/>
        </w:rPr>
        <w:t xml:space="preserve"> </w:t>
      </w:r>
      <w:r>
        <w:t>differently</w:t>
      </w:r>
      <w:r>
        <w:rPr>
          <w:spacing w:val="-25"/>
        </w:rPr>
        <w:t xml:space="preserve"> </w:t>
      </w:r>
      <w:r>
        <w:t>under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law.</w:t>
      </w:r>
      <w:r>
        <w:rPr>
          <w:spacing w:val="-11"/>
        </w:rPr>
        <w:t xml:space="preserve"> </w:t>
      </w:r>
      <w:r>
        <w:t>Another</w:t>
      </w:r>
      <w:r>
        <w:rPr>
          <w:spacing w:val="-26"/>
        </w:rPr>
        <w:t xml:space="preserve"> </w:t>
      </w:r>
      <w:r>
        <w:t>supreme</w:t>
      </w:r>
      <w:r>
        <w:rPr>
          <w:spacing w:val="-25"/>
        </w:rPr>
        <w:t xml:space="preserve"> </w:t>
      </w:r>
      <w:r>
        <w:t>court</w:t>
      </w:r>
      <w:r>
        <w:rPr>
          <w:spacing w:val="-26"/>
        </w:rPr>
        <w:t xml:space="preserve"> </w:t>
      </w:r>
      <w:r>
        <w:t>case</w:t>
      </w:r>
      <w:r>
        <w:rPr>
          <w:spacing w:val="-25"/>
        </w:rPr>
        <w:t xml:space="preserve"> </w:t>
      </w:r>
      <w:r>
        <w:t>that</w:t>
      </w:r>
      <w:r>
        <w:rPr>
          <w:spacing w:val="-25"/>
        </w:rPr>
        <w:t xml:space="preserve"> </w:t>
      </w:r>
      <w:r>
        <w:rPr>
          <w:spacing w:val="-3"/>
        </w:rPr>
        <w:t>was</w:t>
      </w:r>
      <w:r>
        <w:rPr>
          <w:spacing w:val="-25"/>
        </w:rPr>
        <w:t xml:space="preserve"> </w:t>
      </w:r>
      <w:r>
        <w:t>important</w:t>
      </w:r>
      <w:r>
        <w:rPr>
          <w:spacing w:val="-25"/>
        </w:rPr>
        <w:t xml:space="preserve"> </w:t>
      </w:r>
      <w:r>
        <w:t>to</w:t>
      </w:r>
      <w:r>
        <w:rPr>
          <w:w w:val="97"/>
        </w:rPr>
        <w:t xml:space="preserve"> </w:t>
      </w:r>
      <w:r>
        <w:t xml:space="preserve">the decision of “Brown v. Board of Education of </w:t>
      </w:r>
      <w:r>
        <w:rPr>
          <w:spacing w:val="-4"/>
        </w:rPr>
        <w:t xml:space="preserve">Topeka” </w:t>
      </w:r>
      <w:r>
        <w:rPr>
          <w:spacing w:val="-3"/>
        </w:rPr>
        <w:t xml:space="preserve">was </w:t>
      </w:r>
      <w:r>
        <w:t>the “Plessy</w:t>
      </w:r>
      <w:r>
        <w:rPr>
          <w:spacing w:val="36"/>
        </w:rPr>
        <w:t xml:space="preserve"> </w:t>
      </w:r>
      <w:r>
        <w:t>v.</w:t>
      </w:r>
      <w:r>
        <w:rPr>
          <w:spacing w:val="27"/>
        </w:rPr>
        <w:t xml:space="preserve"> </w:t>
      </w:r>
      <w:r>
        <w:rPr>
          <w:spacing w:val="-3"/>
        </w:rPr>
        <w:t>Ferguson”</w:t>
      </w:r>
      <w:r>
        <w:rPr>
          <w:w w:val="102"/>
        </w:rPr>
        <w:t xml:space="preserve"> </w:t>
      </w:r>
      <w:r>
        <w:t>case</w:t>
      </w:r>
      <w:r>
        <w:rPr>
          <w:spacing w:val="-30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1896.</w:t>
      </w:r>
      <w:r>
        <w:rPr>
          <w:spacing w:val="-12"/>
        </w:rPr>
        <w:t xml:space="preserve"> </w:t>
      </w:r>
      <w:r>
        <w:t>This</w:t>
      </w:r>
      <w:r>
        <w:rPr>
          <w:spacing w:val="-29"/>
        </w:rPr>
        <w:t xml:space="preserve"> </w:t>
      </w:r>
      <w:r>
        <w:t>case</w:t>
      </w:r>
      <w:r>
        <w:rPr>
          <w:spacing w:val="-29"/>
        </w:rPr>
        <w:t xml:space="preserve"> </w:t>
      </w:r>
      <w:r>
        <w:t>ruled</w:t>
      </w:r>
      <w:r>
        <w:rPr>
          <w:spacing w:val="-29"/>
        </w:rPr>
        <w:t xml:space="preserve"> </w:t>
      </w:r>
      <w:r>
        <w:t>that</w:t>
      </w:r>
      <w:r>
        <w:rPr>
          <w:spacing w:val="-29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segregation</w:t>
      </w:r>
      <w:r>
        <w:rPr>
          <w:spacing w:val="-29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blacks</w:t>
      </w:r>
      <w:r>
        <w:rPr>
          <w:spacing w:val="-29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whites</w:t>
      </w:r>
      <w:r>
        <w:rPr>
          <w:spacing w:val="-29"/>
        </w:rPr>
        <w:t xml:space="preserve"> </w:t>
      </w:r>
      <w:r>
        <w:rPr>
          <w:spacing w:val="-3"/>
        </w:rPr>
        <w:t>was</w:t>
      </w:r>
      <w:r>
        <w:rPr>
          <w:spacing w:val="-30"/>
        </w:rPr>
        <w:t xml:space="preserve"> </w:t>
      </w:r>
      <w:r>
        <w:t>constitutional,</w:t>
      </w:r>
      <w:r>
        <w:rPr>
          <w:w w:val="95"/>
        </w:rPr>
        <w:t xml:space="preserve"> </w:t>
      </w:r>
      <w:r>
        <w:t>but only when both parties had access to the same quality of resources. The</w:t>
      </w:r>
      <w:r>
        <w:rPr>
          <w:spacing w:val="8"/>
        </w:rPr>
        <w:t xml:space="preserve"> </w:t>
      </w:r>
      <w:r>
        <w:t>“Plessy</w:t>
      </w:r>
      <w:r>
        <w:rPr>
          <w:spacing w:val="-1"/>
        </w:rPr>
        <w:t xml:space="preserve"> </w:t>
      </w:r>
      <w:r>
        <w:t>v.</w:t>
      </w:r>
      <w:r>
        <w:rPr>
          <w:w w:val="102"/>
        </w:rPr>
        <w:t xml:space="preserve"> </w:t>
      </w:r>
      <w:r>
        <w:rPr>
          <w:spacing w:val="-3"/>
          <w:w w:val="95"/>
        </w:rPr>
        <w:t xml:space="preserve">Ferguson” </w:t>
      </w:r>
      <w:r>
        <w:rPr>
          <w:w w:val="95"/>
        </w:rPr>
        <w:t>case essentially cemented the idea of “separate but equal”.</w:t>
      </w:r>
      <w:r w:rsidR="00763E14">
        <w:rPr>
          <w:w w:val="95"/>
        </w:rPr>
        <w:t xml:space="preserve"> </w:t>
      </w:r>
      <w:sdt>
        <w:sdtPr>
          <w:rPr>
            <w:w w:val="95"/>
          </w:rPr>
          <w:id w:val="1047270578"/>
          <w:citation/>
        </w:sdtPr>
        <w:sdtContent>
          <w:r w:rsidR="00763E14">
            <w:rPr>
              <w:w w:val="95"/>
            </w:rPr>
            <w:fldChar w:fldCharType="begin"/>
          </w:r>
          <w:r w:rsidR="00763E14">
            <w:rPr>
              <w:w w:val="95"/>
            </w:rPr>
            <w:instrText xml:space="preserve"> CITATION Sta95 \l 1033 </w:instrText>
          </w:r>
          <w:r w:rsidR="00763E14">
            <w:rPr>
              <w:w w:val="95"/>
            </w:rPr>
            <w:fldChar w:fldCharType="separate"/>
          </w:r>
          <w:r w:rsidR="00763E14" w:rsidRPr="00763E14">
            <w:rPr>
              <w:noProof/>
              <w:w w:val="95"/>
            </w:rPr>
            <w:t>(States)</w:t>
          </w:r>
          <w:r w:rsidR="00763E14">
            <w:rPr>
              <w:w w:val="95"/>
            </w:rPr>
            <w:fldChar w:fldCharType="end"/>
          </w:r>
        </w:sdtContent>
      </w:sdt>
      <w:r>
        <w:rPr>
          <w:w w:val="97"/>
        </w:rPr>
        <w:t xml:space="preserve"> </w:t>
      </w:r>
      <w:r>
        <w:t>In 1954 the</w:t>
      </w:r>
      <w:r w:rsidR="00763E14">
        <w:t xml:space="preserve"> </w:t>
      </w:r>
      <w:r>
        <w:t xml:space="preserve">supreme court case “Brown v. Board of Education of </w:t>
      </w:r>
      <w:r>
        <w:rPr>
          <w:spacing w:val="-4"/>
        </w:rPr>
        <w:t>Topeka,”</w:t>
      </w:r>
      <w:r>
        <w:rPr>
          <w:spacing w:val="30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a</w:t>
      </w:r>
      <w:r>
        <w:rPr>
          <w:w w:val="96"/>
        </w:rPr>
        <w:t xml:space="preserve"> </w:t>
      </w:r>
      <w:r>
        <w:t>conglomeration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similar</w:t>
      </w:r>
      <w:r>
        <w:rPr>
          <w:spacing w:val="-10"/>
        </w:rPr>
        <w:t xml:space="preserve"> </w:t>
      </w:r>
      <w:r>
        <w:t>cases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four</w:t>
      </w:r>
      <w:r>
        <w:rPr>
          <w:spacing w:val="-9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states</w:t>
      </w:r>
      <w:r>
        <w:rPr>
          <w:spacing w:val="-9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overturn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ruling</w:t>
      </w:r>
      <w:r>
        <w:rPr>
          <w:spacing w:val="-10"/>
        </w:rPr>
        <w:t xml:space="preserve"> </w:t>
      </w:r>
      <w:r>
        <w:t>of</w:t>
      </w:r>
      <w:r>
        <w:rPr>
          <w:w w:val="90"/>
        </w:rPr>
        <w:t xml:space="preserve"> </w:t>
      </w:r>
      <w:r>
        <w:t>“Plessy v. Ferguson”. The plaintiff of each of the cases were seeking “admission</w:t>
      </w:r>
      <w:r>
        <w:rPr>
          <w:spacing w:val="1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w w:val="95"/>
        </w:rPr>
        <w:t xml:space="preserve"> </w:t>
      </w:r>
      <w:r>
        <w:t>public</w:t>
      </w:r>
      <w:r>
        <w:rPr>
          <w:spacing w:val="-15"/>
        </w:rPr>
        <w:t xml:space="preserve"> </w:t>
      </w:r>
      <w:r>
        <w:t>schools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their</w:t>
      </w:r>
      <w:r>
        <w:rPr>
          <w:spacing w:val="-15"/>
        </w:rPr>
        <w:t xml:space="preserve"> </w:t>
      </w:r>
      <w:r>
        <w:t>community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proofErr w:type="spellStart"/>
      <w:r>
        <w:t>nonsegregated</w:t>
      </w:r>
      <w:proofErr w:type="spellEnd"/>
      <w:r>
        <w:rPr>
          <w:spacing w:val="-15"/>
        </w:rPr>
        <w:t xml:space="preserve"> </w:t>
      </w:r>
      <w:r>
        <w:t>basis”</w:t>
      </w:r>
      <w:r>
        <w:rPr>
          <w:spacing w:val="-15"/>
        </w:rPr>
        <w:t xml:space="preserve"> </w:t>
      </w:r>
      <w:hyperlink w:anchor="_bookmark3" w:history="1">
        <w:sdt>
          <w:sdtPr>
            <w:id w:val="-1665330"/>
            <w:citation/>
          </w:sdtPr>
          <w:sdtContent>
            <w:r w:rsidR="00763E14">
              <w:fldChar w:fldCharType="begin"/>
            </w:r>
            <w:r w:rsidR="00763E14">
              <w:instrText xml:space="preserve"> CITATION War54 \l 1033 </w:instrText>
            </w:r>
            <w:r w:rsidR="00763E14">
              <w:fldChar w:fldCharType="separate"/>
            </w:r>
            <w:r w:rsidR="00763E14">
              <w:rPr>
                <w:noProof/>
              </w:rPr>
              <w:t xml:space="preserve"> (Warren)</w:t>
            </w:r>
            <w:r w:rsidR="00763E14">
              <w:fldChar w:fldCharType="end"/>
            </w:r>
          </w:sdtContent>
        </w:sdt>
        <w:r>
          <w:rPr>
            <w:spacing w:val="-15"/>
          </w:rPr>
          <w:t xml:space="preserve"> </w:t>
        </w:r>
      </w:hyperlink>
      <w:r>
        <w:t>but</w:t>
      </w:r>
      <w:r>
        <w:rPr>
          <w:spacing w:val="-15"/>
        </w:rPr>
        <w:t xml:space="preserve"> </w:t>
      </w:r>
      <w:r>
        <w:t>were</w:t>
      </w:r>
      <w:r>
        <w:rPr>
          <w:spacing w:val="-15"/>
        </w:rPr>
        <w:t xml:space="preserve"> </w:t>
      </w:r>
      <w:r>
        <w:t>denied</w:t>
      </w:r>
      <w:r>
        <w:rPr>
          <w:w w:val="92"/>
        </w:rPr>
        <w:t xml:space="preserve"> </w:t>
      </w:r>
      <w:r>
        <w:t>because of segregation laws. The plaintiffs argued “t</w:t>
      </w:r>
      <w:r>
        <w:t>hat segregated public</w:t>
      </w:r>
      <w:r>
        <w:rPr>
          <w:spacing w:val="-15"/>
        </w:rPr>
        <w:t xml:space="preserve"> </w:t>
      </w:r>
      <w:r>
        <w:t>schools are</w:t>
      </w:r>
      <w:r>
        <w:rPr>
          <w:w w:val="92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‘equal’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cannot</w:t>
      </w:r>
      <w:r>
        <w:rPr>
          <w:spacing w:val="6"/>
        </w:rPr>
        <w:t xml:space="preserve"> </w:t>
      </w:r>
      <w:r>
        <w:rPr>
          <w:spacing w:val="3"/>
        </w:rPr>
        <w:t>be</w:t>
      </w:r>
      <w:r>
        <w:rPr>
          <w:spacing w:val="5"/>
        </w:rPr>
        <w:t xml:space="preserve"> </w:t>
      </w:r>
      <w:r>
        <w:t>made</w:t>
      </w:r>
      <w:r>
        <w:rPr>
          <w:spacing w:val="6"/>
        </w:rPr>
        <w:t xml:space="preserve"> </w:t>
      </w:r>
      <w:r>
        <w:t>‘equal,’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hence</w:t>
      </w:r>
      <w:r>
        <w:rPr>
          <w:spacing w:val="5"/>
        </w:rPr>
        <w:t xml:space="preserve"> </w:t>
      </w:r>
      <w:r>
        <w:t>they</w:t>
      </w:r>
      <w:r>
        <w:rPr>
          <w:spacing w:val="6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deprived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equal</w:t>
      </w:r>
    </w:p>
    <w:p w14:paraId="745E562D" w14:textId="10C625F6" w:rsidR="00DA6E26" w:rsidRDefault="006A136D">
      <w:pPr>
        <w:pStyle w:val="BodyText"/>
        <w:spacing w:before="14"/>
        <w:ind w:left="100"/>
        <w:jc w:val="both"/>
      </w:pPr>
      <w:r>
        <w:t xml:space="preserve">protection of the laws.” </w:t>
      </w:r>
      <w:sdt>
        <w:sdtPr>
          <w:id w:val="1280385558"/>
          <w:citation/>
        </w:sdtPr>
        <w:sdtContent>
          <w:r w:rsidR="00763E14">
            <w:fldChar w:fldCharType="begin"/>
          </w:r>
          <w:r w:rsidR="00763E14">
            <w:instrText xml:space="preserve"> CITATION War54 \l 1033 </w:instrText>
          </w:r>
          <w:r w:rsidR="00763E14">
            <w:fldChar w:fldCharType="separate"/>
          </w:r>
          <w:r w:rsidR="00763E14">
            <w:rPr>
              <w:noProof/>
            </w:rPr>
            <w:t>(Warren)</w:t>
          </w:r>
          <w:r w:rsidR="00763E14">
            <w:fldChar w:fldCharType="end"/>
          </w:r>
        </w:sdtContent>
      </w:sdt>
      <w:hyperlink w:anchor="_bookmark3" w:history="1"/>
    </w:p>
    <w:p w14:paraId="621CE9F7" w14:textId="77777777" w:rsidR="00DA6E26" w:rsidRDefault="006A136D">
      <w:pPr>
        <w:pStyle w:val="BodyText"/>
        <w:spacing w:before="205" w:line="420" w:lineRule="auto"/>
        <w:ind w:left="100" w:right="177" w:firstLine="351"/>
        <w:jc w:val="both"/>
      </w:pPr>
      <w:r>
        <w:t>The</w:t>
      </w:r>
      <w:r>
        <w:rPr>
          <w:spacing w:val="-6"/>
        </w:rPr>
        <w:t xml:space="preserve"> </w:t>
      </w:r>
      <w:r>
        <w:t>supreme</w:t>
      </w:r>
      <w:r>
        <w:rPr>
          <w:spacing w:val="-5"/>
        </w:rPr>
        <w:t xml:space="preserve"> </w:t>
      </w:r>
      <w:r>
        <w:t>court</w:t>
      </w:r>
      <w:r>
        <w:rPr>
          <w:spacing w:val="-5"/>
        </w:rPr>
        <w:t xml:space="preserve"> </w:t>
      </w:r>
      <w:r>
        <w:t>unanimously</w:t>
      </w:r>
      <w:r>
        <w:rPr>
          <w:spacing w:val="-5"/>
        </w:rPr>
        <w:t xml:space="preserve"> </w:t>
      </w:r>
      <w:r>
        <w:t>decided</w:t>
      </w:r>
      <w:r>
        <w:rPr>
          <w:spacing w:val="-4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segregation</w:t>
      </w:r>
      <w:r>
        <w:rPr>
          <w:spacing w:val="-5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 inability</w:t>
      </w:r>
      <w:r>
        <w:rPr>
          <w:spacing w:val="-24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schools</w:t>
      </w:r>
      <w:r>
        <w:rPr>
          <w:spacing w:val="-24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provide</w:t>
      </w:r>
      <w:r>
        <w:rPr>
          <w:spacing w:val="-24"/>
        </w:rPr>
        <w:t xml:space="preserve"> </w:t>
      </w:r>
      <w:r>
        <w:t>equal</w:t>
      </w:r>
      <w:r>
        <w:rPr>
          <w:spacing w:val="-23"/>
        </w:rPr>
        <w:t xml:space="preserve"> </w:t>
      </w:r>
      <w:r>
        <w:t>care</w:t>
      </w:r>
      <w:r>
        <w:rPr>
          <w:spacing w:val="-23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whites</w:t>
      </w:r>
      <w:r>
        <w:rPr>
          <w:spacing w:val="-23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non-whites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psychological effects</w:t>
      </w:r>
      <w:r>
        <w:rPr>
          <w:spacing w:val="-40"/>
        </w:rPr>
        <w:t xml:space="preserve"> </w:t>
      </w:r>
      <w:r>
        <w:t>of</w:t>
      </w:r>
      <w:r>
        <w:rPr>
          <w:spacing w:val="-39"/>
        </w:rPr>
        <w:t xml:space="preserve"> </w:t>
      </w:r>
      <w:r>
        <w:t>segregation</w:t>
      </w:r>
      <w:r>
        <w:rPr>
          <w:spacing w:val="-39"/>
        </w:rPr>
        <w:t xml:space="preserve"> </w:t>
      </w:r>
      <w:r>
        <w:t>on</w:t>
      </w:r>
      <w:r>
        <w:rPr>
          <w:spacing w:val="-39"/>
        </w:rPr>
        <w:t xml:space="preserve"> </w:t>
      </w:r>
      <w:r>
        <w:t>colored</w:t>
      </w:r>
      <w:r>
        <w:rPr>
          <w:spacing w:val="-39"/>
        </w:rPr>
        <w:t xml:space="preserve"> </w:t>
      </w:r>
      <w:r>
        <w:t>children.</w:t>
      </w:r>
      <w:r>
        <w:rPr>
          <w:spacing w:val="-24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decision</w:t>
      </w:r>
      <w:r>
        <w:rPr>
          <w:spacing w:val="-39"/>
        </w:rPr>
        <w:t xml:space="preserve"> </w:t>
      </w:r>
      <w:r>
        <w:t>in</w:t>
      </w:r>
      <w:r>
        <w:rPr>
          <w:spacing w:val="-39"/>
        </w:rPr>
        <w:t xml:space="preserve"> </w:t>
      </w:r>
      <w:r>
        <w:t>“Brown</w:t>
      </w:r>
      <w:r>
        <w:rPr>
          <w:spacing w:val="-39"/>
        </w:rPr>
        <w:t xml:space="preserve"> </w:t>
      </w:r>
      <w:r>
        <w:t>v.</w:t>
      </w:r>
      <w:r>
        <w:rPr>
          <w:spacing w:val="-39"/>
        </w:rPr>
        <w:t xml:space="preserve"> </w:t>
      </w:r>
      <w:r>
        <w:t>Board</w:t>
      </w:r>
      <w:r>
        <w:rPr>
          <w:spacing w:val="-39"/>
        </w:rPr>
        <w:t xml:space="preserve"> </w:t>
      </w:r>
      <w:r>
        <w:t>of</w:t>
      </w:r>
      <w:r>
        <w:rPr>
          <w:spacing w:val="-39"/>
        </w:rPr>
        <w:t xml:space="preserve"> </w:t>
      </w:r>
      <w:r>
        <w:t>Education</w:t>
      </w:r>
      <w:r>
        <w:rPr>
          <w:spacing w:val="-39"/>
        </w:rPr>
        <w:t xml:space="preserve"> </w:t>
      </w:r>
      <w:r>
        <w:t xml:space="preserve">of </w:t>
      </w:r>
      <w:r>
        <w:rPr>
          <w:spacing w:val="-4"/>
        </w:rPr>
        <w:t>Topeka”</w:t>
      </w:r>
      <w:r>
        <w:rPr>
          <w:spacing w:val="-14"/>
        </w:rPr>
        <w:t xml:space="preserve"> </w:t>
      </w:r>
      <w:r>
        <w:t>believed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“separate</w:t>
      </w:r>
      <w:r>
        <w:rPr>
          <w:spacing w:val="-14"/>
        </w:rPr>
        <w:t xml:space="preserve"> </w:t>
      </w:r>
      <w:r>
        <w:t>but</w:t>
      </w:r>
      <w:r>
        <w:rPr>
          <w:spacing w:val="-14"/>
        </w:rPr>
        <w:t xml:space="preserve"> </w:t>
      </w:r>
      <w:r>
        <w:t>equal”</w:t>
      </w:r>
      <w:r>
        <w:rPr>
          <w:spacing w:val="-14"/>
        </w:rPr>
        <w:t xml:space="preserve"> </w:t>
      </w:r>
      <w:r>
        <w:t>had</w:t>
      </w:r>
      <w:r>
        <w:rPr>
          <w:spacing w:val="-14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place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education.</w:t>
      </w:r>
      <w:r>
        <w:rPr>
          <w:spacing w:val="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combination of</w:t>
      </w:r>
      <w:r>
        <w:rPr>
          <w:spacing w:val="-8"/>
        </w:rPr>
        <w:t xml:space="preserve"> </w:t>
      </w:r>
      <w:r>
        <w:t>laws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funding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enforce</w:t>
      </w:r>
      <w:r>
        <w:rPr>
          <w:spacing w:val="-8"/>
        </w:rPr>
        <w:t xml:space="preserve"> </w:t>
      </w:r>
      <w:r>
        <w:t>attendance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schools</w:t>
      </w:r>
      <w:r>
        <w:rPr>
          <w:spacing w:val="-8"/>
        </w:rPr>
        <w:t xml:space="preserve"> </w:t>
      </w:r>
      <w:r>
        <w:t>means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rPr>
          <w:spacing w:val="-4"/>
        </w:rPr>
        <w:t>we</w:t>
      </w:r>
      <w:r>
        <w:rPr>
          <w:spacing w:val="-8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rPr>
          <w:spacing w:val="3"/>
        </w:rPr>
        <w:t>be</w:t>
      </w:r>
      <w:r>
        <w:rPr>
          <w:spacing w:val="-8"/>
        </w:rPr>
        <w:t xml:space="preserve"> </w:t>
      </w:r>
      <w:r>
        <w:t>giving everyone</w:t>
      </w:r>
      <w:r>
        <w:rPr>
          <w:spacing w:val="-28"/>
        </w:rPr>
        <w:t xml:space="preserve"> </w:t>
      </w:r>
      <w:r>
        <w:t>as</w:t>
      </w:r>
      <w:r>
        <w:rPr>
          <w:spacing w:val="-28"/>
        </w:rPr>
        <w:t xml:space="preserve"> </w:t>
      </w:r>
      <w:r>
        <w:rPr>
          <w:spacing w:val="3"/>
        </w:rPr>
        <w:t>good</w:t>
      </w:r>
      <w:r>
        <w:rPr>
          <w:spacing w:val="-28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an</w:t>
      </w:r>
      <w:r>
        <w:rPr>
          <w:spacing w:val="-28"/>
        </w:rPr>
        <w:t xml:space="preserve"> </w:t>
      </w:r>
      <w:r>
        <w:t>education</w:t>
      </w:r>
      <w:r>
        <w:rPr>
          <w:spacing w:val="-28"/>
        </w:rPr>
        <w:t xml:space="preserve"> </w:t>
      </w:r>
      <w:r>
        <w:t>as</w:t>
      </w:r>
      <w:r>
        <w:rPr>
          <w:spacing w:val="-28"/>
        </w:rPr>
        <w:t xml:space="preserve"> </w:t>
      </w:r>
      <w:r>
        <w:t>possible.</w:t>
      </w:r>
      <w:r>
        <w:rPr>
          <w:spacing w:val="-15"/>
        </w:rPr>
        <w:t xml:space="preserve"> </w:t>
      </w:r>
      <w:r>
        <w:t>This</w:t>
      </w:r>
      <w:r>
        <w:rPr>
          <w:spacing w:val="-28"/>
        </w:rPr>
        <w:t xml:space="preserve"> </w:t>
      </w:r>
      <w:r>
        <w:t>decision</w:t>
      </w:r>
      <w:r>
        <w:rPr>
          <w:spacing w:val="-28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desegregate</w:t>
      </w:r>
      <w:r>
        <w:rPr>
          <w:spacing w:val="-28"/>
        </w:rPr>
        <w:t xml:space="preserve"> </w:t>
      </w:r>
      <w:r>
        <w:t>schools</w:t>
      </w:r>
      <w:r>
        <w:rPr>
          <w:spacing w:val="-28"/>
        </w:rPr>
        <w:t xml:space="preserve"> </w:t>
      </w:r>
      <w:r>
        <w:t xml:space="preserve">would </w:t>
      </w:r>
      <w:r>
        <w:rPr>
          <w:spacing w:val="-4"/>
        </w:rPr>
        <w:t>have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considerable</w:t>
      </w:r>
      <w:r>
        <w:rPr>
          <w:spacing w:val="-26"/>
        </w:rPr>
        <w:t xml:space="preserve"> </w:t>
      </w:r>
      <w:r>
        <w:t>impact</w:t>
      </w:r>
      <w:r>
        <w:rPr>
          <w:spacing w:val="-25"/>
        </w:rPr>
        <w:t xml:space="preserve"> </w:t>
      </w:r>
      <w:r>
        <w:t>on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lives</w:t>
      </w:r>
      <w:r>
        <w:rPr>
          <w:spacing w:val="-26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many</w:t>
      </w:r>
      <w:r>
        <w:rPr>
          <w:spacing w:val="-26"/>
        </w:rPr>
        <w:t xml:space="preserve"> </w:t>
      </w:r>
      <w:r>
        <w:t>Americans</w:t>
      </w:r>
      <w:r>
        <w:rPr>
          <w:spacing w:val="-26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continue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push</w:t>
      </w:r>
      <w:r>
        <w:rPr>
          <w:spacing w:val="-26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civil rights</w:t>
      </w:r>
      <w:r>
        <w:rPr>
          <w:spacing w:val="18"/>
        </w:rPr>
        <w:t xml:space="preserve"> </w:t>
      </w:r>
      <w:r>
        <w:rPr>
          <w:spacing w:val="-3"/>
        </w:rPr>
        <w:t>movement.</w:t>
      </w:r>
    </w:p>
    <w:p w14:paraId="0A489F0C" w14:textId="77777777" w:rsidR="00DA6E26" w:rsidRDefault="00DA6E26">
      <w:pPr>
        <w:spacing w:line="420" w:lineRule="auto"/>
        <w:jc w:val="both"/>
        <w:sectPr w:rsidR="00DA6E26">
          <w:footerReference w:type="default" r:id="rId7"/>
          <w:type w:val="continuous"/>
          <w:pgSz w:w="11910" w:h="16840"/>
          <w:pgMar w:top="1400" w:right="1260" w:bottom="1020" w:left="1340" w:header="720" w:footer="822" w:gutter="0"/>
          <w:pgNumType w:start="1"/>
          <w:cols w:space="720"/>
        </w:sectPr>
      </w:pPr>
    </w:p>
    <w:p w14:paraId="1F0A3B92" w14:textId="5BB6FE52" w:rsidR="00DA6E26" w:rsidRDefault="006A136D">
      <w:pPr>
        <w:pStyle w:val="BodyText"/>
        <w:spacing w:before="41" w:line="420" w:lineRule="auto"/>
        <w:ind w:left="100" w:right="177" w:firstLine="351"/>
        <w:jc w:val="both"/>
      </w:pPr>
      <w:r>
        <w:lastRenderedPageBreak/>
        <w:t xml:space="preserve">The National Association for the Advancement of Colored People (NAACP) </w:t>
      </w:r>
      <w:r>
        <w:rPr>
          <w:spacing w:val="-3"/>
        </w:rPr>
        <w:t xml:space="preserve">was always </w:t>
      </w:r>
      <w:r>
        <w:t>looking to improve the standing of African Americans, gathering enough</w:t>
      </w:r>
      <w:r>
        <w:rPr>
          <w:spacing w:val="-38"/>
        </w:rPr>
        <w:t xml:space="preserve"> </w:t>
      </w:r>
      <w:r>
        <w:t xml:space="preserve">funds to tackle the “separate but equal” issue since the “Plessy v. </w:t>
      </w:r>
      <w:r>
        <w:rPr>
          <w:spacing w:val="-3"/>
        </w:rPr>
        <w:t>Ferguson”</w:t>
      </w:r>
      <w:r>
        <w:rPr>
          <w:spacing w:val="-3"/>
        </w:rPr>
        <w:t xml:space="preserve"> </w:t>
      </w:r>
      <w:r>
        <w:t>case.  The</w:t>
      </w:r>
      <w:r>
        <w:t xml:space="preserve"> Legal </w:t>
      </w:r>
      <w:r w:rsidR="00763E14">
        <w:t>Defense</w:t>
      </w:r>
      <w:r>
        <w:t xml:space="preserve"> </w:t>
      </w:r>
      <w:r>
        <w:rPr>
          <w:spacing w:val="-5"/>
        </w:rPr>
        <w:t>Fund</w:t>
      </w:r>
      <w:r>
        <w:rPr>
          <w:spacing w:val="-5"/>
        </w:rPr>
        <w:t xml:space="preserve"> </w:t>
      </w:r>
      <w:r>
        <w:t xml:space="preserve">(LDF) of the NAACP </w:t>
      </w:r>
      <w:r>
        <w:rPr>
          <w:spacing w:val="-3"/>
        </w:rPr>
        <w:t xml:space="preserve">was </w:t>
      </w:r>
      <w:r>
        <w:t>looking for cases that they could us</w:t>
      </w:r>
      <w:r w:rsidR="00763E14">
        <w:t>e</w:t>
      </w:r>
      <w:r>
        <w:t xml:space="preserve"> to take the issue to the supreme court, choosing cases from Virginia, Delaware, South Carolina, Kansas, and the District of Columbia. These cases were all opposed to the </w:t>
      </w:r>
      <w:r>
        <w:rPr>
          <w:w w:val="95"/>
        </w:rPr>
        <w:t>conditions of s</w:t>
      </w:r>
      <w:r>
        <w:rPr>
          <w:w w:val="95"/>
        </w:rPr>
        <w:t xml:space="preserve">egregated schools, often without proper heating/cooling, course materials </w:t>
      </w:r>
      <w:r>
        <w:t>and understaffed and</w:t>
      </w:r>
      <w:r>
        <w:rPr>
          <w:spacing w:val="49"/>
        </w:rPr>
        <w:t xml:space="preserve"> </w:t>
      </w:r>
      <w:r>
        <w:t>overcrowded.</w:t>
      </w:r>
    </w:p>
    <w:p w14:paraId="669C09F5" w14:textId="6A187698" w:rsidR="00DA6E26" w:rsidRDefault="006A136D">
      <w:pPr>
        <w:pStyle w:val="BodyText"/>
        <w:spacing w:before="7" w:line="420" w:lineRule="auto"/>
        <w:ind w:left="100" w:right="176" w:firstLine="351"/>
        <w:jc w:val="both"/>
      </w:pPr>
      <w:r>
        <w:t xml:space="preserve">“Brown v. Board of Education” </w:t>
      </w:r>
      <w:r>
        <w:rPr>
          <w:spacing w:val="-3"/>
        </w:rPr>
        <w:t xml:space="preserve">was </w:t>
      </w:r>
      <w:r>
        <w:t>the most impactful case in American history</w:t>
      </w:r>
      <w:r>
        <w:rPr>
          <w:spacing w:val="-26"/>
        </w:rPr>
        <w:t xml:space="preserve"> </w:t>
      </w:r>
      <w:proofErr w:type="gramStart"/>
      <w:r w:rsidR="00763E14">
        <w:t>in regard to</w:t>
      </w:r>
      <w:proofErr w:type="gramEnd"/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social,</w:t>
      </w:r>
      <w:r>
        <w:rPr>
          <w:spacing w:val="-6"/>
        </w:rPr>
        <w:t xml:space="preserve"> </w:t>
      </w:r>
      <w:r>
        <w:t>political,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economic</w:t>
      </w:r>
      <w:r>
        <w:rPr>
          <w:spacing w:val="-6"/>
        </w:rPr>
        <w:t xml:space="preserve"> </w:t>
      </w:r>
      <w:r>
        <w:t>fabric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nation</w:t>
      </w:r>
      <w:r>
        <w:t>.</w:t>
      </w:r>
      <w:r w:rsidR="00763E14">
        <w:t xml:space="preserve"> </w:t>
      </w:r>
      <w:sdt>
        <w:sdtPr>
          <w:id w:val="-398053705"/>
          <w:citation/>
        </w:sdtPr>
        <w:sdtContent>
          <w:r w:rsidR="00763E14">
            <w:fldChar w:fldCharType="begin"/>
          </w:r>
          <w:r w:rsidR="00763E14">
            <w:instrText xml:space="preserve"> CITATION Mel12 \l 1033 </w:instrText>
          </w:r>
          <w:r w:rsidR="00763E14">
            <w:fldChar w:fldCharType="separate"/>
          </w:r>
          <w:r w:rsidR="00763E14">
            <w:rPr>
              <w:noProof/>
            </w:rPr>
            <w:t>(Urofsky)</w:t>
          </w:r>
          <w:r w:rsidR="00763E14">
            <w:fldChar w:fldCharType="end"/>
          </w:r>
        </w:sdtContent>
      </w:sdt>
      <w:r>
        <w:rPr>
          <w:spacing w:val="1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ruling of “Brown v. Board of Education of </w:t>
      </w:r>
      <w:r>
        <w:rPr>
          <w:spacing w:val="-4"/>
        </w:rPr>
        <w:t xml:space="preserve">Topeka” </w:t>
      </w:r>
      <w:r>
        <w:t xml:space="preserve">did not immediately </w:t>
      </w:r>
      <w:r>
        <w:rPr>
          <w:spacing w:val="-3"/>
        </w:rPr>
        <w:t xml:space="preserve">remove </w:t>
      </w:r>
      <w:r>
        <w:t>the racial segregation</w:t>
      </w:r>
      <w:r>
        <w:rPr>
          <w:spacing w:val="-17"/>
        </w:rPr>
        <w:t xml:space="preserve"> </w:t>
      </w:r>
      <w:r>
        <w:t>established</w:t>
      </w:r>
      <w:r>
        <w:rPr>
          <w:spacing w:val="-17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“Plessy</w:t>
      </w:r>
      <w:r>
        <w:rPr>
          <w:spacing w:val="-17"/>
        </w:rPr>
        <w:t xml:space="preserve"> </w:t>
      </w:r>
      <w:r>
        <w:t>v.</w:t>
      </w:r>
      <w:r>
        <w:rPr>
          <w:spacing w:val="-16"/>
        </w:rPr>
        <w:t xml:space="preserve"> </w:t>
      </w:r>
      <w:r>
        <w:rPr>
          <w:spacing w:val="-3"/>
        </w:rPr>
        <w:t>Ferguson”</w:t>
      </w:r>
      <w:r>
        <w:rPr>
          <w:spacing w:val="-1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1896. The</w:t>
      </w:r>
      <w:r>
        <w:rPr>
          <w:spacing w:val="-17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>protected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 xml:space="preserve">rights of minorities, meaning to reverse the ruling of the “Plessy v. </w:t>
      </w:r>
      <w:r>
        <w:rPr>
          <w:spacing w:val="-3"/>
        </w:rPr>
        <w:t xml:space="preserve">Ferguson” </w:t>
      </w:r>
      <w:r>
        <w:t>case. I believe that the case both presents a new precedent and enforces an older idea. The new idea the</w:t>
      </w:r>
      <w:r>
        <w:rPr>
          <w:spacing w:val="-24"/>
        </w:rPr>
        <w:t xml:space="preserve"> </w:t>
      </w:r>
      <w:r>
        <w:t>case</w:t>
      </w:r>
      <w:r>
        <w:rPr>
          <w:spacing w:val="-23"/>
        </w:rPr>
        <w:t xml:space="preserve"> </w:t>
      </w:r>
      <w:r>
        <w:t>presents</w:t>
      </w:r>
      <w:r>
        <w:rPr>
          <w:spacing w:val="-24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that</w:t>
      </w:r>
      <w:r>
        <w:rPr>
          <w:spacing w:val="-24"/>
        </w:rPr>
        <w:t xml:space="preserve"> </w:t>
      </w:r>
      <w:r>
        <w:t>everyone</w:t>
      </w:r>
      <w:r>
        <w:rPr>
          <w:spacing w:val="-23"/>
        </w:rPr>
        <w:t xml:space="preserve"> </w:t>
      </w:r>
      <w:r>
        <w:t>should</w:t>
      </w:r>
      <w:r>
        <w:rPr>
          <w:spacing w:val="-24"/>
        </w:rPr>
        <w:t xml:space="preserve"> </w:t>
      </w:r>
      <w:r>
        <w:rPr>
          <w:spacing w:val="-4"/>
        </w:rPr>
        <w:t>have</w:t>
      </w:r>
      <w:r>
        <w:rPr>
          <w:spacing w:val="-2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right</w:t>
      </w:r>
      <w:r>
        <w:rPr>
          <w:spacing w:val="-23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proper</w:t>
      </w:r>
      <w:r>
        <w:rPr>
          <w:spacing w:val="-23"/>
        </w:rPr>
        <w:t xml:space="preserve"> </w:t>
      </w:r>
      <w:r>
        <w:t>educat</w:t>
      </w:r>
      <w:r>
        <w:t>ion</w:t>
      </w:r>
      <w:r>
        <w:rPr>
          <w:spacing w:val="-24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should not</w:t>
      </w:r>
      <w:r>
        <w:rPr>
          <w:spacing w:val="-13"/>
        </w:rPr>
        <w:t xml:space="preserve"> </w:t>
      </w:r>
      <w:r>
        <w:rPr>
          <w:spacing w:val="3"/>
        </w:rPr>
        <w:t>be</w:t>
      </w:r>
      <w:r>
        <w:rPr>
          <w:spacing w:val="-13"/>
        </w:rPr>
        <w:t xml:space="preserve"> </w:t>
      </w:r>
      <w:r>
        <w:t>forced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rPr>
          <w:spacing w:val="-3"/>
        </w:rPr>
        <w:t>travel</w:t>
      </w:r>
      <w:r>
        <w:rPr>
          <w:spacing w:val="-13"/>
        </w:rPr>
        <w:t xml:space="preserve"> </w:t>
      </w:r>
      <w:r>
        <w:t>long</w:t>
      </w:r>
      <w:r>
        <w:rPr>
          <w:spacing w:val="-12"/>
        </w:rPr>
        <w:t xml:space="preserve"> </w:t>
      </w:r>
      <w:r>
        <w:t>distances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deal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unsavory</w:t>
      </w:r>
      <w:r>
        <w:rPr>
          <w:spacing w:val="-13"/>
        </w:rPr>
        <w:t xml:space="preserve"> </w:t>
      </w:r>
      <w:r>
        <w:t>conditions</w:t>
      </w:r>
      <w:r>
        <w:rPr>
          <w:spacing w:val="-12"/>
        </w:rPr>
        <w:t xml:space="preserve"> </w:t>
      </w:r>
      <w:r>
        <w:t>when</w:t>
      </w:r>
      <w:r>
        <w:rPr>
          <w:spacing w:val="-13"/>
        </w:rPr>
        <w:t xml:space="preserve"> </w:t>
      </w:r>
      <w:r>
        <w:t>there</w:t>
      </w:r>
      <w:r>
        <w:rPr>
          <w:spacing w:val="-13"/>
        </w:rPr>
        <w:t xml:space="preserve"> </w:t>
      </w:r>
      <w:r>
        <w:t>are more favorable ones available. The older idea being that “all men are created equal”</w:t>
      </w:r>
      <w:r>
        <w:rPr>
          <w:spacing w:val="-34"/>
        </w:rPr>
        <w:t xml:space="preserve"> </w:t>
      </w:r>
      <w:r>
        <w:t>is also</w:t>
      </w:r>
      <w:r>
        <w:rPr>
          <w:spacing w:val="8"/>
        </w:rPr>
        <w:t xml:space="preserve"> </w:t>
      </w:r>
      <w:r>
        <w:t>enforced,</w:t>
      </w:r>
      <w:r>
        <w:rPr>
          <w:spacing w:val="9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just</w:t>
      </w:r>
      <w:r>
        <w:rPr>
          <w:spacing w:val="9"/>
        </w:rPr>
        <w:t xml:space="preserve"> </w:t>
      </w:r>
      <w:r>
        <w:t>also</w:t>
      </w:r>
      <w:r>
        <w:rPr>
          <w:spacing w:val="9"/>
        </w:rPr>
        <w:t xml:space="preserve"> </w:t>
      </w:r>
      <w:r>
        <w:t>being</w:t>
      </w:r>
      <w:r>
        <w:rPr>
          <w:spacing w:val="8"/>
        </w:rPr>
        <w:t xml:space="preserve"> </w:t>
      </w:r>
      <w:r>
        <w:t>applied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African</w:t>
      </w:r>
      <w:r>
        <w:rPr>
          <w:spacing w:val="8"/>
        </w:rPr>
        <w:t xml:space="preserve"> </w:t>
      </w:r>
      <w:r>
        <w:t>Americans</w:t>
      </w:r>
      <w:r>
        <w:rPr>
          <w:spacing w:val="9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well.</w:t>
      </w:r>
    </w:p>
    <w:p w14:paraId="540F561C" w14:textId="6DC68A23" w:rsidR="00DA6E26" w:rsidRDefault="006A136D" w:rsidP="00763E14">
      <w:pPr>
        <w:pStyle w:val="BodyText"/>
        <w:spacing w:before="10" w:line="420" w:lineRule="auto"/>
        <w:ind w:left="100" w:right="176" w:firstLine="351"/>
        <w:jc w:val="both"/>
        <w:sectPr w:rsidR="00DA6E26">
          <w:pgSz w:w="11910" w:h="16840"/>
          <w:pgMar w:top="1400" w:right="1260" w:bottom="1020" w:left="1340" w:header="0" w:footer="822" w:gutter="0"/>
          <w:cols w:space="720"/>
        </w:sectPr>
      </w:pPr>
      <w:r>
        <w:t>The</w:t>
      </w:r>
      <w:r>
        <w:rPr>
          <w:spacing w:val="-28"/>
        </w:rPr>
        <w:t xml:space="preserve"> </w:t>
      </w:r>
      <w:r>
        <w:t>response</w:t>
      </w:r>
      <w:r>
        <w:rPr>
          <w:spacing w:val="-27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decision</w:t>
      </w:r>
      <w:r>
        <w:rPr>
          <w:spacing w:val="-27"/>
        </w:rPr>
        <w:t xml:space="preserve"> </w:t>
      </w:r>
      <w:r>
        <w:rPr>
          <w:spacing w:val="-3"/>
        </w:rPr>
        <w:t>was</w:t>
      </w:r>
      <w:r>
        <w:rPr>
          <w:spacing w:val="-27"/>
        </w:rPr>
        <w:t xml:space="preserve"> </w:t>
      </w:r>
      <w:r>
        <w:t>split</w:t>
      </w:r>
      <w:r>
        <w:rPr>
          <w:spacing w:val="-27"/>
        </w:rPr>
        <w:t xml:space="preserve"> </w:t>
      </w:r>
      <w:r>
        <w:t>between</w:t>
      </w:r>
      <w:r>
        <w:rPr>
          <w:spacing w:val="-28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north</w:t>
      </w:r>
      <w:r>
        <w:rPr>
          <w:spacing w:val="-27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south.</w:t>
      </w:r>
      <w:r>
        <w:rPr>
          <w:spacing w:val="-10"/>
        </w:rPr>
        <w:t xml:space="preserve"> </w:t>
      </w:r>
      <w:r>
        <w:t>“Northerners hailed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decision</w:t>
      </w:r>
      <w:r>
        <w:rPr>
          <w:spacing w:val="-32"/>
        </w:rPr>
        <w:t xml:space="preserve"> </w:t>
      </w:r>
      <w:r>
        <w:t>as</w:t>
      </w:r>
      <w:r>
        <w:rPr>
          <w:spacing w:val="-32"/>
        </w:rPr>
        <w:t xml:space="preserve"> </w:t>
      </w:r>
      <w:r>
        <w:t>‘momentous.’”</w:t>
      </w:r>
      <w:r>
        <w:rPr>
          <w:spacing w:val="-16"/>
        </w:rPr>
        <w:t xml:space="preserve"> </w:t>
      </w:r>
      <w:hyperlink w:anchor="_bookmark2" w:history="1">
        <w:sdt>
          <w:sdtPr>
            <w:id w:val="-1622757400"/>
            <w:citation/>
          </w:sdtPr>
          <w:sdtContent>
            <w:r w:rsidR="00763E14">
              <w:fldChar w:fldCharType="begin"/>
            </w:r>
            <w:r w:rsidR="00763E14">
              <w:instrText xml:space="preserve"> CITATION Mel12 \l 1033 </w:instrText>
            </w:r>
            <w:r w:rsidR="00763E14">
              <w:fldChar w:fldCharType="separate"/>
            </w:r>
            <w:r w:rsidR="00763E14">
              <w:rPr>
                <w:noProof/>
              </w:rPr>
              <w:t xml:space="preserve"> (Urofsky)</w:t>
            </w:r>
            <w:r w:rsidR="00763E14">
              <w:fldChar w:fldCharType="end"/>
            </w:r>
          </w:sdtContent>
        </w:sdt>
        <w:r>
          <w:rPr>
            <w:spacing w:val="-32"/>
          </w:rPr>
          <w:t xml:space="preserve"> </w:t>
        </w:r>
      </w:hyperlink>
      <w:r>
        <w:t>Whereas</w:t>
      </w:r>
      <w:r>
        <w:rPr>
          <w:spacing w:val="-31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south</w:t>
      </w:r>
      <w:r>
        <w:rPr>
          <w:spacing w:val="-32"/>
        </w:rPr>
        <w:t xml:space="preserve"> </w:t>
      </w:r>
      <w:r>
        <w:t>started</w:t>
      </w:r>
      <w:r>
        <w:rPr>
          <w:spacing w:val="-32"/>
        </w:rPr>
        <w:t xml:space="preserve"> </w:t>
      </w:r>
      <w:r>
        <w:t>to</w:t>
      </w:r>
      <w:r>
        <w:rPr>
          <w:spacing w:val="-32"/>
        </w:rPr>
        <w:t xml:space="preserve"> </w:t>
      </w:r>
      <w:proofErr w:type="gramStart"/>
      <w:r>
        <w:t>opposed</w:t>
      </w:r>
      <w:proofErr w:type="gramEnd"/>
      <w:r>
        <w:rPr>
          <w:spacing w:val="-32"/>
        </w:rPr>
        <w:t xml:space="preserve"> </w:t>
      </w:r>
      <w:r>
        <w:t>the decision</w:t>
      </w:r>
      <w:r>
        <w:rPr>
          <w:spacing w:val="-14"/>
        </w:rPr>
        <w:t xml:space="preserve"> </w:t>
      </w:r>
      <w:r>
        <w:t>after</w:t>
      </w:r>
      <w:r>
        <w:rPr>
          <w:spacing w:val="-14"/>
        </w:rPr>
        <w:t xml:space="preserve"> </w:t>
      </w:r>
      <w:r>
        <w:t>they</w:t>
      </w:r>
      <w:r>
        <w:rPr>
          <w:spacing w:val="-14"/>
        </w:rPr>
        <w:t xml:space="preserve"> </w:t>
      </w:r>
      <w:r>
        <w:t>realized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court</w:t>
      </w:r>
      <w:r>
        <w:rPr>
          <w:spacing w:val="-14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rPr>
          <w:spacing w:val="3"/>
        </w:rPr>
        <w:t>be</w:t>
      </w:r>
      <w:r>
        <w:rPr>
          <w:spacing w:val="-14"/>
        </w:rPr>
        <w:t xml:space="preserve"> </w:t>
      </w:r>
      <w:r>
        <w:t>overturning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decision.</w:t>
      </w:r>
      <w:r>
        <w:rPr>
          <w:spacing w:val="1"/>
        </w:rPr>
        <w:t xml:space="preserve"> </w:t>
      </w:r>
      <w:r>
        <w:t>White Citizens</w:t>
      </w:r>
      <w:r>
        <w:rPr>
          <w:spacing w:val="-17"/>
        </w:rPr>
        <w:t xml:space="preserve"> </w:t>
      </w:r>
      <w:r>
        <w:t>Councils</w:t>
      </w:r>
      <w:r>
        <w:rPr>
          <w:spacing w:val="-16"/>
        </w:rPr>
        <w:t xml:space="preserve"> </w:t>
      </w:r>
      <w:r>
        <w:t>began</w:t>
      </w:r>
      <w:r>
        <w:rPr>
          <w:spacing w:val="-16"/>
        </w:rPr>
        <w:t xml:space="preserve"> </w:t>
      </w:r>
      <w:r>
        <w:t>forming</w:t>
      </w:r>
      <w:r>
        <w:rPr>
          <w:spacing w:val="-16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“total</w:t>
      </w:r>
      <w:r>
        <w:rPr>
          <w:spacing w:val="-16"/>
        </w:rPr>
        <w:t xml:space="preserve"> </w:t>
      </w:r>
      <w:r>
        <w:t>war”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defen</w:t>
      </w:r>
      <w:r w:rsidR="00763E14">
        <w:t>s</w:t>
      </w:r>
      <w:r>
        <w:t>e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segregation</w:t>
      </w:r>
      <w:r>
        <w:rPr>
          <w:spacing w:val="-16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they</w:t>
      </w:r>
      <w:r>
        <w:rPr>
          <w:spacing w:val="-16"/>
        </w:rPr>
        <w:t xml:space="preserve"> </w:t>
      </w:r>
      <w:r>
        <w:t>waited for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courts</w:t>
      </w:r>
      <w:r>
        <w:rPr>
          <w:spacing w:val="-20"/>
        </w:rPr>
        <w:t xml:space="preserve"> </w:t>
      </w:r>
      <w:r>
        <w:t>plan</w:t>
      </w:r>
      <w:r>
        <w:rPr>
          <w:spacing w:val="-19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implementation.</w:t>
      </w:r>
      <w:r>
        <w:rPr>
          <w:spacing w:val="-2"/>
        </w:rPr>
        <w:t xml:space="preserve"> </w:t>
      </w:r>
      <w:r>
        <w:t>Black</w:t>
      </w:r>
      <w:r>
        <w:rPr>
          <w:spacing w:val="-20"/>
        </w:rPr>
        <w:t xml:space="preserve"> </w:t>
      </w:r>
      <w:r>
        <w:t>communities</w:t>
      </w:r>
      <w:r>
        <w:rPr>
          <w:spacing w:val="-19"/>
        </w:rPr>
        <w:t xml:space="preserve"> </w:t>
      </w:r>
      <w:r>
        <w:t>were</w:t>
      </w:r>
      <w:r>
        <w:rPr>
          <w:spacing w:val="-19"/>
        </w:rPr>
        <w:t xml:space="preserve"> </w:t>
      </w:r>
      <w:r>
        <w:t>apprehensive</w:t>
      </w:r>
      <w:r>
        <w:rPr>
          <w:spacing w:val="-20"/>
        </w:rPr>
        <w:t xml:space="preserve"> </w:t>
      </w:r>
      <w:r>
        <w:t>about</w:t>
      </w:r>
      <w:r>
        <w:rPr>
          <w:spacing w:val="-19"/>
        </w:rPr>
        <w:t xml:space="preserve"> </w:t>
      </w:r>
      <w:r>
        <w:t>the decision. The</w:t>
      </w:r>
      <w:r>
        <w:t xml:space="preserve">y felt that the decision </w:t>
      </w:r>
      <w:r>
        <w:rPr>
          <w:spacing w:val="-3"/>
        </w:rPr>
        <w:t xml:space="preserve">was </w:t>
      </w:r>
      <w:r>
        <w:t xml:space="preserve">a step in the right direction but did not know </w:t>
      </w:r>
      <w:r>
        <w:rPr>
          <w:spacing w:val="-3"/>
        </w:rPr>
        <w:t>how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plan</w:t>
      </w:r>
      <w:r>
        <w:rPr>
          <w:spacing w:val="-10"/>
        </w:rPr>
        <w:t xml:space="preserve"> </w:t>
      </w:r>
      <w:r>
        <w:rPr>
          <w:spacing w:val="-3"/>
        </w:rPr>
        <w:t>was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3"/>
        </w:rPr>
        <w:t>be</w:t>
      </w:r>
      <w:r>
        <w:rPr>
          <w:spacing w:val="-10"/>
        </w:rPr>
        <w:t xml:space="preserve"> </w:t>
      </w:r>
      <w:r>
        <w:t>implemented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rPr>
          <w:spacing w:val="-3"/>
        </w:rPr>
        <w:t>how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zealous</w:t>
      </w:r>
      <w:r>
        <w:rPr>
          <w:spacing w:val="-10"/>
        </w:rPr>
        <w:t xml:space="preserve"> </w:t>
      </w:r>
      <w:r>
        <w:t>groups</w:t>
      </w:r>
      <w:r>
        <w:rPr>
          <w:spacing w:val="-10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respond.</w:t>
      </w:r>
    </w:p>
    <w:sdt>
      <w:sdtPr>
        <w:id w:val="-1610655944"/>
        <w:docPartObj>
          <w:docPartGallery w:val="Bibliographies"/>
          <w:docPartUnique/>
        </w:docPartObj>
      </w:sdtPr>
      <w:sdtEndPr>
        <w:rPr>
          <w:sz w:val="22"/>
          <w:szCs w:val="22"/>
        </w:rPr>
      </w:sdtEndPr>
      <w:sdtContent>
        <w:p w14:paraId="25B53ECC" w14:textId="32B7CB53" w:rsidR="00763E14" w:rsidRDefault="00763E14">
          <w:pPr>
            <w:pStyle w:val="Heading1"/>
          </w:pPr>
          <w:r>
            <w:t>Works Cited</w:t>
          </w:r>
        </w:p>
        <w:p w14:paraId="3A941080" w14:textId="77777777" w:rsidR="00763E14" w:rsidRDefault="00763E14" w:rsidP="00763E14">
          <w:pPr>
            <w:pStyle w:val="Bibliography"/>
            <w:ind w:left="720" w:hanging="720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Congress, United States. "U.S. Constitution Fourteenth Amendment: Library of Congress." </w:t>
          </w:r>
          <w:r>
            <w:rPr>
              <w:i/>
              <w:iCs/>
              <w:noProof/>
            </w:rPr>
            <w:t>Constitution Annotated</w:t>
          </w:r>
          <w:r>
            <w:rPr>
              <w:noProof/>
            </w:rPr>
            <w:t xml:space="preserve"> (1868). Online. &lt;https://constitution.congress.gov/constitution/amendment-14/&gt;.</w:t>
          </w:r>
        </w:p>
        <w:p w14:paraId="5D49C23C" w14:textId="77777777" w:rsidR="00763E14" w:rsidRDefault="00763E14" w:rsidP="00763E14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States, Supreme Court of the United. "U.S. Reports: Plessy v. Ferguson, 163 U.S. 537 (1896)." </w:t>
          </w:r>
          <w:r>
            <w:rPr>
              <w:i/>
              <w:iCs/>
              <w:noProof/>
            </w:rPr>
            <w:t>Constitutional Law</w:t>
          </w:r>
          <w:r>
            <w:rPr>
              <w:noProof/>
            </w:rPr>
            <w:t xml:space="preserve"> 163 (1895). &lt;https://www.loc.gov/item/usrep163537/&gt;.</w:t>
          </w:r>
        </w:p>
        <w:p w14:paraId="71AD596D" w14:textId="77777777" w:rsidR="00763E14" w:rsidRDefault="00763E14" w:rsidP="00763E14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Urofsky, Melvin I. "The case of too-long-delayed equality brown V. Board of Education (1954 and 1955)." </w:t>
          </w:r>
          <w:r>
            <w:rPr>
              <w:i/>
              <w:iCs/>
              <w:noProof/>
            </w:rPr>
            <w:t>Supreme decisions: great constitutional cases and their impact</w:t>
          </w:r>
          <w:r>
            <w:rPr>
              <w:noProof/>
            </w:rPr>
            <w:t>. Westview Press, 2012. Online.</w:t>
          </w:r>
        </w:p>
        <w:p w14:paraId="224C9E70" w14:textId="77777777" w:rsidR="00763E14" w:rsidRDefault="00763E14" w:rsidP="00763E14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Warren, Chief Justice Earl. "Brown v. Board of Education." </w:t>
          </w:r>
          <w:r>
            <w:rPr>
              <w:i/>
              <w:iCs/>
              <w:noProof/>
            </w:rPr>
            <w:t>United States Reports</w:t>
          </w:r>
          <w:r>
            <w:rPr>
              <w:noProof/>
            </w:rPr>
            <w:t xml:space="preserve"> 347 (1954): 483. Online. &lt;https://www.loc.gov/item/usrep347483/&gt;.</w:t>
          </w:r>
        </w:p>
        <w:p w14:paraId="3536D58D" w14:textId="0670DC15" w:rsidR="00763E14" w:rsidRDefault="00763E14" w:rsidP="00763E14">
          <w:r>
            <w:rPr>
              <w:b/>
              <w:bCs/>
            </w:rPr>
            <w:fldChar w:fldCharType="end"/>
          </w:r>
        </w:p>
      </w:sdtContent>
    </w:sdt>
    <w:p w14:paraId="6ECC4725" w14:textId="1E6EF6C4" w:rsidR="00DA6E26" w:rsidRDefault="00DA6E26" w:rsidP="00763E14">
      <w:pPr>
        <w:pStyle w:val="BodyText"/>
        <w:spacing w:before="174" w:line="362" w:lineRule="auto"/>
        <w:ind w:right="120"/>
      </w:pPr>
      <w:bookmarkStart w:id="0" w:name="_GoBack"/>
      <w:bookmarkEnd w:id="0"/>
    </w:p>
    <w:sectPr w:rsidR="00DA6E26">
      <w:pgSz w:w="11910" w:h="16840"/>
      <w:pgMar w:top="1320" w:right="1260" w:bottom="1020" w:left="134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4DCFE" w14:textId="77777777" w:rsidR="006A136D" w:rsidRDefault="006A136D">
      <w:r>
        <w:separator/>
      </w:r>
    </w:p>
  </w:endnote>
  <w:endnote w:type="continuationSeparator" w:id="0">
    <w:p w14:paraId="714F4FD6" w14:textId="77777777" w:rsidR="006A136D" w:rsidRDefault="006A1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03D86" w14:textId="77777777" w:rsidR="00DA6E26" w:rsidRDefault="006A136D">
    <w:pPr>
      <w:pStyle w:val="BodyText"/>
      <w:spacing w:line="14" w:lineRule="auto"/>
      <w:rPr>
        <w:sz w:val="20"/>
      </w:rPr>
    </w:pPr>
    <w:r>
      <w:pict w14:anchorId="4C66EAC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7pt;margin-top:789.8pt;width:11.85pt;height:14pt;z-index:-251658752;mso-position-horizontal-relative:page;mso-position-vertical-relative:page" filled="f" stroked="f">
          <v:textbox inset="0,0,0,0">
            <w:txbxContent>
              <w:p w14:paraId="23489946" w14:textId="77777777" w:rsidR="00DA6E26" w:rsidRDefault="006A136D">
                <w:pPr>
                  <w:pStyle w:val="BodyText"/>
                  <w:spacing w:line="252" w:lineRule="exact"/>
                  <w:ind w:left="60"/>
                </w:pPr>
                <w:r>
                  <w:fldChar w:fldCharType="begin"/>
                </w:r>
                <w:r>
                  <w:rPr>
                    <w:w w:val="113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DE677" w14:textId="77777777" w:rsidR="006A136D" w:rsidRDefault="006A136D">
      <w:r>
        <w:separator/>
      </w:r>
    </w:p>
  </w:footnote>
  <w:footnote w:type="continuationSeparator" w:id="0">
    <w:p w14:paraId="42829285" w14:textId="77777777" w:rsidR="006A136D" w:rsidRDefault="006A13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E26"/>
    <w:rsid w:val="006A136D"/>
    <w:rsid w:val="00763E14"/>
    <w:rsid w:val="00DA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E469A04"/>
  <w15:docId w15:val="{DFC13E45-1815-4B79-B9BB-98FEF93E4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9"/>
    <w:qFormat/>
    <w:pPr>
      <w:ind w:right="76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763E14"/>
    <w:rPr>
      <w:rFonts w:ascii="Georgia" w:eastAsia="Georgia" w:hAnsi="Georgia" w:cs="Georgia"/>
      <w:b/>
      <w:bCs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763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Mel12</b:Tag>
    <b:SourceType>BookSection</b:SourceType>
    <b:Guid>{B29E81A7-D72F-4788-8F79-2A5F143C8EC4}</b:Guid>
    <b:Title>The case of too-long-delayed equality brown V. Board of Education (1954 and 1955)</b:Title>
    <b:Year>2012</b:Year>
    <b:Medium>Online</b:Medium>
    <b:Publisher>Westview Press</b:Publisher>
    <b:Author>
      <b:Author>
        <b:NameList>
          <b:Person>
            <b:Last>Urofsky</b:Last>
            <b:First>Melvin</b:First>
            <b:Middle>I.</b:Middle>
          </b:Person>
        </b:NameList>
      </b:Author>
    </b:Author>
    <b:BookTitle>Supreme decisions: great constitutional cases and their impact</b:BookTitle>
    <b:RefOrder>4</b:RefOrder>
  </b:Source>
  <b:Source>
    <b:Tag>War54</b:Tag>
    <b:SourceType>JournalArticle</b:SourceType>
    <b:Guid>{657C4A59-7F08-469B-9772-EA859CFCED06}</b:Guid>
    <b:Title>Brown v. Board of Education</b:Title>
    <b:Year>1954</b:Year>
    <b:Pages>483</b:Pages>
    <b:Medium>Online</b:Medium>
    <b:Author>
      <b:Author>
        <b:NameList>
          <b:Person>
            <b:Last>Warren</b:Last>
            <b:First>Chief</b:First>
            <b:Middle>Justice Earl</b:Middle>
          </b:Person>
        </b:NameList>
      </b:Author>
    </b:Author>
    <b:JournalName>United States Reports</b:JournalName>
    <b:Volume>347</b:Volume>
    <b:StandardNumber>1954</b:StandardNumber>
    <b:URL>https://www.loc.gov/item/usrep347483/</b:URL>
    <b:RefOrder>3</b:RefOrder>
  </b:Source>
  <b:Source>
    <b:Tag>Sta95</b:Tag>
    <b:SourceType>JournalArticle</b:SourceType>
    <b:Guid>{1EA2BD0E-0D79-481D-9169-17AA7303D4C5}</b:Guid>
    <b:Author>
      <b:Author>
        <b:NameList>
          <b:Person>
            <b:Last>States</b:Last>
            <b:First>Supreme</b:First>
            <b:Middle>Court of the United</b:Middle>
          </b:Person>
        </b:NameList>
      </b:Author>
    </b:Author>
    <b:Title>U.S. Reports: Plessy v. Ferguson, 163 U.S. 537 (1896)</b:Title>
    <b:JournalName>Constitutional Law</b:JournalName>
    <b:Year>1895</b:Year>
    <b:Volume>163</b:Volume>
    <b:URL>https://www.loc.gov/item/usrep163537/</b:URL>
    <b:RefOrder>2</b:RefOrder>
  </b:Source>
  <b:Source>
    <b:Tag>Con68</b:Tag>
    <b:SourceType>JournalArticle</b:SourceType>
    <b:Guid>{448F2F64-47DC-4030-B08D-CB3E7D71DAEE}</b:Guid>
    <b:Author>
      <b:Author>
        <b:NameList>
          <b:Person>
            <b:Last>Congress</b:Last>
            <b:First>United</b:First>
            <b:Middle>States</b:Middle>
          </b:Person>
        </b:NameList>
      </b:Author>
    </b:Author>
    <b:Title>U.S. Constitution Fourteenth Amendment: Library of Congress</b:Title>
    <b:JournalName>Constitution Annotated</b:JournalName>
    <b:Year>1868</b:Year>
    <b:Medium>Online</b:Medium>
    <b:URL>https://constitution.congress.gov/constitution/amendment-14/</b:URL>
    <b:RefOrder>1</b:RefOrder>
  </b:Source>
</b:Sources>
</file>

<file path=customXml/itemProps1.xml><?xml version="1.0" encoding="utf-8"?>
<ds:datastoreItem xmlns:ds="http://schemas.openxmlformats.org/officeDocument/2006/customXml" ds:itemID="{31F3FF57-6ED0-4D72-AC85-5A029A028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768</Words>
  <Characters>4381</Characters>
  <Application>Microsoft Office Word</Application>
  <DocSecurity>0</DocSecurity>
  <Lines>36</Lines>
  <Paragraphs>10</Paragraphs>
  <ScaleCrop>false</ScaleCrop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Thompson, Brandon</cp:lastModifiedBy>
  <cp:revision>2</cp:revision>
  <dcterms:created xsi:type="dcterms:W3CDTF">2020-11-28T23:38:00Z</dcterms:created>
  <dcterms:modified xsi:type="dcterms:W3CDTF">2020-11-28T23:47:00Z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2020-11-28T00:00:00Z</vt:filetime>
  </property>
</Properties>
</file>