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_GB2312" w:hAnsi="仿宋_GB2312" w:eastAsia="仿宋_GB2312"/>
          <w:b/>
          <w:b/>
          <w:sz w:val="44"/>
        </w:rPr>
      </w:pPr>
      <w:r>
        <w:rPr>
          <w:rFonts w:ascii="仿宋_GB2312" w:hAnsi="仿宋_GB2312" w:eastAsia="仿宋_GB2312"/>
          <w:b/>
          <w:sz w:val="44"/>
        </w:rPr>
        <w:t>协励行（厦门）电气有限公司</w:t>
      </w:r>
    </w:p>
    <w:p>
      <w:pPr>
        <w:pStyle w:val="Normal"/>
        <w:tabs>
          <w:tab w:val="center" w:pos="4153" w:leader="none"/>
          <w:tab w:val="left" w:pos="7117" w:leader="none"/>
        </w:tabs>
        <w:jc w:val="left"/>
        <w:rPr/>
      </w:pPr>
      <w:r>
        <w:rPr>
          <w:rFonts w:eastAsia="仿宋_GB2312" w:ascii="仿宋_GB2312" w:hAnsi="仿宋_GB2312"/>
          <w:b/>
          <w:sz w:val="44"/>
        </w:rPr>
        <w:tab/>
        <w:t xml:space="preserve">  </w:t>
      </w:r>
      <w:r>
        <w:rPr>
          <w:rFonts w:ascii="仿宋_GB2312" w:hAnsi="仿宋_GB2312" w:eastAsia="仿宋_GB2312"/>
          <w:b/>
          <w:sz w:val="44"/>
        </w:rPr>
        <w:t>进 货 单</w:t>
      </w:r>
      <w:r>
        <w:rPr>
          <w:rFonts w:eastAsia="仿宋_GB2312" w:ascii="仿宋_GB2312" w:hAnsi="仿宋_GB2312"/>
          <w:b/>
          <w:sz w:val="44"/>
        </w:rPr>
        <w:tab/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hanging="0"/>
        <w:jc w:val="right"/>
        <w:rPr/>
      </w:pPr>
      <w:r>
        <w:t>到货文件号：B17B07031</w:t>
      </w:r>
    </w:p>
    <w:p>
      <w:pPr>
        <w:pStyle w:val="Normal"/>
        <w:ind w:right="240" w:hanging="0"/>
        <w:jc w:val="right"/>
        <w:rPr/>
      </w:pPr>
      <w:r>
        <w:t>相应合同号：17B315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兹有下列货物即将到货：</w:t>
      </w:r>
    </w:p>
    <w:p>
      <w:pPr>
        <w:pStyle w:val="Normal"/>
        <w:jc w:val="center"/>
        <w:rPr/>
      </w:pPr>
      <w:r>
        <w:rPr>
          <w:rFonts w:ascii="仿宋_GB2312" w:hAnsi="仿宋_GB2312" w:eastAsia="仿宋_GB2312"/>
          <w:sz w:val="28"/>
        </w:rPr>
        <w:t>到货物品清单</w:t>
      </w:r>
    </w:p>
    <w:tbl>
      <w:tblPr>
        <w:tblW w:w="9597" w:type="dxa"/>
        <w:jc w:val="left"/>
        <w:tblInd w:w="-464" w:type="dxa"/>
        <w:tblBorders/>
        <w:tblCellMar>
          <w:top w:w="59" w:type="dxa"/>
          <w:left w:w="59" w:type="dxa"/>
          <w:bottom w:w="59" w:type="dxa"/>
          <w:right w:w="59" w:type="dxa"/>
        </w:tblCellMar>
        <w:tblLook w:val="04a0" w:noVBand="1" w:noHBand="0" w:lastColumn="0" w:firstColumn="1" w:lastRow="0" w:firstRow="1"/>
      </w:tblPr>
      <w:tblGrid>
        <w:gridCol w:w="2207"/>
        <w:gridCol w:w="1668"/>
        <w:gridCol w:w="1167"/>
        <w:gridCol w:w="1625"/>
        <w:gridCol w:w="1974"/>
        <w:gridCol w:w="955"/>
      </w:tblGrid>
      <w:tr>
        <w:trPr>
          <w:trHeight w:val="576" w:hRule="atLeast"/>
        </w:trPr>
        <w:tc>
          <w:tcPr>
            <w:tcW w:w="220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名称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型号</w:t>
            </w:r>
          </w:p>
        </w:tc>
        <w:tc>
          <w:tcPr>
            <w:tcW w:w="16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包装规格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种类</w:t>
            </w:r>
          </w:p>
        </w:tc>
        <w:tc>
          <w:tcPr>
            <w:tcW w:w="11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数量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合计重量</w:t>
            </w:r>
          </w:p>
        </w:tc>
        <w:tc>
          <w:tcPr>
            <w:tcW w:w="197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批号</w:t>
            </w:r>
          </w:p>
        </w:tc>
        <w:tc>
          <w:tcPr>
            <w:tcW w:w="95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备注</w:t>
            </w:r>
          </w:p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(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有效期</w:t>
            </w:r>
            <w:r>
              <w:rPr>
                <w:rFonts w:eastAsia="仿宋_GB2312"/>
                <w:szCs w:val="21"/>
              </w:rPr>
              <w:t>)</w:t>
            </w:r>
          </w:p>
        </w:tc>
      </w:tr>
      <w:tr>
        <w:trPr>
          <w:trHeight w:val="576" w:hRule="atLeast"/>
        </w:trPr>
        <w:tc>
          <w:tcPr>
            <w:tcW w:w="2207" w:type="dxa"/>
            <w:tcBorders/>
            <w:shd w:fill="auto" w:val="clear"/>
            <w:vAlign w:val="center"/>
          </w:tcPr>
          <w:p>
            <w:r>
              <w:t>树脂CY5836</w:t>
            </w:r>
          </w:p>
        </w:tc>
        <w:tc>
          <w:tcPr>
            <w:tcW w:w="1668" w:type="dxa"/>
            <w:tcBorders/>
            <w:shd w:fill="auto" w:val="clear"/>
            <w:vAlign w:val="center"/>
          </w:tcPr>
          <w:p>
            <w:r>
              <w:t>225.0公斤/桶</w:t>
            </w:r>
          </w:p>
        </w:tc>
        <w:tc>
          <w:tcPr>
            <w:tcW w:w="1167" w:type="dxa"/>
            <w:tcBorders/>
            <w:shd w:fill="auto" w:val="clear"/>
            <w:vAlign w:val="center"/>
          </w:tcPr>
          <w:p>
            <w:r>
              <w:t>10.0桶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r>
              <w:t>2250.0公斤</w:t>
            </w:r>
          </w:p>
        </w:tc>
        <w:tc>
          <w:tcPr>
            <w:tcW w:w="1974" w:type="dxa"/>
            <w:tcBorders/>
            <w:shd w:fill="auto" w:val="clear"/>
            <w:vAlign w:val="center"/>
          </w:tcPr>
          <w:p>
            <w:r>
              <w:t>AQG05415GF</w:t>
            </w:r>
          </w:p>
        </w:tc>
        <w:tc>
          <w:tcPr>
            <w:tcW w:w="955" w:type="dxa"/>
            <w:tcBorders/>
            <w:shd w:fill="auto" w:val="clear"/>
            <w:vAlign w:val="center"/>
          </w:tcPr>
          <w:p>
            <w:r>
              <w:t>09/2019</w:t>
            </w:r>
          </w:p>
        </w:tc>
      </w:tr>
      <w:tr>
        <w:tc>
          <w:tcPr>
            <w:tcW w:type="dxa" w:w="2207"/>
          </w:tcPr>
          <w:p>
            <w:r>
              <w:t>固化剂HY5836</w:t>
            </w:r>
          </w:p>
        </w:tc>
        <w:tc>
          <w:tcPr>
            <w:tcW w:type="dxa" w:w="1668"/>
          </w:tcPr>
          <w:p>
            <w:r>
              <w:t>225.0公斤/桶</w:t>
            </w:r>
          </w:p>
        </w:tc>
        <w:tc>
          <w:tcPr>
            <w:tcW w:type="dxa" w:w="1167"/>
          </w:tcPr>
          <w:p>
            <w:r>
              <w:t>8.0桶</w:t>
            </w:r>
          </w:p>
        </w:tc>
        <w:tc>
          <w:tcPr>
            <w:tcW w:type="dxa" w:w="1625"/>
          </w:tcPr>
          <w:p>
            <w:r>
              <w:t>1800.0公斤</w:t>
            </w:r>
          </w:p>
        </w:tc>
        <w:tc>
          <w:tcPr>
            <w:tcW w:type="dxa" w:w="1974"/>
          </w:tcPr>
          <w:p>
            <w:r>
              <w:t>AQG05310GN</w:t>
            </w:r>
          </w:p>
        </w:tc>
        <w:tc>
          <w:tcPr>
            <w:tcW w:type="dxa" w:w="955"/>
          </w:tcPr>
          <w:p>
            <w:r>
              <w:t>06/2018</w:t>
            </w:r>
          </w:p>
        </w:tc>
      </w:tr>
      <w:tr>
        <w:tc>
          <w:tcPr>
            <w:tcW w:type="dxa" w:w="2207"/>
          </w:tcPr>
          <w:p>
            <w:r>
              <w:t>总计：</w:t>
            </w:r>
          </w:p>
        </w:tc>
        <w:tc>
          <w:tcPr>
            <w:tcW w:type="dxa" w:w="1668"/>
          </w:tcPr>
          <w:p>
            <w:r/>
          </w:p>
        </w:tc>
        <w:tc>
          <w:tcPr>
            <w:tcW w:type="dxa" w:w="1167"/>
          </w:tcPr>
          <w:p>
            <w:r>
              <w:t>18.0桶</w:t>
            </w:r>
          </w:p>
        </w:tc>
        <w:tc>
          <w:tcPr>
            <w:tcW w:type="dxa" w:w="1625"/>
          </w:tcPr>
          <w:p>
            <w:r>
              <w:t>4050.0公斤</w:t>
            </w:r>
          </w:p>
        </w:tc>
        <w:tc>
          <w:tcPr>
            <w:tcW w:type="dxa" w:w="1974"/>
          </w:tcPr>
          <w:p>
            <w:r/>
          </w:p>
        </w:tc>
        <w:tc>
          <w:tcPr>
            <w:tcW w:type="dxa" w:w="955"/>
          </w:tcPr>
          <w:p/>
        </w:tc>
      </w:tr>
    </w:tbl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是否随附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ascii="仿宋_GB2312" w:hAnsi="仿宋_GB2312" w:eastAsia="仿宋_GB2312"/>
          <w:sz w:val="24"/>
        </w:rPr>
        <w:t>提单</w:t>
      </w:r>
      <w:r>
        <w:rPr>
          <w:rFonts w:eastAsia="仿宋_GB2312" w:ascii="仿宋_GB2312" w:hAnsi="仿宋_GB2312"/>
          <w:sz w:val="24"/>
        </w:rPr>
        <w:t>(</w:t>
      </w:r>
      <w:r>
        <w:rPr>
          <w:rFonts w:ascii="仿宋_GB2312" w:hAnsi="仿宋_GB2312" w:eastAsia="仿宋_GB2312"/>
          <w:sz w:val="24"/>
        </w:rPr>
        <w:t>空运单等</w:t>
      </w:r>
      <w:r>
        <w:rPr>
          <w:rFonts w:eastAsia="仿宋_GB2312" w:ascii="仿宋_GB2312" w:hAnsi="仿宋_GB2312"/>
          <w:sz w:val="24"/>
        </w:rPr>
        <w:t>)</w:t>
      </w:r>
      <w:r>
        <w:rPr>
          <w:rFonts w:ascii="仿宋_GB2312" w:hAnsi="仿宋_GB2312" w:eastAsia="仿宋_GB2312"/>
          <w:sz w:val="24"/>
        </w:rPr>
        <w:t>、发票、装箱单√、或等有关文件（请打√）</w:t>
      </w:r>
    </w:p>
    <w:p>
      <w:pPr>
        <w:pStyle w:val="Normal"/>
        <w:snapToGrid w:val="false"/>
        <w:spacing w:lineRule="atLeast" w:line="400"/>
        <w:rPr/>
      </w:pPr>
      <w:r>
        <w:rPr>
          <w:rFonts w:ascii="仿宋_GB2312" w:hAnsi="仿宋_GB2312" w:eastAsia="仿宋_GB2312"/>
          <w:sz w:val="24"/>
        </w:rPr>
        <w:t>运输方式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ascii="仿宋_GB2312" w:hAnsi="仿宋_GB2312" w:eastAsia="仿宋_GB2312"/>
          <w:sz w:val="24"/>
        </w:rPr>
        <w:t>空运、汽运√、铁运、快递、水运 等 （请打√）</w:t>
      </w:r>
      <w:r>
        <w:rPr>
          <w:rFonts w:eastAsia="仿宋_GB2312" w:ascii="仿宋_GB2312" w:hAnsi="仿宋_GB2312"/>
          <w:sz w:val="24"/>
        </w:rPr>
        <w:t>?</w:t>
      </w:r>
    </w:p>
    <w:p>
      <w:pPr>
        <w:pStyle w:val="Normal"/>
        <w:snapToGrid w:val="false"/>
        <w:spacing w:lineRule="atLeast" w:line="400"/>
        <w:rPr/>
      </w:pPr>
      <w:r>
        <w:t>到货日期：</w:t>
        <w:tab/>
        <w:t xml:space="preserve">  20170724(如可以提供车号、航班号、船名航次等）</w:t>
      </w:r>
    </w:p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是否转运： 是   否√ （请打√）</w:t>
      </w:r>
    </w:p>
    <w:p>
      <w:pPr>
        <w:pStyle w:val="Normal"/>
        <w:tabs>
          <w:tab w:val="left" w:pos="7745" w:leader="none"/>
        </w:tabs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  <w:tab/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 xml:space="preserve">销售部： </w:t>
      </w:r>
      <w:r>
        <w:rPr>
          <w:rFonts w:ascii="仿宋_GB2312" w:hAnsi="仿宋_GB2312" w:eastAsia="仿宋_GB2312"/>
          <w:sz w:val="24"/>
          <w:u w:val="single"/>
        </w:rPr>
        <w:t xml:space="preserve">              </w:t>
      </w:r>
      <w:r>
        <w:rPr>
          <w:rFonts w:ascii="仿宋_GB2312" w:hAnsi="仿宋_GB2312" w:eastAsia="仿宋_GB2312"/>
          <w:sz w:val="24"/>
        </w:rPr>
        <w:t xml:space="preserve">                  财务部： </w:t>
      </w:r>
      <w:r>
        <w:rPr>
          <w:rFonts w:ascii="仿宋_GB2312" w:hAnsi="仿宋_GB2312" w:eastAsia="仿宋_GB2312"/>
          <w:sz w:val="24"/>
          <w:u w:val="single"/>
        </w:rPr>
        <w:t xml:space="preserve">              </w:t>
      </w:r>
      <w:r>
        <w:rPr>
          <w:rFonts w:ascii="仿宋_GB2312" w:hAnsi="仿宋_GB2312" w:eastAsia="仿宋_GB2312"/>
          <w:sz w:val="24"/>
        </w:rPr>
        <w:t xml:space="preserve">               储运部： </w:t>
      </w:r>
      <w:r>
        <w:rPr>
          <w:rFonts w:ascii="仿宋_GB2312" w:hAnsi="仿宋_GB2312" w:eastAsia="仿宋_GB2312"/>
          <w:sz w:val="24"/>
          <w:u w:val="single"/>
        </w:rPr>
        <w:t xml:space="preserve">              </w:t>
      </w:r>
      <w:r>
        <w:rPr>
          <w:rFonts w:ascii="仿宋_GB2312" w:hAnsi="仿宋_GB2312" w:eastAsia="仿宋_GB2312"/>
          <w:sz w:val="24"/>
        </w:rPr>
        <w:t xml:space="preserve">  </w:t>
      </w:r>
    </w:p>
    <w:p>
      <w:pPr>
        <w:pStyle w:val="Normal"/>
        <w:ind w:firstLine="480"/>
        <w:rPr/>
      </w:pPr>
      <w:r>
        <w:rPr>
          <w:rFonts w:eastAsia="仿宋_GB2312" w:ascii="仿宋_GB2312" w:hAnsi="仿宋_GB2312"/>
          <w:sz w:val="24"/>
        </w:rPr>
        <w:t>2017</w:t>
      </w:r>
      <w:r>
        <w:rPr>
          <w:rFonts w:ascii="仿宋_GB2312" w:hAnsi="仿宋_GB2312" w:eastAsia="仿宋_GB2312"/>
          <w:sz w:val="24"/>
        </w:rPr>
        <w:t>年  月  日</w:t>
      </w:r>
      <w:r>
        <w:rPr>
          <w:rFonts w:eastAsia="仿宋_GB2312" w:ascii="仿宋_GB2312" w:hAnsi="仿宋_GB2312"/>
          <w:sz w:val="24"/>
        </w:rPr>
        <w:tab/>
        <w:tab/>
        <w:t xml:space="preserve">   </w:t>
      </w:r>
      <w:bookmarkStart w:id="0" w:name="__DdeLink__83_212389672"/>
      <w:r>
        <w:rPr>
          <w:rFonts w:eastAsia="仿宋_GB2312" w:ascii="仿宋_GB2312" w:hAnsi="仿宋_GB2312"/>
          <w:sz w:val="24"/>
        </w:rPr>
        <w:t>2017</w:t>
      </w:r>
      <w:r>
        <w:rPr>
          <w:rFonts w:ascii="仿宋_GB2312" w:hAnsi="仿宋_GB2312" w:eastAsia="仿宋_GB2312"/>
          <w:sz w:val="24"/>
        </w:rPr>
        <w:t>年  月  日</w:t>
      </w:r>
      <w:bookmarkEnd w:id="0"/>
      <w:r>
        <w:rPr>
          <w:rFonts w:ascii="仿宋_GB2312" w:hAnsi="仿宋_GB2312" w:eastAsia="仿宋_GB2312"/>
          <w:sz w:val="24"/>
        </w:rPr>
        <w:t xml:space="preserve">               </w:t>
      </w:r>
      <w:r>
        <w:rPr>
          <w:rFonts w:eastAsia="仿宋_GB2312" w:ascii="仿宋_GB2312" w:hAnsi="仿宋_GB2312"/>
          <w:sz w:val="24"/>
        </w:rPr>
        <w:t>2017</w:t>
      </w:r>
      <w:r>
        <w:rPr>
          <w:rFonts w:ascii="仿宋_GB2312" w:hAnsi="仿宋_GB2312" w:eastAsia="仿宋_GB2312"/>
          <w:sz w:val="24"/>
        </w:rPr>
        <w:t>年  月  日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34fe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c34fe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c34fe"/>
    <w:rPr>
      <w:sz w:val="18"/>
      <w:szCs w:val="18"/>
    </w:rPr>
  </w:style>
  <w:style w:type="character" w:styleId="Strong">
    <w:name w:val="Strong"/>
    <w:basedOn w:val="DefaultParagraphFont"/>
    <w:qFormat/>
    <w:rsid w:val="000c34fe"/>
    <w:rPr>
      <w:b/>
      <w:bCs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0c34fe"/>
    <w:rPr>
      <w:rFonts w:ascii="Times New Roman" w:hAnsi="Times New Roman" w:eastAsia="宋体" w:cs="Times New Roman"/>
      <w:sz w:val="18"/>
      <w:szCs w:val="18"/>
    </w:rPr>
  </w:style>
  <w:style w:type="character" w:styleId="Char3" w:customStyle="1">
    <w:name w:val="脚注文本 Char"/>
    <w:basedOn w:val="DefaultParagraphFont"/>
    <w:link w:val="a8"/>
    <w:uiPriority w:val="99"/>
    <w:semiHidden/>
    <w:qFormat/>
    <w:rsid w:val="000c34fe"/>
    <w:rPr>
      <w:rFonts w:ascii="Times New Roman" w:hAnsi="Times New Roman" w:eastAsia="宋体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c34fe"/>
    <w:rPr>
      <w:vertAlign w:val="superscript"/>
    </w:rPr>
  </w:style>
  <w:style w:type="character" w:styleId="InternetLink">
    <w:name w:val="Internet Link"/>
    <w:basedOn w:val="DefaultParagraphFont"/>
    <w:uiPriority w:val="99"/>
    <w:semiHidden/>
    <w:unhideWhenUsed/>
    <w:rsid w:val="000c34f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0c34f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0c34fe"/>
    <w:pPr>
      <w:tabs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NoSpacing">
    <w:name w:val="No Spacing"/>
    <w:uiPriority w:val="1"/>
    <w:qFormat/>
    <w:rsid w:val="000c34fe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0c34fe"/>
    <w:pPr/>
    <w:rPr>
      <w:sz w:val="18"/>
      <w:szCs w:val="18"/>
    </w:rPr>
  </w:style>
  <w:style w:type="paragraph" w:styleId="Footnotetext">
    <w:name w:val="footnote text"/>
    <w:basedOn w:val="Normal"/>
    <w:link w:val="Char2"/>
    <w:uiPriority w:val="99"/>
    <w:semiHidden/>
    <w:unhideWhenUsed/>
    <w:qFormat/>
    <w:rsid w:val="000c34fe"/>
    <w:pPr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FC002-C42B-46E8-90B4-C10CC5D1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LibreOffice/5.1.6.2$Linux_X86_64 LibreOffice_project/10m0$Build-2</Application>
  <Pages>2</Pages>
  <Words>195</Words>
  <Characters>214</Characters>
  <CharactersWithSpaces>345</CharactersWithSpaces>
  <Paragraphs>20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2017-05-27T08:58:00Z</dcterms:created>
  <dc:creator>hebelin</dc:creator>
  <dc:description/>
  <dc:language>en-US</dc:language>
  <cp:lastModifiedBy/>
  <cp:lastPrinted>2017-05-26T02:43:00Z</cp:lastPrinted>
  <dcterms:modified xsi:type="dcterms:W3CDTF">2018-04-12T16:16:11Z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