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_GB2312" w:hAnsi="仿宋_GB2312" w:eastAsia="仿宋_GB2312"/>
          <w:b/>
          <w:b/>
          <w:sz w:val="44"/>
        </w:rPr>
      </w:pPr>
      <w:r>
        <w:rPr>
          <w:rFonts w:ascii="仿宋_GB2312" w:hAnsi="仿宋_GB2312" w:eastAsia="仿宋_GB2312"/>
          <w:b/>
          <w:sz w:val="44"/>
        </w:rPr>
        <w:t>协励行（厦门）电气有限公司</w:t>
      </w:r>
    </w:p>
    <w:p>
      <w:pPr>
        <w:pStyle w:val="Normal"/>
        <w:tabs>
          <w:tab w:val="center" w:pos="4153" w:leader="none"/>
          <w:tab w:val="left" w:pos="7117" w:leader="none"/>
        </w:tabs>
        <w:jc w:val="left"/>
        <w:rPr>
          <w:rFonts w:ascii="仿宋_GB2312" w:hAnsi="仿宋_GB2312" w:eastAsia="仿宋_GB2312"/>
          <w:b/>
          <w:b/>
          <w:sz w:val="44"/>
        </w:rPr>
      </w:pPr>
      <w:r>
        <w:rPr>
          <w:rFonts w:eastAsia="仿宋_GB2312" w:ascii="仿宋_GB2312" w:hAnsi="仿宋_GB2312"/>
          <w:b/>
          <w:sz w:val="44"/>
        </w:rPr>
        <w:tab/>
        <w:t xml:space="preserve">  </w:t>
      </w:r>
      <w:r>
        <w:rPr>
          <w:rFonts w:ascii="仿宋_GB2312" w:hAnsi="仿宋_GB2312" w:eastAsia="仿宋_GB2312"/>
          <w:b/>
          <w:sz w:val="44"/>
        </w:rPr>
        <w:t>进 货 通 知 书</w:t>
      </w:r>
      <w:r>
        <w:rPr>
          <w:rFonts w:eastAsia="仿宋_GB2312" w:ascii="仿宋_GB2312" w:hAnsi="仿宋_GB2312"/>
          <w:b/>
          <w:sz w:val="4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hanging="0"/>
        <w:jc w:val="right"/>
        <w:rPr/>
      </w:pPr>
      <w:r>
        <w:t>到货文件号：X17B06001</w:t>
      </w:r>
    </w:p>
    <w:p>
      <w:pPr>
        <w:pStyle w:val="Normal"/>
        <w:ind w:right="240" w:hanging="0"/>
        <w:jc w:val="right"/>
        <w:rPr/>
      </w:pPr>
      <w:r>
        <w:t>相应合同号：17B998</w:t>
      </w:r>
    </w:p>
    <w:p>
      <w:pPr>
        <w:pStyle w:val="Normal"/>
        <w:rPr>
          <w:rFonts w:ascii="仿宋_GB2312" w:hAnsi="仿宋_GB2312" w:eastAsia="仿宋_GB2312"/>
          <w:sz w:val="24"/>
          <w:u w:val="single"/>
        </w:rPr>
      </w:pPr>
      <w:r>
        <w:rPr>
          <w:rFonts w:ascii="仿宋_GB2312" w:hAnsi="仿宋_GB2312" w:eastAsia="仿宋_GB2312"/>
          <w:sz w:val="24"/>
        </w:rPr>
        <w:t>兹有下列货物即将到货：</w:t>
      </w:r>
    </w:p>
    <w:p>
      <w:pPr>
        <w:pStyle w:val="Normal"/>
        <w:rPr>
          <w:rFonts w:ascii="仿宋_GB2312" w:hAnsi="仿宋_GB2312" w:eastAsia="仿宋_GB2312"/>
          <w:sz w:val="28"/>
        </w:rPr>
      </w:pPr>
      <w:r>
        <w:rPr>
          <w:rFonts w:eastAsia="仿宋_GB2312" w:ascii="仿宋_GB2312" w:hAnsi="仿宋_GB2312"/>
          <w:sz w:val="28"/>
        </w:rPr>
        <w:t xml:space="preserve">                         </w:t>
      </w:r>
      <w:r>
        <w:rPr>
          <w:rFonts w:ascii="仿宋_GB2312" w:hAnsi="仿宋_GB2312" w:eastAsia="仿宋_GB2312"/>
          <w:sz w:val="28"/>
        </w:rPr>
        <w:t>到货物品清单</w:t>
      </w:r>
    </w:p>
    <w:tbl>
      <w:tblPr>
        <w:tblW w:w="9597" w:type="dxa"/>
        <w:jc w:val="left"/>
        <w:tblInd w:w="-454" w:type="dxa"/>
        <w:tblBorders>
          <w:top w:val="single" w:sz="6" w:space="0" w:color="00000A"/>
          <w:left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60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7"/>
        <w:gridCol w:w="1668"/>
        <w:gridCol w:w="1167"/>
        <w:gridCol w:w="1625"/>
        <w:gridCol w:w="1974"/>
        <w:gridCol w:w="955"/>
      </w:tblGrid>
      <w:tr>
        <w:trPr>
          <w:trHeight w:val="576" w:hRule="atLeast"/>
        </w:trPr>
        <w:tc>
          <w:tcPr>
            <w:tcW w:w="220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型号</w:t>
            </w:r>
          </w:p>
        </w:tc>
        <w:tc>
          <w:tcPr>
            <w:tcW w:w="166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包装规格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种类</w:t>
            </w:r>
          </w:p>
        </w:tc>
        <w:tc>
          <w:tcPr>
            <w:tcW w:w="1167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数量</w:t>
            </w:r>
          </w:p>
        </w:tc>
        <w:tc>
          <w:tcPr>
            <w:tcW w:w="162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合计重量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批号</w:t>
            </w:r>
          </w:p>
        </w:tc>
        <w:tc>
          <w:tcPr>
            <w:tcW w:w="95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  <w:lang w:val="zh-CN"/>
              </w:rPr>
              <w:t>备注</w:t>
            </w:r>
          </w:p>
          <w:p>
            <w:pPr>
              <w:pStyle w:val="Normal"/>
              <w:jc w:val="center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ascii="仿宋_GB2312" w:hAnsi="仿宋_GB2312" w:eastAsia="仿宋_GB2312"/>
                <w:szCs w:val="21"/>
                <w:lang w:val="zh-CN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>
          <w:trHeight w:val="576" w:hRule="atLeast"/>
        </w:trPr>
        <w:tc>
          <w:tcPr>
            <w:tcW w:w="2207" w:type="dxa"/>
            <w:tcBorders>
              <w:top w:val="single" w:sz="4" w:space="0" w:color="00000A"/>
              <w:left w:val="single" w:sz="6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树脂CY5524</w:t>
            </w:r>
          </w:p>
        </w:tc>
        <w:tc>
          <w:tcPr>
            <w:tcW w:w="16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225.0公斤/桶</w:t>
            </w:r>
          </w:p>
        </w:tc>
        <w:tc>
          <w:tcPr>
            <w:tcW w:w="11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6000.0桶</w:t>
            </w:r>
          </w:p>
        </w:tc>
        <w:tc>
          <w:tcPr>
            <w:tcW w:w="16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1350000.0公斤</w:t>
            </w:r>
          </w:p>
        </w:tc>
        <w:tc>
          <w:tcPr>
            <w:tcW w:w="19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AQG01315GN</w:t>
            </w:r>
          </w:p>
        </w:tc>
        <w:tc>
          <w:tcPr>
            <w:tcW w:w="9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树脂CY5524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6000.0桶</w:t>
            </w:r>
          </w:p>
        </w:tc>
        <w:tc>
          <w:tcPr>
            <w:tcW w:type="dxa" w:w="1625"/>
          </w:tcPr>
          <w:p>
            <w:r>
              <w:t>1350000.0公斤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树脂CY5524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6000.0桶</w:t>
            </w:r>
          </w:p>
        </w:tc>
        <w:tc>
          <w:tcPr>
            <w:tcW w:type="dxa" w:w="1625"/>
          </w:tcPr>
          <w:p>
            <w:r>
              <w:t>1350000.0公斤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树脂CY5524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6000.0桶</w:t>
            </w:r>
          </w:p>
        </w:tc>
        <w:tc>
          <w:tcPr>
            <w:tcW w:type="dxa" w:w="1625"/>
          </w:tcPr>
          <w:p>
            <w:r>
              <w:t>1350000.0公斤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树脂CY5524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6000.0桶</w:t>
            </w:r>
          </w:p>
        </w:tc>
        <w:tc>
          <w:tcPr>
            <w:tcW w:type="dxa" w:w="1625"/>
          </w:tcPr>
          <w:p>
            <w:r>
              <w:t>1350000.0公斤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2250.0桶</w:t>
            </w:r>
          </w:p>
        </w:tc>
        <w:tc>
          <w:tcPr>
            <w:tcW w:type="dxa" w:w="1625"/>
          </w:tcPr>
          <w:p>
            <w:r>
              <w:t>506250.0公斤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2250.0桶</w:t>
            </w:r>
          </w:p>
        </w:tc>
        <w:tc>
          <w:tcPr>
            <w:tcW w:type="dxa" w:w="1625"/>
          </w:tcPr>
          <w:p>
            <w:r>
              <w:t>506250.0公斤</w:t>
            </w:r>
          </w:p>
        </w:tc>
        <w:tc>
          <w:tcPr>
            <w:tcW w:type="dxa" w:w="1974"/>
          </w:tcPr>
          <w:p>
            <w:r>
              <w:t>AQG01518GN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CY5524</w:t>
            </w:r>
          </w:p>
        </w:tc>
        <w:tc>
          <w:tcPr>
            <w:tcW w:type="dxa" w:w="1668"/>
          </w:tcPr>
          <w:p>
            <w:r>
              <w:t>225.0公斤/桶</w:t>
            </w:r>
          </w:p>
        </w:tc>
        <w:tc>
          <w:tcPr>
            <w:tcW w:type="dxa" w:w="1167"/>
          </w:tcPr>
          <w:p>
            <w:r>
              <w:t>2250.0桶</w:t>
            </w:r>
          </w:p>
        </w:tc>
        <w:tc>
          <w:tcPr>
            <w:tcW w:type="dxa" w:w="1625"/>
          </w:tcPr>
          <w:p>
            <w:r>
              <w:t>506250.0公斤</w:t>
            </w:r>
          </w:p>
        </w:tc>
        <w:tc>
          <w:tcPr>
            <w:tcW w:type="dxa" w:w="1974"/>
          </w:tcPr>
          <w:p>
            <w:r>
              <w:t>AQG01315GN</w:t>
            </w:r>
          </w:p>
        </w:tc>
        <w:tc>
          <w:tcPr>
            <w:tcW w:type="dxa" w:w="955"/>
          </w:tcPr>
          <w:p>
            <w:r>
              <w:t>201809</w:t>
            </w:r>
          </w:p>
        </w:tc>
      </w:tr>
      <w:tr>
        <w:tc>
          <w:tcPr>
            <w:tcW w:type="dxa" w:w="2207"/>
          </w:tcPr>
          <w:p>
            <w:r>
              <w:t>总计：</w:t>
            </w:r>
          </w:p>
        </w:tc>
        <w:tc>
          <w:tcPr>
            <w:tcW w:type="dxa" w:w="1668"/>
          </w:tcPr>
          <w:p>
            <w:r>
              <w:t>36750.0</w:t>
            </w:r>
          </w:p>
        </w:tc>
        <w:tc>
          <w:tcPr>
            <w:tcW w:type="dxa" w:w="1167"/>
          </w:tcPr>
          <w:p>
            <w:r>
              <w:t>桶</w:t>
            </w:r>
          </w:p>
        </w:tc>
        <w:tc>
          <w:tcPr>
            <w:tcW w:type="dxa" w:w="1625"/>
          </w:tcPr>
          <w:p>
            <w:r>
              <w:t>8268750.0</w:t>
            </w:r>
          </w:p>
        </w:tc>
        <w:tc>
          <w:tcPr>
            <w:tcW w:type="dxa" w:w="1974"/>
          </w:tcPr>
          <w:p>
            <w:r>
              <w:t>公斤</w:t>
            </w:r>
          </w:p>
        </w:tc>
        <w:tc>
          <w:tcPr>
            <w:tcW w:type="dxa" w:w="955"/>
          </w:tcPr>
          <w:p/>
        </w:tc>
      </w:tr>
    </w:tbl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是否随附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提单</w:t>
      </w:r>
      <w:r>
        <w:rPr>
          <w:rFonts w:eastAsia="仿宋_GB2312" w:ascii="仿宋_GB2312" w:hAnsi="仿宋_GB2312"/>
          <w:sz w:val="24"/>
        </w:rPr>
        <w:t>(</w:t>
      </w:r>
      <w:r>
        <w:rPr>
          <w:rFonts w:ascii="仿宋_GB2312" w:hAnsi="仿宋_GB2312" w:eastAsia="仿宋_GB2312"/>
          <w:sz w:val="24"/>
        </w:rPr>
        <w:t>空运单等</w:t>
      </w:r>
      <w:r>
        <w:rPr>
          <w:rFonts w:eastAsia="仿宋_GB2312" w:ascii="仿宋_GB2312" w:hAnsi="仿宋_GB2312"/>
          <w:sz w:val="24"/>
        </w:rPr>
        <w:t>)</w:t>
      </w:r>
      <w:r>
        <w:rPr>
          <w:rFonts w:ascii="仿宋_GB2312" w:hAnsi="仿宋_GB2312" w:eastAsia="仿宋_GB2312"/>
          <w:sz w:val="24"/>
        </w:rPr>
        <w:t>、发票、装箱单√、或等有关文件（请打√）</w:t>
      </w:r>
    </w:p>
    <w:p>
      <w:pPr>
        <w:pStyle w:val="Normal"/>
        <w:snapToGrid w:val="false"/>
        <w:spacing w:lineRule="atLeast" w:line="400"/>
        <w:rPr/>
      </w:pPr>
      <w:r>
        <w:rPr>
          <w:rFonts w:ascii="仿宋_GB2312" w:hAnsi="仿宋_GB2312" w:eastAsia="仿宋_GB2312"/>
          <w:sz w:val="24"/>
        </w:rPr>
        <w:t>运输方式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ascii="仿宋_GB2312" w:hAnsi="仿宋_GB2312" w:eastAsia="仿宋_GB2312"/>
          <w:sz w:val="24"/>
        </w:rPr>
        <w:t>空运、汽运√、铁运、快递、水运 等 （请打√）</w:t>
      </w:r>
      <w:r>
        <w:rPr>
          <w:rFonts w:eastAsia="仿宋_GB2312" w:ascii="仿宋_GB2312" w:hAnsi="仿宋_GB2312"/>
          <w:sz w:val="24"/>
        </w:rPr>
        <w:t>?</w:t>
      </w:r>
    </w:p>
    <w:p>
      <w:pPr>
        <w:pStyle w:val="Normal"/>
        <w:snapToGrid w:val="false"/>
        <w:spacing w:lineRule="atLeast" w:line="400"/>
        <w:rPr/>
      </w:pPr>
      <w:r>
        <w:t>到货日期：</w:t>
        <w:tab/>
        <w:t xml:space="preserve">  20170613(如可以提供车号、航班号、船名航次等）</w:t>
      </w:r>
    </w:p>
    <w:p>
      <w:pPr>
        <w:pStyle w:val="Normal"/>
        <w:snapToGrid w:val="false"/>
        <w:spacing w:lineRule="atLeast" w:line="400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是否转运： 是   否√ （请打√）</w:t>
      </w:r>
    </w:p>
    <w:p>
      <w:pPr>
        <w:pStyle w:val="Normal"/>
        <w:tabs>
          <w:tab w:val="left" w:pos="7745" w:leader="none"/>
        </w:tabs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  <w:tab/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 xml:space="preserve">销售部： </w:t>
      </w:r>
      <w:r>
        <w:rPr>
          <w:rFonts w:ascii="仿宋_GB2312" w:hAnsi="仿宋_GB2312" w:eastAsia="仿宋_GB2312"/>
          <w:sz w:val="24"/>
          <w:u w:val="single"/>
        </w:rPr>
        <w:t xml:space="preserve">              </w:t>
      </w:r>
      <w:r>
        <w:rPr>
          <w:rFonts w:ascii="仿宋_GB2312" w:hAnsi="仿宋_GB2312" w:eastAsia="仿宋_GB2312"/>
          <w:sz w:val="24"/>
        </w:rPr>
        <w:t xml:space="preserve">               储运部： </w:t>
      </w:r>
      <w:r>
        <w:rPr>
          <w:rFonts w:ascii="仿宋_GB2312" w:hAnsi="仿宋_GB2312" w:eastAsia="仿宋_GB2312"/>
          <w:sz w:val="24"/>
          <w:u w:val="single"/>
        </w:rPr>
        <w:t xml:space="preserve">              </w:t>
      </w:r>
      <w:r>
        <w:rPr>
          <w:rFonts w:ascii="仿宋_GB2312" w:hAnsi="仿宋_GB2312" w:eastAsia="仿宋_GB2312"/>
          <w:sz w:val="24"/>
        </w:rPr>
        <w:t xml:space="preserve">  </w:t>
      </w:r>
    </w:p>
    <w:p>
      <w:pPr>
        <w:pStyle w:val="Normal"/>
        <w:ind w:firstLine="48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  <w:t>2017</w:t>
      </w:r>
      <w:r>
        <w:rPr>
          <w:rFonts w:ascii="仿宋_GB2312" w:hAnsi="仿宋_GB2312" w:eastAsia="仿宋_GB2312"/>
          <w:sz w:val="24"/>
        </w:rPr>
        <w:t>年  月  日</w:t>
      </w:r>
      <w:r>
        <w:rPr>
          <w:rFonts w:eastAsia="仿宋_GB2312" w:ascii="仿宋_GB2312" w:hAnsi="仿宋_GB2312"/>
          <w:sz w:val="24"/>
        </w:rPr>
        <w:tab/>
        <w:tab/>
        <w:tab/>
        <w:t xml:space="preserve">                  2017</w:t>
      </w:r>
      <w:r>
        <w:rPr>
          <w:rFonts w:ascii="仿宋_GB2312" w:hAnsi="仿宋_GB2312" w:eastAsia="仿宋_GB2312"/>
          <w:sz w:val="24"/>
        </w:rPr>
        <w:t>年  月  日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c34f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c34fe"/>
    <w:rPr>
      <w:sz w:val="18"/>
      <w:szCs w:val="18"/>
    </w:rPr>
  </w:style>
  <w:style w:type="character" w:styleId="Strong">
    <w:name w:val="Strong"/>
    <w:basedOn w:val="DefaultParagraphFont"/>
    <w:qFormat/>
    <w:rsid w:val="000c34fe"/>
    <w:rPr>
      <w:b/>
      <w:bCs/>
    </w:rPr>
  </w:style>
  <w:style w:type="character" w:styleId="Char2" w:customStyle="1">
    <w:name w:val="批注框文本 Char"/>
    <w:basedOn w:val="DefaultParagraphFont"/>
    <w:link w:val="a7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Char3" w:customStyle="1">
    <w:name w:val="脚注文本 Char"/>
    <w:basedOn w:val="DefaultParagraphFont"/>
    <w:link w:val="a8"/>
    <w:uiPriority w:val="99"/>
    <w:semiHidden/>
    <w:qFormat/>
    <w:rsid w:val="000c34fe"/>
    <w:rPr>
      <w:rFonts w:ascii="Times New Roman" w:hAnsi="Times New Roman" w:eastAsia="宋体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c34fe"/>
    <w:rPr>
      <w:vertAlign w:val="superscript"/>
    </w:rPr>
  </w:style>
  <w:style w:type="character" w:styleId="InternetLink">
    <w:name w:val="Internet Link"/>
    <w:basedOn w:val="DefaultParagraphFont"/>
    <w:uiPriority w:val="99"/>
    <w:semiHidden/>
    <w:unhideWhenUsed/>
    <w:rsid w:val="000c34f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c34f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0c34fe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NoSpacing">
    <w:name w:val="No Spacing"/>
    <w:uiPriority w:val="1"/>
    <w:qFormat/>
    <w:rsid w:val="000c34fe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0c34fe"/>
    <w:pPr/>
    <w:rPr>
      <w:sz w:val="18"/>
      <w:szCs w:val="18"/>
    </w:rPr>
  </w:style>
  <w:style w:type="paragraph" w:styleId="Footnotetext">
    <w:name w:val="footnote text"/>
    <w:basedOn w:val="Normal"/>
    <w:link w:val="Char2"/>
    <w:uiPriority w:val="99"/>
    <w:semiHidden/>
    <w:unhideWhenUsed/>
    <w:qFormat/>
    <w:rsid w:val="000c34fe"/>
    <w:pPr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FC002-C42B-46E8-90B4-C10CC5D1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1</Pages>
  <Words>189</Words>
  <Characters>205</Characters>
  <CharactersWithSpaces>327</CharactersWithSpaces>
  <Paragraphs>20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2017-05-27T08:58:00Z</dcterms:created>
  <dc:creator>hebelin</dc:creator>
  <dc:description/>
  <dc:language>en-US</dc:language>
  <cp:lastModifiedBy/>
  <cp:lastPrinted>2017-05-26T02:43:00Z</cp:lastPrinted>
  <dcterms:modified xsi:type="dcterms:W3CDTF">2017-06-14T11:50:53Z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