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Weekly Assignment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9"/>
        <w:gridCol w:w="2125"/>
        <w:gridCol w:w="5106"/>
      </w:tblGrid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 Name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 and State</w:t>
            </w:r>
          </w:p>
        </w:tc>
      </w:tr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frmComic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lblCostOutput and txtGroupSize cleared; lblError set to invisible; radExperience selected</w:t>
            </w:r>
          </w:p>
        </w:tc>
      </w:tr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txtGroupSize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grpBadgeSelect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radExperience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radAutographs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radConvention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lblCostOutput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lblErrorNumber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lblErrorLimit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btnCalculate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gets group size from txtGroupSize; verifies group size is a number between 1 and 20:</w:t>
              <w:br/>
              <w:t>-if it is not a number, lblErrorNumber is set to visible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-if it is a number, but is not 1 to 20, lblErrorLimit is set to visible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-if it is a number between 1 and 20, get selected radio button and calculate total cost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lblCostOutput and txtGroupSize cleared; lblError set to invisible; radExperience selected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LibreOffice/7.1.5.2$Windows_X86_64 LibreOffice_project/85f04e9f809797b8199d13c421bd8a2b025d52b5</Application>
  <AppVersion>15.0000</AppVersion>
  <Pages>1</Pages>
  <Words>127</Words>
  <Characters>790</Characters>
  <CharactersWithSpaces>880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2023-02-10T13:44:00Z</dcterms:created>
  <dc:creator>Aurelia Smith</dc:creator>
  <dc:description/>
  <dc:language>en-US</dc:language>
  <cp:lastModifiedBy/>
  <dcterms:modified xsi:type="dcterms:W3CDTF">2023-02-28T22:14:46Z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