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0D9" w:rsidRPr="003248C0" w:rsidRDefault="006670D9">
      <w:pPr>
        <w:rPr>
          <w:rFonts w:ascii="Calibri" w:hAnsi="Calibri" w:cs="Calibri"/>
          <w:sz w:val="22"/>
          <w:szCs w:val="22"/>
          <w:lang w:val="en-US"/>
        </w:rPr>
      </w:pPr>
      <w:r w:rsidRPr="003248C0">
        <w:rPr>
          <w:rFonts w:ascii="Calibri" w:hAnsi="Calibri" w:cs="Calibri"/>
          <w:sz w:val="22"/>
          <w:szCs w:val="22"/>
          <w:lang w:val="en-US"/>
        </w:rPr>
        <w:t>Thom Volker - 5868777</w:t>
      </w:r>
    </w:p>
    <w:p w:rsidR="00CB66E8" w:rsidRPr="003248C0" w:rsidRDefault="00CB66E8">
      <w:pPr>
        <w:rPr>
          <w:rFonts w:ascii="Calibri" w:hAnsi="Calibri" w:cs="Calibri"/>
          <w:sz w:val="22"/>
          <w:szCs w:val="22"/>
          <w:lang w:val="en-US"/>
        </w:rPr>
      </w:pPr>
      <w:r w:rsidRPr="003248C0">
        <w:rPr>
          <w:rFonts w:ascii="Calibri" w:hAnsi="Calibri" w:cs="Calibri"/>
          <w:sz w:val="22"/>
          <w:szCs w:val="22"/>
          <w:lang w:val="en-US"/>
        </w:rPr>
        <w:t>In my thesis, I will assess to what extent network control affects trust in 2-person social dilemma using data from past experiments</w:t>
      </w:r>
      <w:r w:rsidR="00742D2E">
        <w:rPr>
          <w:rFonts w:ascii="Calibri" w:hAnsi="Calibri" w:cs="Calibri"/>
          <w:sz w:val="22"/>
          <w:szCs w:val="22"/>
          <w:lang w:val="en-US"/>
        </w:rPr>
        <w:t>. The focus will predominantly, but not exclusively, be on experiments with Trust Games</w:t>
      </w:r>
      <w:r w:rsidRPr="003248C0">
        <w:rPr>
          <w:rFonts w:ascii="Calibri" w:hAnsi="Calibri" w:cs="Calibri"/>
          <w:sz w:val="22"/>
          <w:szCs w:val="22"/>
          <w:lang w:val="en-US"/>
        </w:rPr>
        <w:t>. Three research questions will be of interest</w:t>
      </w:r>
      <w:r w:rsidR="00FD5B2B" w:rsidRPr="003248C0">
        <w:rPr>
          <w:rFonts w:ascii="Calibri" w:hAnsi="Calibri" w:cs="Calibri"/>
          <w:sz w:val="22"/>
          <w:szCs w:val="22"/>
          <w:lang w:val="en-US"/>
        </w:rPr>
        <w:t>, with the according hypotheses as bullet points</w:t>
      </w:r>
      <w:r w:rsidRPr="003248C0">
        <w:rPr>
          <w:rFonts w:ascii="Calibri" w:hAnsi="Calibri" w:cs="Calibri"/>
          <w:sz w:val="22"/>
          <w:szCs w:val="22"/>
          <w:lang w:val="en-US"/>
        </w:rPr>
        <w:t>:</w:t>
      </w:r>
    </w:p>
    <w:p w:rsidR="00896C33" w:rsidRPr="003248C0" w:rsidRDefault="00CB66E8" w:rsidP="002A6FA1">
      <w:pPr>
        <w:pStyle w:val="Lijstalinea"/>
        <w:numPr>
          <w:ilvl w:val="0"/>
          <w:numId w:val="1"/>
        </w:numPr>
        <w:ind w:left="360"/>
        <w:rPr>
          <w:rFonts w:ascii="Calibri" w:hAnsi="Calibri" w:cs="Calibri"/>
          <w:sz w:val="22"/>
          <w:szCs w:val="22"/>
          <w:lang w:val="en-US"/>
        </w:rPr>
      </w:pPr>
      <w:r w:rsidRPr="003248C0">
        <w:rPr>
          <w:rFonts w:ascii="Calibri" w:hAnsi="Calibri" w:cs="Calibri"/>
          <w:sz w:val="22"/>
          <w:szCs w:val="22"/>
          <w:lang w:val="en-US"/>
        </w:rPr>
        <w:t>To what extent does network control opportunities foster trust?</w:t>
      </w:r>
    </w:p>
    <w:p w:rsidR="00FD5B2B" w:rsidRPr="003248C0" w:rsidRDefault="00FD5B2B" w:rsidP="002A6FA1">
      <w:pPr>
        <w:pStyle w:val="Lijstalinea"/>
        <w:numPr>
          <w:ilvl w:val="0"/>
          <w:numId w:val="5"/>
        </w:numPr>
        <w:ind w:left="720"/>
        <w:rPr>
          <w:rFonts w:ascii="Calibri" w:hAnsi="Calibri" w:cs="Calibri"/>
          <w:sz w:val="22"/>
          <w:szCs w:val="22"/>
          <w:lang w:val="en-US"/>
        </w:rPr>
      </w:pPr>
      <w:r w:rsidRPr="003248C0">
        <w:rPr>
          <w:rFonts w:ascii="Calibri" w:hAnsi="Calibri" w:cs="Calibri"/>
          <w:sz w:val="22"/>
          <w:szCs w:val="22"/>
          <w:lang w:val="en-US"/>
        </w:rPr>
        <w:t>Trustfulness and trustworthiness increase in the amount of network embeddedness (</w:t>
      </w:r>
      <w:r w:rsidRPr="003248C0">
        <w:rPr>
          <w:rFonts w:ascii="Calibri" w:hAnsi="Calibri" w:cs="Calibri"/>
          <w:i/>
          <w:sz w:val="22"/>
          <w:szCs w:val="22"/>
          <w:lang w:val="en-US"/>
        </w:rPr>
        <w:t>ceteris paribus</w:t>
      </w:r>
      <w:r w:rsidRPr="003248C0">
        <w:rPr>
          <w:rFonts w:ascii="Calibri" w:hAnsi="Calibri" w:cs="Calibri"/>
          <w:sz w:val="22"/>
          <w:szCs w:val="22"/>
          <w:lang w:val="en-US"/>
        </w:rPr>
        <w:t>, and thus after controlling for learning effects).</w:t>
      </w:r>
    </w:p>
    <w:p w:rsidR="00312E14" w:rsidRPr="003248C0" w:rsidRDefault="00312E14" w:rsidP="00312E14">
      <w:pPr>
        <w:rPr>
          <w:rFonts w:ascii="Calibri" w:hAnsi="Calibri" w:cs="Calibri"/>
          <w:i/>
          <w:sz w:val="22"/>
          <w:szCs w:val="22"/>
          <w:lang w:val="en-US"/>
        </w:rPr>
      </w:pPr>
      <w:r w:rsidRPr="003248C0">
        <w:rPr>
          <w:rFonts w:ascii="Calibri" w:hAnsi="Calibri" w:cs="Calibri"/>
          <w:i/>
          <w:sz w:val="22"/>
          <w:szCs w:val="22"/>
          <w:lang w:val="en-US"/>
        </w:rPr>
        <w:t>Supplementary research questions that probably need to be assessed on a subset of the data.</w:t>
      </w:r>
    </w:p>
    <w:p w:rsidR="00CB66E8" w:rsidRPr="003248C0" w:rsidRDefault="00FD5B2B" w:rsidP="002A6FA1">
      <w:pPr>
        <w:pStyle w:val="Lijstalinea"/>
        <w:numPr>
          <w:ilvl w:val="0"/>
          <w:numId w:val="1"/>
        </w:numPr>
        <w:ind w:left="360"/>
        <w:rPr>
          <w:rFonts w:ascii="Calibri" w:hAnsi="Calibri" w:cs="Calibri"/>
          <w:sz w:val="22"/>
          <w:szCs w:val="22"/>
          <w:lang w:val="en-US"/>
        </w:rPr>
      </w:pPr>
      <w:r w:rsidRPr="003248C0">
        <w:rPr>
          <w:rFonts w:ascii="Calibri" w:hAnsi="Calibri" w:cs="Calibri"/>
          <w:sz w:val="22"/>
          <w:szCs w:val="22"/>
          <w:lang w:val="en-US"/>
        </w:rPr>
        <w:t>To what extent are network control effects different for trustors and trustees?</w:t>
      </w:r>
    </w:p>
    <w:p w:rsidR="00FD5B2B" w:rsidRPr="003248C0" w:rsidRDefault="00FD5B2B" w:rsidP="002A6FA1">
      <w:pPr>
        <w:pStyle w:val="Lijstalinea"/>
        <w:numPr>
          <w:ilvl w:val="0"/>
          <w:numId w:val="5"/>
        </w:numPr>
        <w:ind w:left="720"/>
        <w:rPr>
          <w:rFonts w:ascii="Calibri" w:hAnsi="Calibri" w:cs="Calibri"/>
          <w:sz w:val="22"/>
          <w:szCs w:val="22"/>
          <w:lang w:val="en-US"/>
        </w:rPr>
      </w:pPr>
      <w:r w:rsidRPr="003248C0">
        <w:rPr>
          <w:rFonts w:ascii="Calibri" w:hAnsi="Calibri" w:cs="Calibri"/>
          <w:sz w:val="22"/>
          <w:szCs w:val="22"/>
          <w:lang w:val="en-US"/>
        </w:rPr>
        <w:t>Control effects are stronger for trustees than for trustors.</w:t>
      </w:r>
    </w:p>
    <w:p w:rsidR="00FD5B2B" w:rsidRPr="003248C0" w:rsidRDefault="00FD5B2B" w:rsidP="002A6FA1">
      <w:pPr>
        <w:pStyle w:val="Lijstalinea"/>
        <w:numPr>
          <w:ilvl w:val="0"/>
          <w:numId w:val="1"/>
        </w:numPr>
        <w:ind w:left="360"/>
        <w:rPr>
          <w:rFonts w:ascii="Calibri" w:hAnsi="Calibri" w:cs="Calibri"/>
          <w:sz w:val="22"/>
          <w:szCs w:val="22"/>
          <w:lang w:val="en-US"/>
        </w:rPr>
      </w:pPr>
      <w:r w:rsidRPr="003248C0">
        <w:rPr>
          <w:rFonts w:ascii="Calibri" w:hAnsi="Calibri" w:cs="Calibri"/>
          <w:sz w:val="22"/>
          <w:szCs w:val="22"/>
          <w:lang w:val="en-US"/>
        </w:rPr>
        <w:t>How do network control effects relate to dyadic control effects in terms of magnitude</w:t>
      </w:r>
      <w:r w:rsidR="00312E14" w:rsidRPr="003248C0">
        <w:rPr>
          <w:rFonts w:ascii="Calibri" w:hAnsi="Calibri" w:cs="Calibri"/>
          <w:sz w:val="22"/>
          <w:szCs w:val="22"/>
          <w:lang w:val="en-US"/>
        </w:rPr>
        <w:t>?</w:t>
      </w:r>
    </w:p>
    <w:p w:rsidR="00FD5B2B" w:rsidRPr="003248C0" w:rsidRDefault="00FD5B2B" w:rsidP="002A6FA1">
      <w:pPr>
        <w:pStyle w:val="Lijstalinea"/>
        <w:numPr>
          <w:ilvl w:val="0"/>
          <w:numId w:val="5"/>
        </w:numPr>
        <w:ind w:left="720"/>
        <w:rPr>
          <w:rFonts w:ascii="Calibri" w:hAnsi="Calibri" w:cs="Calibri"/>
          <w:sz w:val="22"/>
          <w:szCs w:val="22"/>
          <w:lang w:val="en-US"/>
        </w:rPr>
      </w:pPr>
      <w:r w:rsidRPr="003248C0">
        <w:rPr>
          <w:rFonts w:ascii="Calibri" w:hAnsi="Calibri" w:cs="Calibri"/>
          <w:sz w:val="22"/>
          <w:szCs w:val="22"/>
          <w:lang w:val="en-US"/>
        </w:rPr>
        <w:t>Dyadic control effects are stronger than network control effects, for both trustors and for trustees.</w:t>
      </w:r>
    </w:p>
    <w:p w:rsidR="00FD5B2B" w:rsidRPr="003248C0" w:rsidRDefault="00FD5B2B" w:rsidP="00FD5B2B">
      <w:pPr>
        <w:rPr>
          <w:rFonts w:ascii="Calibri" w:hAnsi="Calibri" w:cs="Calibri"/>
          <w:sz w:val="22"/>
          <w:szCs w:val="22"/>
          <w:lang w:val="en-US"/>
        </w:rPr>
      </w:pPr>
    </w:p>
    <w:p w:rsidR="005277B0" w:rsidRDefault="00FD5B2B" w:rsidP="00FD5B2B">
      <w:pPr>
        <w:rPr>
          <w:rFonts w:ascii="Calibri" w:hAnsi="Calibri" w:cs="Calibri"/>
          <w:b/>
          <w:sz w:val="22"/>
          <w:szCs w:val="22"/>
          <w:lang w:val="en-US"/>
        </w:rPr>
      </w:pPr>
      <w:r w:rsidRPr="003248C0">
        <w:rPr>
          <w:rFonts w:ascii="Calibri" w:hAnsi="Calibri" w:cs="Calibri"/>
          <w:b/>
          <w:sz w:val="22"/>
          <w:szCs w:val="22"/>
          <w:lang w:val="en-US"/>
        </w:rPr>
        <w:t>Datasets</w:t>
      </w:r>
    </w:p>
    <w:p w:rsidR="005277B0" w:rsidRDefault="005277B0" w:rsidP="00FD5B2B">
      <w:pPr>
        <w:rPr>
          <w:rFonts w:ascii="Calibri" w:hAnsi="Calibri" w:cs="Calibri"/>
          <w:sz w:val="22"/>
          <w:szCs w:val="22"/>
          <w:lang w:val="en-US"/>
        </w:rPr>
      </w:pPr>
      <w:r>
        <w:rPr>
          <w:rFonts w:ascii="Calibri" w:hAnsi="Calibri" w:cs="Calibri"/>
          <w:sz w:val="22"/>
          <w:szCs w:val="22"/>
          <w:lang w:val="en-US"/>
        </w:rPr>
        <w:t xml:space="preserve">These research questions will be answered by reanalyzing the </w:t>
      </w:r>
      <w:r w:rsidR="00742D2E">
        <w:rPr>
          <w:rFonts w:ascii="Calibri" w:hAnsi="Calibri" w:cs="Calibri"/>
          <w:sz w:val="22"/>
          <w:szCs w:val="22"/>
          <w:lang w:val="en-US"/>
        </w:rPr>
        <w:t>data of multiple experimental studies that assessed the effect of network embeddedness</w:t>
      </w:r>
      <w:r w:rsidR="004A42B4">
        <w:rPr>
          <w:rFonts w:ascii="Calibri" w:hAnsi="Calibri" w:cs="Calibri"/>
          <w:sz w:val="22"/>
          <w:szCs w:val="22"/>
          <w:lang w:val="en-US"/>
        </w:rPr>
        <w:t xml:space="preserve"> (see Table 1)</w:t>
      </w:r>
      <w:r w:rsidR="00742D2E">
        <w:rPr>
          <w:rFonts w:ascii="Calibri" w:hAnsi="Calibri" w:cs="Calibri"/>
          <w:sz w:val="22"/>
          <w:szCs w:val="22"/>
          <w:lang w:val="en-US"/>
        </w:rPr>
        <w:t xml:space="preserve">, and aggregating the evidence in favor of the hypotheses of interest using </w:t>
      </w:r>
      <w:r w:rsidR="00742D2E">
        <w:rPr>
          <w:rFonts w:ascii="Calibri" w:hAnsi="Calibri" w:cs="Calibri"/>
          <w:i/>
          <w:sz w:val="22"/>
          <w:szCs w:val="22"/>
          <w:lang w:val="en-US"/>
        </w:rPr>
        <w:t>Bayesian Evidence Synthesis</w:t>
      </w:r>
      <w:r w:rsidR="00742D2E">
        <w:rPr>
          <w:rFonts w:ascii="Calibri" w:hAnsi="Calibri" w:cs="Calibri"/>
          <w:sz w:val="22"/>
          <w:szCs w:val="22"/>
          <w:lang w:val="en-US"/>
        </w:rPr>
        <w:t>. Reanalyzing these data is required, because only a small subset of the data expli</w:t>
      </w:r>
      <w:bookmarkStart w:id="0" w:name="_GoBack"/>
      <w:bookmarkEnd w:id="0"/>
      <w:r w:rsidR="00742D2E">
        <w:rPr>
          <w:rFonts w:ascii="Calibri" w:hAnsi="Calibri" w:cs="Calibri"/>
          <w:sz w:val="22"/>
          <w:szCs w:val="22"/>
          <w:lang w:val="en-US"/>
        </w:rPr>
        <w:t>citly assessed network control effects. It must be noted in advance that not all data sets allow to assess the last two research questions, sometimes because not all studies distinguish between trustors and trustees (e.g., subjects play of Prisoner’s Dilemma or a Helping Game), and sometimes because the studies do not assess both dyadic and network embeddedness in a comparable way.</w:t>
      </w:r>
    </w:p>
    <w:p w:rsidR="00742D2E" w:rsidRDefault="00742D2E" w:rsidP="002A6FA1">
      <w:pPr>
        <w:ind w:firstLine="708"/>
        <w:rPr>
          <w:rFonts w:ascii="Calibri" w:hAnsi="Calibri" w:cs="Calibri"/>
          <w:sz w:val="22"/>
          <w:szCs w:val="22"/>
          <w:lang w:val="en-US"/>
        </w:rPr>
      </w:pPr>
      <w:r>
        <w:rPr>
          <w:rFonts w:ascii="Calibri" w:hAnsi="Calibri" w:cs="Calibri"/>
          <w:sz w:val="22"/>
          <w:szCs w:val="22"/>
          <w:lang w:val="en-US"/>
        </w:rPr>
        <w:t>In all experiments considered, the participants were randomly allocated to one of multiple conditions. The conditions will be outlined below. Due to the fact that multiple data sets are used, I have provided a thorough description of two data sets that differ to quite some extent, while the other studies are fairly similar to one of these two, but might differ in some specifics.</w:t>
      </w:r>
      <w:r w:rsidR="0081516D">
        <w:rPr>
          <w:rFonts w:ascii="Calibri" w:hAnsi="Calibri" w:cs="Calibri"/>
          <w:sz w:val="22"/>
          <w:szCs w:val="22"/>
          <w:lang w:val="en-US"/>
        </w:rPr>
        <w:t xml:space="preserve"> Hence, these two descriptions should give a general overview of what the data sets entail, and which analyses can be conducted. </w:t>
      </w:r>
    </w:p>
    <w:p w:rsidR="009F1DF0" w:rsidRDefault="009F1DF0" w:rsidP="00AC69A1">
      <w:pPr>
        <w:rPr>
          <w:rFonts w:ascii="Calibri" w:hAnsi="Calibri" w:cs="Calibri"/>
          <w:sz w:val="22"/>
          <w:szCs w:val="22"/>
          <w:lang w:val="en-US"/>
        </w:rPr>
      </w:pPr>
    </w:p>
    <w:p w:rsidR="002A6FA1" w:rsidRDefault="009F1DF0" w:rsidP="00AC69A1">
      <w:pPr>
        <w:rPr>
          <w:rFonts w:ascii="Calibri" w:hAnsi="Calibri" w:cs="Calibri"/>
          <w:sz w:val="22"/>
          <w:szCs w:val="22"/>
          <w:lang w:val="en-US"/>
        </w:rPr>
      </w:pPr>
      <w:r>
        <w:rPr>
          <w:rFonts w:ascii="Calibri" w:hAnsi="Calibri" w:cs="Calibri"/>
          <w:sz w:val="22"/>
          <w:szCs w:val="22"/>
          <w:lang w:val="en-US"/>
        </w:rPr>
        <w:t xml:space="preserve">Table 1 gives a broad overview of the studies that are considered to be included in the thesis. However, I actually have access to the data of only 7 of these studies. Whether it is possible to answer the third research question will be dependent on whether access to the currently not available data sets will be provided. The first two research questions can be answered already given the currently available data sets. </w:t>
      </w:r>
    </w:p>
    <w:p w:rsidR="009F1DF0" w:rsidRDefault="009F1DF0" w:rsidP="002A6FA1">
      <w:pPr>
        <w:ind w:firstLine="708"/>
        <w:rPr>
          <w:rFonts w:ascii="Calibri" w:hAnsi="Calibri" w:cs="Calibri"/>
          <w:sz w:val="22"/>
          <w:szCs w:val="22"/>
          <w:lang w:val="en-US"/>
        </w:rPr>
      </w:pPr>
      <w:r>
        <w:rPr>
          <w:rFonts w:ascii="Calibri" w:hAnsi="Calibri" w:cs="Calibri"/>
          <w:sz w:val="22"/>
          <w:szCs w:val="22"/>
          <w:lang w:val="en-US"/>
        </w:rPr>
        <w:t>As is obvious from Table 1, the experiments conducted can be broadly classified into two groups. In the first group, network embeddedness is operationalized as a random matching procedure with information exchange through the network (Study 1-</w:t>
      </w:r>
      <w:r w:rsidR="002F3296">
        <w:rPr>
          <w:rFonts w:ascii="Calibri" w:hAnsi="Calibri" w:cs="Calibri"/>
          <w:sz w:val="22"/>
          <w:szCs w:val="22"/>
          <w:lang w:val="en-US"/>
        </w:rPr>
        <w:t>7</w:t>
      </w:r>
      <w:r>
        <w:rPr>
          <w:rFonts w:ascii="Calibri" w:hAnsi="Calibri" w:cs="Calibri"/>
          <w:sz w:val="22"/>
          <w:szCs w:val="22"/>
          <w:lang w:val="en-US"/>
        </w:rPr>
        <w:t>). In the second group</w:t>
      </w:r>
      <w:r w:rsidR="000956EC">
        <w:rPr>
          <w:rFonts w:ascii="Calibri" w:hAnsi="Calibri" w:cs="Calibri"/>
          <w:sz w:val="22"/>
          <w:szCs w:val="22"/>
          <w:lang w:val="en-US"/>
        </w:rPr>
        <w:t xml:space="preserve"> (Study </w:t>
      </w:r>
      <w:r w:rsidR="002F3296">
        <w:rPr>
          <w:rFonts w:ascii="Calibri" w:hAnsi="Calibri" w:cs="Calibri"/>
          <w:sz w:val="22"/>
          <w:szCs w:val="22"/>
          <w:lang w:val="en-US"/>
        </w:rPr>
        <w:t>8</w:t>
      </w:r>
      <w:r w:rsidR="000956EC">
        <w:rPr>
          <w:rFonts w:ascii="Calibri" w:hAnsi="Calibri" w:cs="Calibri"/>
          <w:sz w:val="22"/>
          <w:szCs w:val="22"/>
          <w:lang w:val="en-US"/>
        </w:rPr>
        <w:t>-11)</w:t>
      </w:r>
      <w:r>
        <w:rPr>
          <w:rFonts w:ascii="Calibri" w:hAnsi="Calibri" w:cs="Calibri"/>
          <w:sz w:val="22"/>
          <w:szCs w:val="22"/>
          <w:lang w:val="en-US"/>
        </w:rPr>
        <w:t>, network embeddedness is implemented as a</w:t>
      </w:r>
      <w:r w:rsidR="000956EC">
        <w:rPr>
          <w:rFonts w:ascii="Calibri" w:hAnsi="Calibri" w:cs="Calibri"/>
          <w:sz w:val="22"/>
          <w:szCs w:val="22"/>
          <w:lang w:val="en-US"/>
        </w:rPr>
        <w:t xml:space="preserve"> condition in which the interacting trustor and trustee are complemented by a second trustor that also interacts with the trustee. Both trustors obtain full information about the actions of the trustee against both trustors. Because of the similarity within the two groups, a single study of both of these groups will be discussed in more depth.</w:t>
      </w:r>
    </w:p>
    <w:p w:rsidR="000956EC" w:rsidRDefault="000956EC" w:rsidP="00AC69A1">
      <w:pPr>
        <w:rPr>
          <w:rFonts w:ascii="Calibri" w:hAnsi="Calibri" w:cs="Calibri"/>
          <w:sz w:val="22"/>
          <w:szCs w:val="22"/>
          <w:lang w:val="en-US"/>
        </w:rPr>
      </w:pPr>
    </w:p>
    <w:p w:rsidR="002A6FA1" w:rsidRDefault="002A6FA1" w:rsidP="002A6FA1">
      <w:pPr>
        <w:rPr>
          <w:rFonts w:ascii="Calibri" w:hAnsi="Calibri" w:cs="Calibri"/>
          <w:sz w:val="22"/>
          <w:szCs w:val="22"/>
          <w:lang w:val="en-US"/>
        </w:rPr>
      </w:pPr>
      <w:r>
        <w:rPr>
          <w:rFonts w:ascii="Calibri" w:hAnsi="Calibri" w:cs="Calibri"/>
          <w:sz w:val="22"/>
          <w:szCs w:val="22"/>
          <w:lang w:val="en-US"/>
        </w:rPr>
        <w:t>Table 1</w:t>
      </w:r>
    </w:p>
    <w:p w:rsidR="002A6FA1" w:rsidRDefault="002A6FA1" w:rsidP="002A6FA1">
      <w:pPr>
        <w:rPr>
          <w:rFonts w:ascii="Calibri" w:hAnsi="Calibri" w:cs="Calibri"/>
          <w:sz w:val="22"/>
          <w:szCs w:val="22"/>
          <w:lang w:val="en-US"/>
        </w:rPr>
      </w:pPr>
      <w:r>
        <w:rPr>
          <w:rFonts w:ascii="Calibri" w:hAnsi="Calibri" w:cs="Calibri"/>
          <w:sz w:val="22"/>
          <w:szCs w:val="22"/>
          <w:lang w:val="en-US"/>
        </w:rPr>
        <w:t>Information on data sets that are considered to be included in the thesis.</w:t>
      </w:r>
    </w:p>
    <w:tbl>
      <w:tblPr>
        <w:tblStyle w:val="Onopgemaaktetabel2"/>
        <w:tblW w:w="11341" w:type="dxa"/>
        <w:tblInd w:w="-426" w:type="dxa"/>
        <w:tblLayout w:type="fixed"/>
        <w:tblLook w:val="04A0" w:firstRow="1" w:lastRow="0" w:firstColumn="1" w:lastColumn="0" w:noHBand="0" w:noVBand="1"/>
      </w:tblPr>
      <w:tblGrid>
        <w:gridCol w:w="1702"/>
        <w:gridCol w:w="1134"/>
        <w:gridCol w:w="1418"/>
        <w:gridCol w:w="7087"/>
      </w:tblGrid>
      <w:tr w:rsidR="002F3296" w:rsidTr="00C15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3296" w:rsidRPr="00675D95" w:rsidRDefault="002F3296" w:rsidP="00CC3660">
            <w:pPr>
              <w:rPr>
                <w:rFonts w:ascii="Calibri" w:hAnsi="Calibri" w:cs="Calibri"/>
                <w:sz w:val="20"/>
                <w:szCs w:val="20"/>
                <w:lang w:val="en-US"/>
              </w:rPr>
            </w:pPr>
            <w:r w:rsidRPr="00675D95">
              <w:rPr>
                <w:rFonts w:ascii="Calibri" w:hAnsi="Calibri" w:cs="Calibri"/>
                <w:sz w:val="20"/>
                <w:szCs w:val="20"/>
                <w:lang w:val="en-US"/>
              </w:rPr>
              <w:t>Authors</w:t>
            </w:r>
          </w:p>
        </w:tc>
        <w:tc>
          <w:tcPr>
            <w:tcW w:w="1134" w:type="dxa"/>
          </w:tcPr>
          <w:p w:rsidR="002F3296" w:rsidRPr="00675D95" w:rsidRDefault="002F3296" w:rsidP="00CC3660">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675D95">
              <w:rPr>
                <w:rFonts w:ascii="Calibri" w:hAnsi="Calibri" w:cs="Calibri"/>
                <w:sz w:val="20"/>
                <w:szCs w:val="20"/>
                <w:lang w:val="en-US"/>
              </w:rPr>
              <w:t>Game</w:t>
            </w:r>
          </w:p>
        </w:tc>
        <w:tc>
          <w:tcPr>
            <w:tcW w:w="1418" w:type="dxa"/>
          </w:tcPr>
          <w:p w:rsidR="002F3296" w:rsidRPr="00675D95" w:rsidRDefault="002F3296" w:rsidP="00CC3660">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Sample size</w:t>
            </w:r>
          </w:p>
        </w:tc>
        <w:tc>
          <w:tcPr>
            <w:tcW w:w="7087" w:type="dxa"/>
          </w:tcPr>
          <w:p w:rsidR="002F3296" w:rsidRPr="00675D95" w:rsidRDefault="002F3296" w:rsidP="00CC3660">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675D95">
              <w:rPr>
                <w:rFonts w:ascii="Calibri" w:hAnsi="Calibri" w:cs="Calibri"/>
                <w:sz w:val="20"/>
                <w:szCs w:val="20"/>
                <w:lang w:val="en-US"/>
              </w:rPr>
              <w:t>Experimental conditions</w:t>
            </w:r>
          </w:p>
        </w:tc>
      </w:tr>
      <w:tr w:rsidR="002F3296" w:rsidTr="00C1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3296" w:rsidRPr="009F1DF0" w:rsidRDefault="002F3296" w:rsidP="00CC3660">
            <w:pPr>
              <w:rPr>
                <w:rFonts w:ascii="Calibri" w:hAnsi="Calibri" w:cs="Calibri"/>
                <w:sz w:val="20"/>
                <w:szCs w:val="20"/>
                <w:lang w:val="en-US"/>
              </w:rPr>
            </w:pPr>
            <w:r>
              <w:rPr>
                <w:rFonts w:ascii="Calibri" w:hAnsi="Calibri" w:cs="Calibri"/>
                <w:sz w:val="20"/>
                <w:szCs w:val="20"/>
                <w:lang w:val="en-US"/>
              </w:rPr>
              <w:t>1.</w:t>
            </w:r>
            <w:r w:rsidRPr="009F1DF0">
              <w:rPr>
                <w:rFonts w:ascii="Calibri" w:hAnsi="Calibri" w:cs="Calibri"/>
                <w:sz w:val="20"/>
                <w:szCs w:val="20"/>
                <w:lang w:val="en-US"/>
              </w:rPr>
              <w:t xml:space="preserve">Bolton, </w:t>
            </w:r>
            <w:proofErr w:type="spellStart"/>
            <w:r w:rsidRPr="009F1DF0">
              <w:rPr>
                <w:rFonts w:ascii="Calibri" w:hAnsi="Calibri" w:cs="Calibri"/>
                <w:sz w:val="20"/>
                <w:szCs w:val="20"/>
                <w:lang w:val="en-US"/>
              </w:rPr>
              <w:t>Katok</w:t>
            </w:r>
            <w:proofErr w:type="spellEnd"/>
            <w:r w:rsidRPr="009F1DF0">
              <w:rPr>
                <w:rFonts w:ascii="Calibri" w:hAnsi="Calibri" w:cs="Calibri"/>
                <w:sz w:val="20"/>
                <w:szCs w:val="20"/>
                <w:lang w:val="en-US"/>
              </w:rPr>
              <w:t xml:space="preserve"> &amp; </w:t>
            </w:r>
            <w:proofErr w:type="spellStart"/>
            <w:r w:rsidRPr="009F1DF0">
              <w:rPr>
                <w:rFonts w:ascii="Calibri" w:hAnsi="Calibri" w:cs="Calibri"/>
                <w:sz w:val="20"/>
                <w:szCs w:val="20"/>
                <w:lang w:val="en-US"/>
              </w:rPr>
              <w:t>Ockenfels</w:t>
            </w:r>
            <w:proofErr w:type="spellEnd"/>
            <w:r w:rsidRPr="009F1DF0">
              <w:rPr>
                <w:rFonts w:ascii="Calibri" w:hAnsi="Calibri" w:cs="Calibri"/>
                <w:sz w:val="20"/>
                <w:szCs w:val="20"/>
                <w:lang w:val="en-US"/>
              </w:rPr>
              <w:t xml:space="preserve"> (2004)</w:t>
            </w:r>
          </w:p>
        </w:tc>
        <w:tc>
          <w:tcPr>
            <w:tcW w:w="1134" w:type="dxa"/>
          </w:tcPr>
          <w:p w:rsidR="002F3296" w:rsidRPr="00675D95" w:rsidRDefault="002F3296"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675D95">
              <w:rPr>
                <w:rFonts w:ascii="Calibri" w:hAnsi="Calibri" w:cs="Calibri"/>
                <w:sz w:val="20"/>
                <w:szCs w:val="20"/>
                <w:lang w:val="en-US"/>
              </w:rPr>
              <w:t>Trust Game</w:t>
            </w:r>
          </w:p>
        </w:tc>
        <w:tc>
          <w:tcPr>
            <w:tcW w:w="1418" w:type="dxa"/>
          </w:tcPr>
          <w:p w:rsidR="002F3296" w:rsidRPr="002F3296" w:rsidRDefault="00E86D73" w:rsidP="002F3296">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E86D73">
              <w:rPr>
                <w:rFonts w:ascii="Calibri" w:hAnsi="Calibri" w:cs="Calibri"/>
                <w:i/>
                <w:sz w:val="20"/>
                <w:szCs w:val="20"/>
                <w:lang w:val="en-US"/>
              </w:rPr>
              <w:t>N</w:t>
            </w:r>
            <w:r>
              <w:rPr>
                <w:rFonts w:ascii="Calibri" w:hAnsi="Calibri" w:cs="Calibri"/>
                <w:i/>
                <w:sz w:val="20"/>
                <w:szCs w:val="20"/>
                <w:lang w:val="en-US"/>
              </w:rPr>
              <w:t xml:space="preserve"> = </w:t>
            </w:r>
            <w:r w:rsidRPr="00E86D73">
              <w:rPr>
                <w:rFonts w:ascii="Calibri" w:hAnsi="Calibri" w:cs="Calibri"/>
                <w:sz w:val="20"/>
                <w:szCs w:val="20"/>
                <w:lang w:val="en-US"/>
              </w:rPr>
              <w:t>144</w:t>
            </w:r>
            <w:r>
              <w:rPr>
                <w:rFonts w:ascii="Calibri" w:hAnsi="Calibri" w:cs="Calibri"/>
                <w:sz w:val="20"/>
                <w:szCs w:val="20"/>
                <w:lang w:val="en-US"/>
              </w:rPr>
              <w:t>; 48 per condition.</w:t>
            </w:r>
          </w:p>
        </w:tc>
        <w:tc>
          <w:tcPr>
            <w:tcW w:w="7087" w:type="dxa"/>
          </w:tcPr>
          <w:p w:rsidR="002F3296" w:rsidRPr="00675D95" w:rsidRDefault="002F3296" w:rsidP="00CC3660">
            <w:pPr>
              <w:pStyle w:val="Lijstalinea"/>
              <w:numPr>
                <w:ilvl w:val="0"/>
                <w:numId w:val="11"/>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675D95">
              <w:rPr>
                <w:rFonts w:ascii="Calibri" w:hAnsi="Calibri" w:cs="Calibri"/>
                <w:sz w:val="20"/>
                <w:szCs w:val="20"/>
                <w:lang w:val="en-US"/>
              </w:rPr>
              <w:t>No embeddedness – random matching without information exchange.</w:t>
            </w:r>
          </w:p>
          <w:p w:rsidR="002F3296" w:rsidRPr="00675D95" w:rsidRDefault="002F3296" w:rsidP="00CC3660">
            <w:pPr>
              <w:pStyle w:val="Lijstalinea"/>
              <w:numPr>
                <w:ilvl w:val="0"/>
                <w:numId w:val="11"/>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675D95">
              <w:rPr>
                <w:rFonts w:ascii="Calibri" w:hAnsi="Calibri" w:cs="Calibri"/>
                <w:sz w:val="20"/>
                <w:szCs w:val="20"/>
                <w:lang w:val="en-US"/>
              </w:rPr>
              <w:t>Network embeddedness – random matching, but the trustor is informed on how often the trustee honored trust against other trustors.</w:t>
            </w:r>
          </w:p>
          <w:p w:rsidR="002F3296" w:rsidRPr="00675D95" w:rsidRDefault="002F3296" w:rsidP="00CC3660">
            <w:pPr>
              <w:pStyle w:val="Lijstalinea"/>
              <w:numPr>
                <w:ilvl w:val="0"/>
                <w:numId w:val="11"/>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675D95">
              <w:rPr>
                <w:rFonts w:ascii="Calibri" w:hAnsi="Calibri" w:cs="Calibri"/>
                <w:sz w:val="20"/>
                <w:szCs w:val="20"/>
                <w:lang w:val="en-US"/>
              </w:rPr>
              <w:t xml:space="preserve">Dyadic embeddedness – the trustor and the trustee are partners throughout the repeated Trust Game. </w:t>
            </w:r>
          </w:p>
        </w:tc>
      </w:tr>
      <w:tr w:rsidR="002F3296" w:rsidTr="00C15A51">
        <w:tc>
          <w:tcPr>
            <w:cnfStyle w:val="001000000000" w:firstRow="0" w:lastRow="0" w:firstColumn="1" w:lastColumn="0" w:oddVBand="0" w:evenVBand="0" w:oddHBand="0" w:evenHBand="0" w:firstRowFirstColumn="0" w:firstRowLastColumn="0" w:lastRowFirstColumn="0" w:lastRowLastColumn="0"/>
            <w:tcW w:w="1702" w:type="dxa"/>
          </w:tcPr>
          <w:p w:rsidR="002F3296" w:rsidRPr="009F1DF0" w:rsidRDefault="002F3296" w:rsidP="00CC3660">
            <w:pPr>
              <w:rPr>
                <w:rFonts w:ascii="Calibri" w:hAnsi="Calibri" w:cs="Calibri"/>
                <w:sz w:val="20"/>
                <w:szCs w:val="20"/>
                <w:lang w:val="en-US"/>
              </w:rPr>
            </w:pPr>
            <w:r>
              <w:rPr>
                <w:rFonts w:ascii="Calibri" w:hAnsi="Calibri" w:cs="Calibri"/>
                <w:sz w:val="20"/>
                <w:szCs w:val="20"/>
                <w:lang w:val="en-US"/>
              </w:rPr>
              <w:t>2.</w:t>
            </w:r>
            <w:r w:rsidRPr="009F1DF0">
              <w:rPr>
                <w:rFonts w:ascii="Calibri" w:hAnsi="Calibri" w:cs="Calibri"/>
                <w:sz w:val="20"/>
                <w:szCs w:val="20"/>
                <w:lang w:val="en-US"/>
              </w:rPr>
              <w:t>Bohnet &amp; Huck (</w:t>
            </w:r>
            <w:proofErr w:type="gramStart"/>
            <w:r w:rsidRPr="009F1DF0">
              <w:rPr>
                <w:rFonts w:ascii="Calibri" w:hAnsi="Calibri" w:cs="Calibri"/>
                <w:sz w:val="20"/>
                <w:szCs w:val="20"/>
                <w:lang w:val="en-US"/>
              </w:rPr>
              <w:t>2004)*</w:t>
            </w:r>
            <w:proofErr w:type="gramEnd"/>
          </w:p>
        </w:tc>
        <w:tc>
          <w:tcPr>
            <w:tcW w:w="1134" w:type="dxa"/>
          </w:tcPr>
          <w:p w:rsidR="002F3296" w:rsidRPr="00675D95" w:rsidRDefault="002F3296"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Trust Game</w:t>
            </w:r>
          </w:p>
        </w:tc>
        <w:tc>
          <w:tcPr>
            <w:tcW w:w="1418" w:type="dxa"/>
          </w:tcPr>
          <w:p w:rsidR="002F3296" w:rsidRPr="00C15A51" w:rsidRDefault="00C15A51"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i/>
                <w:sz w:val="20"/>
                <w:szCs w:val="20"/>
                <w:lang w:val="en-US"/>
              </w:rPr>
              <w:t xml:space="preserve">N </w:t>
            </w:r>
            <w:r>
              <w:rPr>
                <w:rFonts w:ascii="Calibri" w:hAnsi="Calibri" w:cs="Calibri"/>
                <w:sz w:val="20"/>
                <w:szCs w:val="20"/>
                <w:lang w:val="en-US"/>
              </w:rPr>
              <w:t>= 156</w:t>
            </w:r>
          </w:p>
        </w:tc>
        <w:tc>
          <w:tcPr>
            <w:tcW w:w="7087" w:type="dxa"/>
          </w:tcPr>
          <w:p w:rsidR="002F3296" w:rsidRPr="00675D95" w:rsidRDefault="002F3296"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 xml:space="preserve">Similar to Bolton, </w:t>
            </w:r>
            <w:proofErr w:type="spellStart"/>
            <w:r>
              <w:rPr>
                <w:rFonts w:ascii="Calibri" w:hAnsi="Calibri" w:cs="Calibri"/>
                <w:sz w:val="20"/>
                <w:szCs w:val="20"/>
                <w:lang w:val="en-US"/>
              </w:rPr>
              <w:t>Katok</w:t>
            </w:r>
            <w:proofErr w:type="spellEnd"/>
            <w:r>
              <w:rPr>
                <w:rFonts w:ascii="Calibri" w:hAnsi="Calibri" w:cs="Calibri"/>
                <w:sz w:val="20"/>
                <w:szCs w:val="20"/>
                <w:lang w:val="en-US"/>
              </w:rPr>
              <w:t xml:space="preserve"> &amp; </w:t>
            </w:r>
            <w:proofErr w:type="spellStart"/>
            <w:r>
              <w:rPr>
                <w:rFonts w:ascii="Calibri" w:hAnsi="Calibri" w:cs="Calibri"/>
                <w:sz w:val="20"/>
                <w:szCs w:val="20"/>
                <w:lang w:val="en-US"/>
              </w:rPr>
              <w:t>Ockenfels</w:t>
            </w:r>
            <w:proofErr w:type="spellEnd"/>
            <w:r>
              <w:rPr>
                <w:rFonts w:ascii="Calibri" w:hAnsi="Calibri" w:cs="Calibri"/>
                <w:sz w:val="20"/>
                <w:szCs w:val="20"/>
                <w:lang w:val="en-US"/>
              </w:rPr>
              <w:t xml:space="preserve"> (2004).</w:t>
            </w:r>
          </w:p>
        </w:tc>
      </w:tr>
      <w:tr w:rsidR="002F3296" w:rsidTr="00C1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3296" w:rsidRPr="009F1DF0" w:rsidRDefault="002F3296" w:rsidP="00CC3660">
            <w:pPr>
              <w:rPr>
                <w:rFonts w:ascii="Calibri" w:hAnsi="Calibri" w:cs="Calibri"/>
                <w:sz w:val="20"/>
                <w:szCs w:val="20"/>
              </w:rPr>
            </w:pPr>
            <w:r>
              <w:rPr>
                <w:rFonts w:ascii="Calibri" w:hAnsi="Calibri" w:cs="Calibri"/>
                <w:sz w:val="20"/>
                <w:szCs w:val="20"/>
              </w:rPr>
              <w:t>3.</w:t>
            </w:r>
            <w:r w:rsidRPr="009F1DF0">
              <w:rPr>
                <w:rFonts w:ascii="Calibri" w:hAnsi="Calibri" w:cs="Calibri"/>
                <w:sz w:val="20"/>
                <w:szCs w:val="20"/>
              </w:rPr>
              <w:t>Bohnet et al. (</w:t>
            </w:r>
            <w:proofErr w:type="gramStart"/>
            <w:r w:rsidRPr="009F1DF0">
              <w:rPr>
                <w:rFonts w:ascii="Calibri" w:hAnsi="Calibri" w:cs="Calibri"/>
                <w:sz w:val="20"/>
                <w:szCs w:val="20"/>
              </w:rPr>
              <w:t>2005)*</w:t>
            </w:r>
            <w:proofErr w:type="gramEnd"/>
          </w:p>
        </w:tc>
        <w:tc>
          <w:tcPr>
            <w:tcW w:w="1134" w:type="dxa"/>
          </w:tcPr>
          <w:p w:rsidR="002F3296" w:rsidRPr="00675D95" w:rsidRDefault="002F3296"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Trust Game</w:t>
            </w:r>
          </w:p>
        </w:tc>
        <w:tc>
          <w:tcPr>
            <w:tcW w:w="1418" w:type="dxa"/>
          </w:tcPr>
          <w:p w:rsidR="002F3296" w:rsidRPr="00C15A51" w:rsidRDefault="00C15A51"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Pr>
                <w:rFonts w:ascii="Calibri" w:hAnsi="Calibri" w:cs="Calibri"/>
                <w:i/>
                <w:sz w:val="20"/>
                <w:szCs w:val="20"/>
                <w:lang w:val="en-US"/>
              </w:rPr>
              <w:t xml:space="preserve">N </w:t>
            </w:r>
            <w:r>
              <w:rPr>
                <w:rFonts w:ascii="Calibri" w:hAnsi="Calibri" w:cs="Calibri"/>
                <w:sz w:val="20"/>
                <w:szCs w:val="20"/>
                <w:lang w:val="en-US"/>
              </w:rPr>
              <w:t>= 96</w:t>
            </w:r>
          </w:p>
        </w:tc>
        <w:tc>
          <w:tcPr>
            <w:tcW w:w="7087" w:type="dxa"/>
          </w:tcPr>
          <w:p w:rsidR="002F3296" w:rsidRPr="00675D95" w:rsidRDefault="002F3296"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 xml:space="preserve">Similar to Bolton, </w:t>
            </w:r>
            <w:proofErr w:type="spellStart"/>
            <w:r>
              <w:rPr>
                <w:rFonts w:ascii="Calibri" w:hAnsi="Calibri" w:cs="Calibri"/>
                <w:sz w:val="20"/>
                <w:szCs w:val="20"/>
                <w:lang w:val="en-US"/>
              </w:rPr>
              <w:t>Katok</w:t>
            </w:r>
            <w:proofErr w:type="spellEnd"/>
            <w:r>
              <w:rPr>
                <w:rFonts w:ascii="Calibri" w:hAnsi="Calibri" w:cs="Calibri"/>
                <w:sz w:val="20"/>
                <w:szCs w:val="20"/>
                <w:lang w:val="en-US"/>
              </w:rPr>
              <w:t xml:space="preserve"> &amp; </w:t>
            </w:r>
            <w:proofErr w:type="spellStart"/>
            <w:r>
              <w:rPr>
                <w:rFonts w:ascii="Calibri" w:hAnsi="Calibri" w:cs="Calibri"/>
                <w:sz w:val="20"/>
                <w:szCs w:val="20"/>
                <w:lang w:val="en-US"/>
              </w:rPr>
              <w:t>Ockenfels</w:t>
            </w:r>
            <w:proofErr w:type="spellEnd"/>
            <w:r>
              <w:rPr>
                <w:rFonts w:ascii="Calibri" w:hAnsi="Calibri" w:cs="Calibri"/>
                <w:sz w:val="20"/>
                <w:szCs w:val="20"/>
                <w:lang w:val="en-US"/>
              </w:rPr>
              <w:t>, but without the dyadic embeddedness condition.</w:t>
            </w:r>
          </w:p>
        </w:tc>
      </w:tr>
      <w:tr w:rsidR="002F3296" w:rsidTr="00C15A51">
        <w:tc>
          <w:tcPr>
            <w:cnfStyle w:val="001000000000" w:firstRow="0" w:lastRow="0" w:firstColumn="1" w:lastColumn="0" w:oddVBand="0" w:evenVBand="0" w:oddHBand="0" w:evenHBand="0" w:firstRowFirstColumn="0" w:firstRowLastColumn="0" w:lastRowFirstColumn="0" w:lastRowLastColumn="0"/>
            <w:tcW w:w="1702" w:type="dxa"/>
          </w:tcPr>
          <w:p w:rsidR="002F3296" w:rsidRPr="009F1DF0" w:rsidRDefault="002F3296" w:rsidP="00CC3660">
            <w:pPr>
              <w:rPr>
                <w:rFonts w:ascii="Calibri" w:hAnsi="Calibri" w:cs="Calibri"/>
                <w:sz w:val="20"/>
                <w:szCs w:val="20"/>
                <w:lang w:val="en-US"/>
              </w:rPr>
            </w:pPr>
            <w:r>
              <w:rPr>
                <w:rFonts w:ascii="Calibri" w:eastAsia="Times New Roman" w:hAnsi="Calibri" w:cs="Calibri"/>
                <w:color w:val="000000"/>
                <w:sz w:val="20"/>
                <w:szCs w:val="20"/>
                <w:lang w:val="en-US" w:eastAsia="nl-NL"/>
              </w:rPr>
              <w:t>4.</w:t>
            </w:r>
            <w:r w:rsidRPr="009F1DF0">
              <w:rPr>
                <w:rFonts w:ascii="Calibri" w:eastAsia="Times New Roman" w:hAnsi="Calibri" w:cs="Calibri"/>
                <w:color w:val="000000"/>
                <w:sz w:val="20"/>
                <w:szCs w:val="20"/>
                <w:lang w:val="en-US" w:eastAsia="nl-NL"/>
              </w:rPr>
              <w:t xml:space="preserve">Huck, </w:t>
            </w:r>
            <w:proofErr w:type="spellStart"/>
            <w:r w:rsidRPr="009F1DF0">
              <w:rPr>
                <w:rFonts w:ascii="Calibri" w:eastAsia="Times New Roman" w:hAnsi="Calibri" w:cs="Calibri"/>
                <w:color w:val="000000"/>
                <w:sz w:val="20"/>
                <w:szCs w:val="20"/>
                <w:lang w:val="en-US" w:eastAsia="nl-NL"/>
              </w:rPr>
              <w:t>Lünser</w:t>
            </w:r>
            <w:proofErr w:type="spellEnd"/>
            <w:r w:rsidRPr="009F1DF0">
              <w:rPr>
                <w:rFonts w:ascii="Calibri" w:eastAsia="Times New Roman" w:hAnsi="Calibri" w:cs="Calibri"/>
                <w:color w:val="000000"/>
                <w:sz w:val="20"/>
                <w:szCs w:val="20"/>
                <w:lang w:val="en-US" w:eastAsia="nl-NL"/>
              </w:rPr>
              <w:t xml:space="preserve"> &amp; </w:t>
            </w:r>
            <w:proofErr w:type="spellStart"/>
            <w:r w:rsidRPr="009F1DF0">
              <w:rPr>
                <w:rFonts w:ascii="Calibri" w:eastAsia="Times New Roman" w:hAnsi="Calibri" w:cs="Calibri"/>
                <w:color w:val="000000"/>
                <w:sz w:val="20"/>
                <w:szCs w:val="20"/>
                <w:lang w:val="en-US" w:eastAsia="nl-NL"/>
              </w:rPr>
              <w:t>Tyran</w:t>
            </w:r>
            <w:proofErr w:type="spellEnd"/>
            <w:r w:rsidRPr="009F1DF0">
              <w:rPr>
                <w:rFonts w:ascii="Calibri" w:eastAsia="Times New Roman" w:hAnsi="Calibri" w:cs="Calibri"/>
                <w:color w:val="000000"/>
                <w:sz w:val="20"/>
                <w:szCs w:val="20"/>
                <w:lang w:val="en-US" w:eastAsia="nl-NL"/>
              </w:rPr>
              <w:t xml:space="preserve"> (</w:t>
            </w:r>
            <w:proofErr w:type="gramStart"/>
            <w:r w:rsidRPr="009F1DF0">
              <w:rPr>
                <w:rFonts w:ascii="Calibri" w:eastAsia="Times New Roman" w:hAnsi="Calibri" w:cs="Calibri"/>
                <w:color w:val="000000"/>
                <w:sz w:val="20"/>
                <w:szCs w:val="20"/>
                <w:lang w:val="en-US" w:eastAsia="nl-NL"/>
              </w:rPr>
              <w:t>2012)*</w:t>
            </w:r>
            <w:proofErr w:type="gramEnd"/>
          </w:p>
        </w:tc>
        <w:tc>
          <w:tcPr>
            <w:tcW w:w="1134" w:type="dxa"/>
          </w:tcPr>
          <w:p w:rsidR="002F3296" w:rsidRPr="00675D95" w:rsidRDefault="002F3296"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Trust Game</w:t>
            </w:r>
          </w:p>
        </w:tc>
        <w:tc>
          <w:tcPr>
            <w:tcW w:w="1418" w:type="dxa"/>
          </w:tcPr>
          <w:p w:rsidR="002F3296" w:rsidRPr="000B4539" w:rsidRDefault="000B4539"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i/>
                <w:sz w:val="20"/>
                <w:szCs w:val="20"/>
                <w:lang w:val="en-US"/>
              </w:rPr>
              <w:t xml:space="preserve">N = </w:t>
            </w:r>
            <w:r>
              <w:rPr>
                <w:rFonts w:ascii="Calibri" w:hAnsi="Calibri" w:cs="Calibri"/>
                <w:sz w:val="20"/>
                <w:szCs w:val="20"/>
                <w:lang w:val="en-US"/>
              </w:rPr>
              <w:t>192</w:t>
            </w:r>
          </w:p>
        </w:tc>
        <w:tc>
          <w:tcPr>
            <w:tcW w:w="7087" w:type="dxa"/>
          </w:tcPr>
          <w:p w:rsidR="002F3296" w:rsidRPr="00675D95" w:rsidRDefault="002F3296"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 xml:space="preserve">Similar to Bolton, </w:t>
            </w:r>
            <w:proofErr w:type="spellStart"/>
            <w:r>
              <w:rPr>
                <w:rFonts w:ascii="Calibri" w:hAnsi="Calibri" w:cs="Calibri"/>
                <w:sz w:val="20"/>
                <w:szCs w:val="20"/>
                <w:lang w:val="en-US"/>
              </w:rPr>
              <w:t>Katok</w:t>
            </w:r>
            <w:proofErr w:type="spellEnd"/>
            <w:r>
              <w:rPr>
                <w:rFonts w:ascii="Calibri" w:hAnsi="Calibri" w:cs="Calibri"/>
                <w:sz w:val="20"/>
                <w:szCs w:val="20"/>
                <w:lang w:val="en-US"/>
              </w:rPr>
              <w:t xml:space="preserve"> &amp; </w:t>
            </w:r>
            <w:proofErr w:type="spellStart"/>
            <w:r>
              <w:rPr>
                <w:rFonts w:ascii="Calibri" w:hAnsi="Calibri" w:cs="Calibri"/>
                <w:sz w:val="20"/>
                <w:szCs w:val="20"/>
                <w:lang w:val="en-US"/>
              </w:rPr>
              <w:t>Ockenfels</w:t>
            </w:r>
            <w:proofErr w:type="spellEnd"/>
            <w:r>
              <w:rPr>
                <w:rFonts w:ascii="Calibri" w:hAnsi="Calibri" w:cs="Calibri"/>
                <w:sz w:val="20"/>
                <w:szCs w:val="20"/>
                <w:lang w:val="en-US"/>
              </w:rPr>
              <w:t xml:space="preserve"> (2004), with the exception that dyadic embeddedness is operationalized as a condition with random matching in which trustors only receive information about their own past interactions.</w:t>
            </w:r>
          </w:p>
        </w:tc>
      </w:tr>
      <w:tr w:rsidR="002F3296" w:rsidTr="00C1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3296" w:rsidRPr="009F1DF0" w:rsidRDefault="002F3296" w:rsidP="00CC3660">
            <w:pPr>
              <w:rPr>
                <w:rFonts w:ascii="Calibri" w:hAnsi="Calibri" w:cs="Calibri"/>
                <w:sz w:val="20"/>
                <w:szCs w:val="20"/>
                <w:lang w:val="en-US"/>
              </w:rPr>
            </w:pPr>
            <w:r>
              <w:rPr>
                <w:rFonts w:ascii="Calibri" w:eastAsia="Times New Roman" w:hAnsi="Calibri" w:cs="Calibri"/>
                <w:color w:val="000000"/>
                <w:sz w:val="20"/>
                <w:szCs w:val="20"/>
                <w:lang w:val="en-US" w:eastAsia="nl-NL"/>
              </w:rPr>
              <w:t>5.</w:t>
            </w:r>
            <w:r w:rsidRPr="009F1DF0">
              <w:rPr>
                <w:rFonts w:ascii="Calibri" w:eastAsia="Times New Roman" w:hAnsi="Calibri" w:cs="Calibri"/>
                <w:color w:val="000000"/>
                <w:sz w:val="20"/>
                <w:szCs w:val="20"/>
                <w:lang w:val="en-US" w:eastAsia="nl-NL"/>
              </w:rPr>
              <w:t xml:space="preserve">Corten, Rosenkranz, </w:t>
            </w:r>
            <w:proofErr w:type="spellStart"/>
            <w:r w:rsidRPr="009F1DF0">
              <w:rPr>
                <w:rFonts w:ascii="Calibri" w:eastAsia="Times New Roman" w:hAnsi="Calibri" w:cs="Calibri"/>
                <w:color w:val="000000"/>
                <w:sz w:val="20"/>
                <w:szCs w:val="20"/>
                <w:lang w:val="en-US" w:eastAsia="nl-NL"/>
              </w:rPr>
              <w:t>Buskens</w:t>
            </w:r>
            <w:proofErr w:type="spellEnd"/>
            <w:r w:rsidRPr="009F1DF0">
              <w:rPr>
                <w:rFonts w:ascii="Calibri" w:eastAsia="Times New Roman" w:hAnsi="Calibri" w:cs="Calibri"/>
                <w:color w:val="000000"/>
                <w:sz w:val="20"/>
                <w:szCs w:val="20"/>
                <w:lang w:val="en-US" w:eastAsia="nl-NL"/>
              </w:rPr>
              <w:t xml:space="preserve"> &amp; Cook (2016)</w:t>
            </w:r>
          </w:p>
        </w:tc>
        <w:tc>
          <w:tcPr>
            <w:tcW w:w="1134" w:type="dxa"/>
          </w:tcPr>
          <w:p w:rsidR="002F3296" w:rsidRPr="00675D95" w:rsidRDefault="002F3296"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Prisoner’s Dilemma</w:t>
            </w:r>
          </w:p>
        </w:tc>
        <w:tc>
          <w:tcPr>
            <w:tcW w:w="1418" w:type="dxa"/>
          </w:tcPr>
          <w:p w:rsidR="002F3296" w:rsidRPr="00C15A51" w:rsidRDefault="00C15A51"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Pr>
                <w:rFonts w:ascii="Calibri" w:hAnsi="Calibri" w:cs="Calibri"/>
                <w:i/>
                <w:sz w:val="20"/>
                <w:szCs w:val="20"/>
                <w:lang w:val="en-US"/>
              </w:rPr>
              <w:t xml:space="preserve">N </w:t>
            </w:r>
            <w:r>
              <w:rPr>
                <w:rFonts w:ascii="Calibri" w:hAnsi="Calibri" w:cs="Calibri"/>
                <w:sz w:val="20"/>
                <w:szCs w:val="20"/>
                <w:lang w:val="en-US"/>
              </w:rPr>
              <w:t>= 156 (78 per condition).</w:t>
            </w:r>
          </w:p>
        </w:tc>
        <w:tc>
          <w:tcPr>
            <w:tcW w:w="7087" w:type="dxa"/>
          </w:tcPr>
          <w:p w:rsidR="002F3296" w:rsidRPr="00675D95" w:rsidRDefault="002F3296"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 xml:space="preserve">Similar to Huck, </w:t>
            </w:r>
            <w:proofErr w:type="spellStart"/>
            <w:r>
              <w:rPr>
                <w:rFonts w:ascii="Calibri" w:hAnsi="Calibri" w:cs="Calibri"/>
                <w:sz w:val="20"/>
                <w:szCs w:val="20"/>
                <w:lang w:val="en-US"/>
              </w:rPr>
              <w:t>Lünser</w:t>
            </w:r>
            <w:proofErr w:type="spellEnd"/>
            <w:r>
              <w:rPr>
                <w:rFonts w:ascii="Calibri" w:hAnsi="Calibri" w:cs="Calibri"/>
                <w:sz w:val="20"/>
                <w:szCs w:val="20"/>
                <w:lang w:val="en-US"/>
              </w:rPr>
              <w:t xml:space="preserve"> &amp; </w:t>
            </w:r>
            <w:proofErr w:type="spellStart"/>
            <w:r>
              <w:rPr>
                <w:rFonts w:ascii="Calibri" w:hAnsi="Calibri" w:cs="Calibri"/>
                <w:sz w:val="20"/>
                <w:szCs w:val="20"/>
                <w:lang w:val="en-US"/>
              </w:rPr>
              <w:t>Tyran</w:t>
            </w:r>
            <w:proofErr w:type="spellEnd"/>
            <w:r>
              <w:rPr>
                <w:rFonts w:ascii="Calibri" w:hAnsi="Calibri" w:cs="Calibri"/>
                <w:sz w:val="20"/>
                <w:szCs w:val="20"/>
                <w:lang w:val="en-US"/>
              </w:rPr>
              <w:t xml:space="preserve"> (2012), with the exception that a Prisoner’s Dilemma is played, and without no embeddedness and partial network embeddedness conditions (actors exclusively obtain information about their own past interactions or about all interactions in the network).</w:t>
            </w:r>
          </w:p>
        </w:tc>
      </w:tr>
      <w:tr w:rsidR="002F3296" w:rsidTr="00C15A51">
        <w:tc>
          <w:tcPr>
            <w:cnfStyle w:val="001000000000" w:firstRow="0" w:lastRow="0" w:firstColumn="1" w:lastColumn="0" w:oddVBand="0" w:evenVBand="0" w:oddHBand="0" w:evenHBand="0" w:firstRowFirstColumn="0" w:firstRowLastColumn="0" w:lastRowFirstColumn="0" w:lastRowLastColumn="0"/>
            <w:tcW w:w="1702" w:type="dxa"/>
          </w:tcPr>
          <w:p w:rsidR="002F3296" w:rsidRPr="009F1DF0" w:rsidRDefault="002F3296" w:rsidP="00CC3660">
            <w:pPr>
              <w:rPr>
                <w:rFonts w:ascii="Calibri" w:hAnsi="Calibri" w:cs="Calibri"/>
                <w:sz w:val="20"/>
                <w:szCs w:val="20"/>
                <w:lang w:val="en-US"/>
              </w:rPr>
            </w:pPr>
            <w:r>
              <w:rPr>
                <w:rFonts w:ascii="Calibri" w:hAnsi="Calibri" w:cs="Calibri"/>
                <w:sz w:val="20"/>
                <w:szCs w:val="20"/>
                <w:lang w:val="en-US"/>
              </w:rPr>
              <w:lastRenderedPageBreak/>
              <w:t>6.</w:t>
            </w:r>
            <w:r w:rsidRPr="009F1DF0">
              <w:rPr>
                <w:rFonts w:ascii="Calibri" w:hAnsi="Calibri" w:cs="Calibri"/>
                <w:sz w:val="20"/>
                <w:szCs w:val="20"/>
                <w:lang w:val="en-US"/>
              </w:rPr>
              <w:t xml:space="preserve">Pfeiffer, Tran, </w:t>
            </w:r>
            <w:proofErr w:type="spellStart"/>
            <w:r w:rsidRPr="009F1DF0">
              <w:rPr>
                <w:rFonts w:ascii="Calibri" w:hAnsi="Calibri" w:cs="Calibri"/>
                <w:sz w:val="20"/>
                <w:szCs w:val="20"/>
                <w:lang w:val="en-US"/>
              </w:rPr>
              <w:t>Krumme</w:t>
            </w:r>
            <w:proofErr w:type="spellEnd"/>
            <w:r w:rsidRPr="009F1DF0">
              <w:rPr>
                <w:rFonts w:ascii="Calibri" w:hAnsi="Calibri" w:cs="Calibri"/>
                <w:sz w:val="20"/>
                <w:szCs w:val="20"/>
                <w:lang w:val="en-US"/>
              </w:rPr>
              <w:t xml:space="preserve"> &amp; Rand (</w:t>
            </w:r>
            <w:proofErr w:type="gramStart"/>
            <w:r w:rsidRPr="009F1DF0">
              <w:rPr>
                <w:rFonts w:ascii="Calibri" w:hAnsi="Calibri" w:cs="Calibri"/>
                <w:sz w:val="20"/>
                <w:szCs w:val="20"/>
                <w:lang w:val="en-US"/>
              </w:rPr>
              <w:t>2012)*</w:t>
            </w:r>
            <w:proofErr w:type="gramEnd"/>
          </w:p>
        </w:tc>
        <w:tc>
          <w:tcPr>
            <w:tcW w:w="1134" w:type="dxa"/>
          </w:tcPr>
          <w:p w:rsidR="002F3296" w:rsidRPr="00675D95" w:rsidRDefault="002F3296"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Prisoner’s Dilemma</w:t>
            </w:r>
          </w:p>
        </w:tc>
        <w:tc>
          <w:tcPr>
            <w:tcW w:w="1418" w:type="dxa"/>
          </w:tcPr>
          <w:p w:rsidR="002F3296" w:rsidRPr="007D15A7" w:rsidRDefault="007D15A7"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i/>
                <w:sz w:val="20"/>
                <w:szCs w:val="20"/>
                <w:lang w:val="en-US"/>
              </w:rPr>
              <w:t xml:space="preserve">N </w:t>
            </w:r>
            <w:r>
              <w:rPr>
                <w:rFonts w:ascii="Calibri" w:hAnsi="Calibri" w:cs="Calibri"/>
                <w:sz w:val="20"/>
                <w:szCs w:val="20"/>
                <w:lang w:val="en-US"/>
              </w:rPr>
              <w:t>= 88 (40 and 48 per condition).</w:t>
            </w:r>
          </w:p>
        </w:tc>
        <w:tc>
          <w:tcPr>
            <w:tcW w:w="7087" w:type="dxa"/>
          </w:tcPr>
          <w:p w:rsidR="002F3296" w:rsidRPr="00675D95" w:rsidRDefault="002F3296"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 xml:space="preserve">Similar to Corten et al. (2016), with the exception that actors in the no embeddedness condition </w:t>
            </w:r>
            <w:r w:rsidR="00C15A51">
              <w:rPr>
                <w:rFonts w:ascii="Calibri" w:hAnsi="Calibri" w:cs="Calibri"/>
                <w:sz w:val="20"/>
                <w:szCs w:val="20"/>
                <w:lang w:val="en-US"/>
              </w:rPr>
              <w:t xml:space="preserve">do not </w:t>
            </w:r>
            <w:r>
              <w:rPr>
                <w:rFonts w:ascii="Calibri" w:hAnsi="Calibri" w:cs="Calibri"/>
                <w:sz w:val="20"/>
                <w:szCs w:val="20"/>
                <w:lang w:val="en-US"/>
              </w:rPr>
              <w:t>know with whom they interacted in the past.</w:t>
            </w:r>
          </w:p>
        </w:tc>
      </w:tr>
      <w:tr w:rsidR="002F3296" w:rsidTr="00C1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3296" w:rsidRPr="009F1DF0" w:rsidRDefault="002F3296" w:rsidP="00CC3660">
            <w:pPr>
              <w:rPr>
                <w:rFonts w:ascii="Calibri" w:hAnsi="Calibri" w:cs="Calibri"/>
                <w:sz w:val="20"/>
                <w:szCs w:val="20"/>
                <w:lang w:val="en-US"/>
              </w:rPr>
            </w:pPr>
            <w:r>
              <w:rPr>
                <w:rFonts w:ascii="Calibri" w:hAnsi="Calibri" w:cs="Calibri"/>
                <w:sz w:val="20"/>
                <w:szCs w:val="20"/>
                <w:lang w:val="en-US"/>
              </w:rPr>
              <w:t>7.</w:t>
            </w:r>
            <w:r w:rsidRPr="009F1DF0">
              <w:rPr>
                <w:rFonts w:ascii="Calibri" w:hAnsi="Calibri" w:cs="Calibri"/>
                <w:sz w:val="20"/>
                <w:szCs w:val="20"/>
                <w:lang w:val="en-US"/>
              </w:rPr>
              <w:t>Seinen &amp; Schram (2006)</w:t>
            </w:r>
          </w:p>
        </w:tc>
        <w:tc>
          <w:tcPr>
            <w:tcW w:w="1134" w:type="dxa"/>
          </w:tcPr>
          <w:p w:rsidR="002F3296" w:rsidRPr="00675D95" w:rsidRDefault="002F3296"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Helping Game</w:t>
            </w:r>
          </w:p>
        </w:tc>
        <w:tc>
          <w:tcPr>
            <w:tcW w:w="1418" w:type="dxa"/>
          </w:tcPr>
          <w:p w:rsidR="002F3296" w:rsidRPr="007D15A7" w:rsidRDefault="007D15A7"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Pr>
                <w:rFonts w:ascii="Calibri" w:hAnsi="Calibri" w:cs="Calibri"/>
                <w:i/>
                <w:sz w:val="20"/>
                <w:szCs w:val="20"/>
                <w:lang w:val="en-US"/>
              </w:rPr>
              <w:t>N</w:t>
            </w:r>
            <w:r>
              <w:rPr>
                <w:rFonts w:ascii="Calibri" w:hAnsi="Calibri" w:cs="Calibri"/>
                <w:sz w:val="20"/>
                <w:szCs w:val="20"/>
                <w:lang w:val="en-US"/>
              </w:rPr>
              <w:t xml:space="preserve"> = 112.</w:t>
            </w:r>
          </w:p>
        </w:tc>
        <w:tc>
          <w:tcPr>
            <w:tcW w:w="7087" w:type="dxa"/>
          </w:tcPr>
          <w:p w:rsidR="002F3296" w:rsidRPr="00675D95" w:rsidRDefault="002F3296"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 xml:space="preserve">Similar to Bolton, </w:t>
            </w:r>
            <w:proofErr w:type="spellStart"/>
            <w:r>
              <w:rPr>
                <w:rFonts w:ascii="Calibri" w:hAnsi="Calibri" w:cs="Calibri"/>
                <w:sz w:val="20"/>
                <w:szCs w:val="20"/>
                <w:lang w:val="en-US"/>
              </w:rPr>
              <w:t>Katok</w:t>
            </w:r>
            <w:proofErr w:type="spellEnd"/>
            <w:r>
              <w:rPr>
                <w:rFonts w:ascii="Calibri" w:hAnsi="Calibri" w:cs="Calibri"/>
                <w:sz w:val="20"/>
                <w:szCs w:val="20"/>
                <w:lang w:val="en-US"/>
              </w:rPr>
              <w:t xml:space="preserve"> &amp; </w:t>
            </w:r>
            <w:proofErr w:type="spellStart"/>
            <w:r>
              <w:rPr>
                <w:rFonts w:ascii="Calibri" w:hAnsi="Calibri" w:cs="Calibri"/>
                <w:sz w:val="20"/>
                <w:szCs w:val="20"/>
                <w:lang w:val="en-US"/>
              </w:rPr>
              <w:t>Ockenfels</w:t>
            </w:r>
            <w:proofErr w:type="spellEnd"/>
            <w:r>
              <w:rPr>
                <w:rFonts w:ascii="Calibri" w:hAnsi="Calibri" w:cs="Calibri"/>
                <w:sz w:val="20"/>
                <w:szCs w:val="20"/>
                <w:lang w:val="en-US"/>
              </w:rPr>
              <w:t>, with the exception that a Helping Game is played, and that no condition with dyadic embeddedness is played.</w:t>
            </w:r>
          </w:p>
        </w:tc>
      </w:tr>
      <w:tr w:rsidR="002F3296" w:rsidTr="00C15A51">
        <w:tc>
          <w:tcPr>
            <w:cnfStyle w:val="001000000000" w:firstRow="0" w:lastRow="0" w:firstColumn="1" w:lastColumn="0" w:oddVBand="0" w:evenVBand="0" w:oddHBand="0" w:evenHBand="0" w:firstRowFirstColumn="0" w:firstRowLastColumn="0" w:lastRowFirstColumn="0" w:lastRowLastColumn="0"/>
            <w:tcW w:w="1702" w:type="dxa"/>
          </w:tcPr>
          <w:p w:rsidR="002F3296" w:rsidRPr="003A536B" w:rsidRDefault="002F3296" w:rsidP="00CC3660">
            <w:pPr>
              <w:rPr>
                <w:rFonts w:ascii="Calibri" w:hAnsi="Calibri" w:cs="Calibri"/>
                <w:sz w:val="20"/>
                <w:szCs w:val="20"/>
                <w:lang w:val="en-US"/>
              </w:rPr>
            </w:pPr>
            <w:r>
              <w:rPr>
                <w:rFonts w:ascii="Calibri" w:hAnsi="Calibri" w:cs="Calibri"/>
                <w:sz w:val="20"/>
                <w:szCs w:val="20"/>
                <w:lang w:val="en-US"/>
              </w:rPr>
              <w:t xml:space="preserve">8.Frey, Corten &amp; </w:t>
            </w:r>
            <w:proofErr w:type="spellStart"/>
            <w:r>
              <w:rPr>
                <w:rFonts w:ascii="Calibri" w:hAnsi="Calibri" w:cs="Calibri"/>
                <w:sz w:val="20"/>
                <w:szCs w:val="20"/>
                <w:lang w:val="en-US"/>
              </w:rPr>
              <w:t>Buskens</w:t>
            </w:r>
            <w:proofErr w:type="spellEnd"/>
            <w:r>
              <w:rPr>
                <w:rFonts w:ascii="Calibri" w:hAnsi="Calibri" w:cs="Calibri"/>
                <w:sz w:val="20"/>
                <w:szCs w:val="20"/>
                <w:lang w:val="en-US"/>
              </w:rPr>
              <w:t xml:space="preserve"> (2019)</w:t>
            </w:r>
          </w:p>
        </w:tc>
        <w:tc>
          <w:tcPr>
            <w:tcW w:w="1134" w:type="dxa"/>
          </w:tcPr>
          <w:p w:rsidR="002F3296" w:rsidRDefault="002F3296"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Trust Game</w:t>
            </w:r>
          </w:p>
        </w:tc>
        <w:tc>
          <w:tcPr>
            <w:tcW w:w="1418" w:type="dxa"/>
          </w:tcPr>
          <w:p w:rsidR="002F3296" w:rsidRPr="00E86D73" w:rsidRDefault="00E86D73" w:rsidP="002F3296">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i/>
                <w:sz w:val="20"/>
                <w:szCs w:val="20"/>
                <w:lang w:val="en-US"/>
              </w:rPr>
              <w:t xml:space="preserve">N </w:t>
            </w:r>
            <w:r>
              <w:rPr>
                <w:rFonts w:ascii="Calibri" w:hAnsi="Calibri" w:cs="Calibri"/>
                <w:sz w:val="20"/>
                <w:szCs w:val="20"/>
                <w:lang w:val="en-US"/>
              </w:rPr>
              <w:t>= 114 in both conditions.</w:t>
            </w:r>
          </w:p>
        </w:tc>
        <w:tc>
          <w:tcPr>
            <w:tcW w:w="7087" w:type="dxa"/>
          </w:tcPr>
          <w:p w:rsidR="002F3296" w:rsidRDefault="002F3296" w:rsidP="00CC3660">
            <w:pPr>
              <w:pStyle w:val="Lijstalinea"/>
              <w:numPr>
                <w:ilvl w:val="0"/>
                <w:numId w:val="13"/>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Dyadic embeddedness – trustors and trustees play a repeated Trust Game of six rounds.</w:t>
            </w:r>
          </w:p>
          <w:p w:rsidR="002F3296" w:rsidRDefault="002F3296" w:rsidP="00CC3660">
            <w:pPr>
              <w:pStyle w:val="Lijstalinea"/>
              <w:numPr>
                <w:ilvl w:val="0"/>
                <w:numId w:val="13"/>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Network embeddedness – two trustors and one trustee play a repeated Trust Game of six rounds, and all the actions by the trustee are common knowledge to both trustors.</w:t>
            </w:r>
          </w:p>
          <w:p w:rsidR="002F3296" w:rsidRPr="004A42B4" w:rsidRDefault="002F3296"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Note that the study contains other conditions as well, these will not be considered.</w:t>
            </w:r>
          </w:p>
        </w:tc>
      </w:tr>
      <w:tr w:rsidR="002F3296" w:rsidRPr="004A42B4" w:rsidTr="00C1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3296" w:rsidRPr="004A42B4" w:rsidRDefault="002F3296" w:rsidP="00CC3660">
            <w:pPr>
              <w:rPr>
                <w:rFonts w:ascii="Calibri" w:hAnsi="Calibri" w:cs="Calibri"/>
                <w:sz w:val="20"/>
                <w:szCs w:val="20"/>
              </w:rPr>
            </w:pPr>
            <w:r>
              <w:rPr>
                <w:rFonts w:ascii="Calibri" w:hAnsi="Calibri" w:cs="Calibri"/>
                <w:sz w:val="20"/>
                <w:szCs w:val="20"/>
              </w:rPr>
              <w:t>9.</w:t>
            </w:r>
            <w:r w:rsidRPr="004A42B4">
              <w:rPr>
                <w:rFonts w:ascii="Calibri" w:hAnsi="Calibri" w:cs="Calibri"/>
                <w:sz w:val="20"/>
                <w:szCs w:val="20"/>
              </w:rPr>
              <w:t xml:space="preserve">Buskens, </w:t>
            </w:r>
            <w:proofErr w:type="spellStart"/>
            <w:r w:rsidRPr="004A42B4">
              <w:rPr>
                <w:rFonts w:ascii="Calibri" w:hAnsi="Calibri" w:cs="Calibri"/>
                <w:sz w:val="20"/>
                <w:szCs w:val="20"/>
              </w:rPr>
              <w:t>Raub</w:t>
            </w:r>
            <w:proofErr w:type="spellEnd"/>
            <w:r w:rsidRPr="004A42B4">
              <w:rPr>
                <w:rFonts w:ascii="Calibri" w:hAnsi="Calibri" w:cs="Calibri"/>
                <w:sz w:val="20"/>
                <w:szCs w:val="20"/>
              </w:rPr>
              <w:t xml:space="preserve"> &amp; Van der Vee</w:t>
            </w:r>
            <w:r>
              <w:rPr>
                <w:rFonts w:ascii="Calibri" w:hAnsi="Calibri" w:cs="Calibri"/>
                <w:sz w:val="20"/>
                <w:szCs w:val="20"/>
              </w:rPr>
              <w:t>r (2010)</w:t>
            </w:r>
          </w:p>
        </w:tc>
        <w:tc>
          <w:tcPr>
            <w:tcW w:w="1134" w:type="dxa"/>
          </w:tcPr>
          <w:p w:rsidR="002F3296" w:rsidRPr="004A42B4" w:rsidRDefault="002F3296"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Trust Game</w:t>
            </w:r>
          </w:p>
        </w:tc>
        <w:tc>
          <w:tcPr>
            <w:tcW w:w="1418" w:type="dxa"/>
          </w:tcPr>
          <w:p w:rsidR="002F3296" w:rsidRPr="00E86D73" w:rsidRDefault="00E86D73"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Pr>
                <w:rFonts w:ascii="Calibri" w:hAnsi="Calibri" w:cs="Calibri"/>
                <w:i/>
                <w:sz w:val="20"/>
                <w:szCs w:val="20"/>
                <w:lang w:val="en-US"/>
              </w:rPr>
              <w:t>N</w:t>
            </w:r>
            <w:r>
              <w:rPr>
                <w:rFonts w:ascii="Calibri" w:hAnsi="Calibri" w:cs="Calibri"/>
                <w:sz w:val="20"/>
                <w:szCs w:val="20"/>
                <w:lang w:val="en-US"/>
              </w:rPr>
              <w:t xml:space="preserve"> = 72, 36 per condition.</w:t>
            </w:r>
          </w:p>
        </w:tc>
        <w:tc>
          <w:tcPr>
            <w:tcW w:w="7087" w:type="dxa"/>
          </w:tcPr>
          <w:p w:rsidR="002F3296" w:rsidRPr="004A42B4" w:rsidRDefault="002F3296"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4A42B4">
              <w:rPr>
                <w:rFonts w:ascii="Calibri" w:hAnsi="Calibri" w:cs="Calibri"/>
                <w:sz w:val="20"/>
                <w:szCs w:val="20"/>
                <w:lang w:val="en-US"/>
              </w:rPr>
              <w:t>Similar to Frey et al</w:t>
            </w:r>
            <w:r>
              <w:rPr>
                <w:rFonts w:ascii="Calibri" w:hAnsi="Calibri" w:cs="Calibri"/>
                <w:sz w:val="20"/>
                <w:szCs w:val="20"/>
                <w:lang w:val="en-US"/>
              </w:rPr>
              <w:t>. (2019).</w:t>
            </w:r>
          </w:p>
        </w:tc>
      </w:tr>
      <w:tr w:rsidR="002F3296" w:rsidRPr="004A42B4" w:rsidTr="00C15A51">
        <w:tc>
          <w:tcPr>
            <w:cnfStyle w:val="001000000000" w:firstRow="0" w:lastRow="0" w:firstColumn="1" w:lastColumn="0" w:oddVBand="0" w:evenVBand="0" w:oddHBand="0" w:evenHBand="0" w:firstRowFirstColumn="0" w:firstRowLastColumn="0" w:lastRowFirstColumn="0" w:lastRowLastColumn="0"/>
            <w:tcW w:w="1702" w:type="dxa"/>
          </w:tcPr>
          <w:p w:rsidR="002F3296" w:rsidRPr="004A42B4" w:rsidRDefault="002F3296" w:rsidP="00CC3660">
            <w:pPr>
              <w:rPr>
                <w:rFonts w:ascii="Calibri" w:hAnsi="Calibri" w:cs="Calibri"/>
                <w:sz w:val="20"/>
                <w:szCs w:val="20"/>
                <w:lang w:val="en-US"/>
              </w:rPr>
            </w:pPr>
            <w:r>
              <w:rPr>
                <w:rFonts w:ascii="Calibri" w:hAnsi="Calibri" w:cs="Calibri"/>
                <w:sz w:val="20"/>
                <w:szCs w:val="20"/>
                <w:lang w:val="en-US"/>
              </w:rPr>
              <w:t xml:space="preserve">10.Miltenburg, </w:t>
            </w:r>
            <w:proofErr w:type="spellStart"/>
            <w:r>
              <w:rPr>
                <w:rFonts w:ascii="Calibri" w:hAnsi="Calibri" w:cs="Calibri"/>
                <w:sz w:val="20"/>
                <w:szCs w:val="20"/>
                <w:lang w:val="en-US"/>
              </w:rPr>
              <w:t>Buskens</w:t>
            </w:r>
            <w:proofErr w:type="spellEnd"/>
            <w:r>
              <w:rPr>
                <w:rFonts w:ascii="Calibri" w:hAnsi="Calibri" w:cs="Calibri"/>
                <w:sz w:val="20"/>
                <w:szCs w:val="20"/>
                <w:lang w:val="en-US"/>
              </w:rPr>
              <w:t xml:space="preserve"> &amp; </w:t>
            </w:r>
            <w:proofErr w:type="spellStart"/>
            <w:r>
              <w:rPr>
                <w:rFonts w:ascii="Calibri" w:hAnsi="Calibri" w:cs="Calibri"/>
                <w:sz w:val="20"/>
                <w:szCs w:val="20"/>
                <w:lang w:val="en-US"/>
              </w:rPr>
              <w:t>Raub</w:t>
            </w:r>
            <w:proofErr w:type="spellEnd"/>
            <w:r>
              <w:rPr>
                <w:rFonts w:ascii="Calibri" w:hAnsi="Calibri" w:cs="Calibri"/>
                <w:sz w:val="20"/>
                <w:szCs w:val="20"/>
                <w:lang w:val="en-US"/>
              </w:rPr>
              <w:t xml:space="preserve"> (2012)</w:t>
            </w:r>
          </w:p>
        </w:tc>
        <w:tc>
          <w:tcPr>
            <w:tcW w:w="1134" w:type="dxa"/>
          </w:tcPr>
          <w:p w:rsidR="002F3296" w:rsidRPr="004A42B4" w:rsidRDefault="002F3296"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Pr>
                <w:rFonts w:ascii="Calibri" w:hAnsi="Calibri" w:cs="Calibri"/>
                <w:sz w:val="20"/>
                <w:szCs w:val="20"/>
                <w:lang w:val="en-US"/>
              </w:rPr>
              <w:t>Trust Game</w:t>
            </w:r>
          </w:p>
        </w:tc>
        <w:tc>
          <w:tcPr>
            <w:tcW w:w="1418" w:type="dxa"/>
          </w:tcPr>
          <w:p w:rsidR="002F3296" w:rsidRPr="00E86D73" w:rsidRDefault="00E86D73"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Pr>
                <w:rFonts w:ascii="Calibri" w:hAnsi="Calibri" w:cs="Calibri"/>
                <w:i/>
                <w:sz w:val="20"/>
                <w:szCs w:val="20"/>
              </w:rPr>
              <w:t xml:space="preserve">N </w:t>
            </w:r>
            <w:r>
              <w:rPr>
                <w:rFonts w:ascii="Calibri" w:hAnsi="Calibri" w:cs="Calibri"/>
                <w:sz w:val="20"/>
                <w:szCs w:val="20"/>
              </w:rPr>
              <w:t>= 138.</w:t>
            </w:r>
          </w:p>
        </w:tc>
        <w:tc>
          <w:tcPr>
            <w:tcW w:w="7087" w:type="dxa"/>
          </w:tcPr>
          <w:p w:rsidR="002F3296" w:rsidRPr="004A42B4" w:rsidRDefault="002F3296" w:rsidP="00CC3660">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4A42B4">
              <w:rPr>
                <w:rFonts w:ascii="Calibri" w:hAnsi="Calibri" w:cs="Calibri"/>
                <w:sz w:val="20"/>
                <w:szCs w:val="20"/>
              </w:rPr>
              <w:t>Similar</w:t>
            </w:r>
            <w:proofErr w:type="spellEnd"/>
            <w:r w:rsidRPr="004A42B4">
              <w:rPr>
                <w:rFonts w:ascii="Calibri" w:hAnsi="Calibri" w:cs="Calibri"/>
                <w:sz w:val="20"/>
                <w:szCs w:val="20"/>
              </w:rPr>
              <w:t xml:space="preserve"> </w:t>
            </w:r>
            <w:proofErr w:type="spellStart"/>
            <w:r w:rsidRPr="004A42B4">
              <w:rPr>
                <w:rFonts w:ascii="Calibri" w:hAnsi="Calibri" w:cs="Calibri"/>
                <w:sz w:val="20"/>
                <w:szCs w:val="20"/>
              </w:rPr>
              <w:t>to</w:t>
            </w:r>
            <w:proofErr w:type="spellEnd"/>
            <w:r w:rsidRPr="004A42B4">
              <w:rPr>
                <w:rFonts w:ascii="Calibri" w:hAnsi="Calibri" w:cs="Calibri"/>
                <w:sz w:val="20"/>
                <w:szCs w:val="20"/>
              </w:rPr>
              <w:t xml:space="preserve"> Buskens, </w:t>
            </w:r>
            <w:proofErr w:type="spellStart"/>
            <w:r w:rsidRPr="004A42B4">
              <w:rPr>
                <w:rFonts w:ascii="Calibri" w:hAnsi="Calibri" w:cs="Calibri"/>
                <w:sz w:val="20"/>
                <w:szCs w:val="20"/>
              </w:rPr>
              <w:t>Raub</w:t>
            </w:r>
            <w:proofErr w:type="spellEnd"/>
            <w:r w:rsidRPr="004A42B4">
              <w:rPr>
                <w:rFonts w:ascii="Calibri" w:hAnsi="Calibri" w:cs="Calibri"/>
                <w:sz w:val="20"/>
                <w:szCs w:val="20"/>
              </w:rPr>
              <w:t xml:space="preserve"> &amp; Van der Veer (2010)</w:t>
            </w:r>
            <w:r>
              <w:rPr>
                <w:rFonts w:ascii="Calibri" w:hAnsi="Calibri" w:cs="Calibri"/>
                <w:sz w:val="20"/>
                <w:szCs w:val="20"/>
              </w:rPr>
              <w:t>.</w:t>
            </w:r>
          </w:p>
        </w:tc>
      </w:tr>
      <w:tr w:rsidR="002F3296" w:rsidRPr="004A42B4" w:rsidTr="00C15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3296" w:rsidRPr="004A42B4" w:rsidRDefault="002F3296" w:rsidP="00CC3660">
            <w:pPr>
              <w:rPr>
                <w:rFonts w:ascii="Calibri" w:hAnsi="Calibri" w:cs="Calibri"/>
                <w:sz w:val="20"/>
                <w:szCs w:val="20"/>
              </w:rPr>
            </w:pPr>
            <w:r>
              <w:rPr>
                <w:rFonts w:ascii="Calibri" w:eastAsia="Times New Roman" w:hAnsi="Calibri" w:cs="Calibri"/>
                <w:color w:val="000000"/>
                <w:sz w:val="22"/>
                <w:szCs w:val="22"/>
                <w:lang w:val="en-US" w:eastAsia="nl-NL"/>
              </w:rPr>
              <w:t>11.</w:t>
            </w:r>
            <w:r w:rsidRPr="002D68C6">
              <w:rPr>
                <w:rFonts w:ascii="Calibri" w:eastAsia="Times New Roman" w:hAnsi="Calibri" w:cs="Calibri"/>
                <w:color w:val="000000"/>
                <w:sz w:val="22"/>
                <w:szCs w:val="22"/>
                <w:lang w:val="en-US" w:eastAsia="nl-NL"/>
              </w:rPr>
              <w:t xml:space="preserve">Barrera &amp; </w:t>
            </w:r>
            <w:proofErr w:type="spellStart"/>
            <w:r w:rsidRPr="002D68C6">
              <w:rPr>
                <w:rFonts w:ascii="Calibri" w:eastAsia="Times New Roman" w:hAnsi="Calibri" w:cs="Calibri"/>
                <w:color w:val="000000"/>
                <w:sz w:val="22"/>
                <w:szCs w:val="22"/>
                <w:lang w:val="en-US" w:eastAsia="nl-NL"/>
              </w:rPr>
              <w:t>Buskens</w:t>
            </w:r>
            <w:proofErr w:type="spellEnd"/>
            <w:r w:rsidRPr="002D68C6">
              <w:rPr>
                <w:rFonts w:ascii="Calibri" w:eastAsia="Times New Roman" w:hAnsi="Calibri" w:cs="Calibri"/>
                <w:color w:val="000000"/>
                <w:sz w:val="22"/>
                <w:szCs w:val="22"/>
                <w:lang w:val="en-US" w:eastAsia="nl-NL"/>
              </w:rPr>
              <w:t xml:space="preserve"> (2009)</w:t>
            </w:r>
          </w:p>
        </w:tc>
        <w:tc>
          <w:tcPr>
            <w:tcW w:w="1134" w:type="dxa"/>
          </w:tcPr>
          <w:p w:rsidR="002F3296" w:rsidRPr="004A42B4" w:rsidRDefault="002F3296"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Pr>
                <w:rFonts w:ascii="Calibri" w:hAnsi="Calibri" w:cs="Calibri"/>
                <w:sz w:val="20"/>
                <w:szCs w:val="20"/>
              </w:rPr>
              <w:t>Investment Game</w:t>
            </w:r>
          </w:p>
        </w:tc>
        <w:tc>
          <w:tcPr>
            <w:tcW w:w="1418" w:type="dxa"/>
          </w:tcPr>
          <w:p w:rsidR="002F3296" w:rsidRPr="00E86D73" w:rsidRDefault="00E86D73"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Pr>
                <w:rFonts w:ascii="Calibri" w:hAnsi="Calibri" w:cs="Calibri"/>
                <w:i/>
                <w:sz w:val="20"/>
                <w:szCs w:val="20"/>
                <w:lang w:val="en-US"/>
              </w:rPr>
              <w:t>N</w:t>
            </w:r>
            <w:r>
              <w:rPr>
                <w:rFonts w:ascii="Calibri" w:hAnsi="Calibri" w:cs="Calibri"/>
                <w:sz w:val="20"/>
                <w:szCs w:val="20"/>
                <w:lang w:val="en-US"/>
              </w:rPr>
              <w:t xml:space="preserve"> = </w:t>
            </w:r>
            <w:r w:rsidR="007D15A7">
              <w:rPr>
                <w:rFonts w:ascii="Calibri" w:hAnsi="Calibri" w:cs="Calibri"/>
                <w:sz w:val="20"/>
                <w:szCs w:val="20"/>
                <w:lang w:val="en-US"/>
              </w:rPr>
              <w:t>138</w:t>
            </w:r>
            <w:r>
              <w:rPr>
                <w:rFonts w:ascii="Calibri" w:hAnsi="Calibri" w:cs="Calibri"/>
                <w:sz w:val="20"/>
                <w:szCs w:val="20"/>
                <w:lang w:val="en-US"/>
              </w:rPr>
              <w:t>.</w:t>
            </w:r>
          </w:p>
        </w:tc>
        <w:tc>
          <w:tcPr>
            <w:tcW w:w="7087" w:type="dxa"/>
          </w:tcPr>
          <w:p w:rsidR="002F3296" w:rsidRPr="004A42B4" w:rsidRDefault="002F3296" w:rsidP="00CC3660">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4A42B4">
              <w:rPr>
                <w:rFonts w:ascii="Calibri" w:hAnsi="Calibri" w:cs="Calibri"/>
                <w:sz w:val="20"/>
                <w:szCs w:val="20"/>
                <w:lang w:val="en-US"/>
              </w:rPr>
              <w:t>Similar to Frey et al.</w:t>
            </w:r>
            <w:r>
              <w:rPr>
                <w:rFonts w:ascii="Calibri" w:hAnsi="Calibri" w:cs="Calibri"/>
                <w:sz w:val="20"/>
                <w:szCs w:val="20"/>
                <w:lang w:val="en-US"/>
              </w:rPr>
              <w:t xml:space="preserve"> (2019), with the exception that an Investment Game is played, which can be considered a Trust Game with a continuous outcome. Note that this study contains some additional conditions as well; these will not be considered.</w:t>
            </w:r>
          </w:p>
        </w:tc>
      </w:tr>
    </w:tbl>
    <w:p w:rsidR="002A6FA1" w:rsidRDefault="002A6FA1" w:rsidP="002A6FA1">
      <w:pPr>
        <w:rPr>
          <w:rFonts w:ascii="Calibri" w:hAnsi="Calibri" w:cs="Calibri"/>
          <w:sz w:val="22"/>
          <w:szCs w:val="22"/>
          <w:lang w:val="en-US"/>
        </w:rPr>
      </w:pPr>
      <w:r>
        <w:rPr>
          <w:rFonts w:ascii="Calibri" w:hAnsi="Calibri" w:cs="Calibri"/>
          <w:sz w:val="22"/>
          <w:szCs w:val="22"/>
          <w:lang w:val="en-US"/>
        </w:rPr>
        <w:t>*I have contacted the authors, but do not have access to the data yet.</w:t>
      </w:r>
    </w:p>
    <w:p w:rsidR="002A6FA1" w:rsidRDefault="002A6FA1" w:rsidP="00AC69A1">
      <w:pPr>
        <w:rPr>
          <w:rFonts w:ascii="Calibri" w:hAnsi="Calibri" w:cs="Calibri"/>
          <w:sz w:val="22"/>
          <w:szCs w:val="22"/>
          <w:lang w:val="en-US"/>
        </w:rPr>
      </w:pPr>
    </w:p>
    <w:p w:rsidR="000956EC" w:rsidRDefault="000956EC" w:rsidP="00AC69A1">
      <w:pPr>
        <w:rPr>
          <w:rFonts w:ascii="Calibri" w:eastAsiaTheme="minorEastAsia" w:hAnsi="Calibri" w:cs="Calibri"/>
          <w:sz w:val="22"/>
          <w:szCs w:val="22"/>
          <w:lang w:val="en-US"/>
        </w:rPr>
      </w:pPr>
      <w:r>
        <w:rPr>
          <w:rFonts w:ascii="Calibri" w:hAnsi="Calibri" w:cs="Calibri"/>
          <w:sz w:val="22"/>
          <w:szCs w:val="22"/>
          <w:lang w:val="en-US"/>
        </w:rPr>
        <w:t xml:space="preserve">The study, and data, by Bolton, </w:t>
      </w:r>
      <w:proofErr w:type="spellStart"/>
      <w:r>
        <w:rPr>
          <w:rFonts w:ascii="Calibri" w:hAnsi="Calibri" w:cs="Calibri"/>
          <w:sz w:val="22"/>
          <w:szCs w:val="22"/>
          <w:lang w:val="en-US"/>
        </w:rPr>
        <w:t>Katok</w:t>
      </w:r>
      <w:proofErr w:type="spellEnd"/>
      <w:r>
        <w:rPr>
          <w:rFonts w:ascii="Calibri" w:hAnsi="Calibri" w:cs="Calibri"/>
          <w:sz w:val="22"/>
          <w:szCs w:val="22"/>
          <w:lang w:val="en-US"/>
        </w:rPr>
        <w:t xml:space="preserve"> &amp; </w:t>
      </w:r>
      <w:proofErr w:type="spellStart"/>
      <w:r>
        <w:rPr>
          <w:rFonts w:ascii="Calibri" w:hAnsi="Calibri" w:cs="Calibri"/>
          <w:sz w:val="22"/>
          <w:szCs w:val="22"/>
          <w:lang w:val="en-US"/>
        </w:rPr>
        <w:t>Ockenfels</w:t>
      </w:r>
      <w:proofErr w:type="spellEnd"/>
      <w:r>
        <w:rPr>
          <w:rFonts w:ascii="Calibri" w:hAnsi="Calibri" w:cs="Calibri"/>
          <w:sz w:val="22"/>
          <w:szCs w:val="22"/>
          <w:lang w:val="en-US"/>
        </w:rPr>
        <w:t xml:space="preserve"> (2004) is exemplary for the studies in group 1. The authors compare three treatment conditions: (1) no embeddedness, (2) network embeddedness and (3) dyadic embeddedness. In condition 1, trustors are randomly matched with trustees without information about the trustee’s past information being provided. In condition 2, trustors are also randomly matched with trustees, but now obtain information about the number of times the trustee honored trust in past interactions. In condition 3, a trustor and a trustee are paired randomly in round 1, but repeat the Trust Game as a pair throughout. </w:t>
      </w:r>
      <w:r w:rsidR="00936C83">
        <w:rPr>
          <w:rFonts w:ascii="Calibri" w:hAnsi="Calibri" w:cs="Calibri"/>
          <w:sz w:val="22"/>
          <w:szCs w:val="22"/>
          <w:lang w:val="en-US"/>
        </w:rPr>
        <w:t xml:space="preserve">Each of the conditions was played in three sessions, with 16 participants per session, resulting in 48 participants in every treatment and a total sample size of </w:t>
      </w:r>
      <m:oMath>
        <m:r>
          <w:rPr>
            <w:rFonts w:ascii="Cambria Math" w:hAnsi="Cambria Math" w:cs="Calibri"/>
            <w:sz w:val="22"/>
            <w:szCs w:val="22"/>
            <w:lang w:val="en-US"/>
          </w:rPr>
          <m:t>N=144</m:t>
        </m:r>
      </m:oMath>
      <w:r w:rsidR="00936C83">
        <w:rPr>
          <w:rFonts w:ascii="Calibri" w:eastAsiaTheme="minorEastAsia" w:hAnsi="Calibri" w:cs="Calibri"/>
          <w:sz w:val="22"/>
          <w:szCs w:val="22"/>
          <w:lang w:val="en-US"/>
        </w:rPr>
        <w:t>. In all three conditions, subjects played the Trust Game 30 times.</w:t>
      </w:r>
    </w:p>
    <w:p w:rsidR="00732494" w:rsidRDefault="00936C83" w:rsidP="002A6FA1">
      <w:pPr>
        <w:ind w:firstLine="708"/>
        <w:rPr>
          <w:rFonts w:ascii="Calibri" w:hAnsi="Calibri" w:cs="Calibri"/>
          <w:sz w:val="22"/>
          <w:szCs w:val="22"/>
          <w:lang w:val="en-US"/>
        </w:rPr>
      </w:pPr>
      <w:r>
        <w:rPr>
          <w:rFonts w:ascii="Calibri" w:hAnsi="Calibri" w:cs="Calibri"/>
          <w:sz w:val="22"/>
          <w:szCs w:val="22"/>
          <w:lang w:val="en-US"/>
        </w:rPr>
        <w:t xml:space="preserve">Technically speaking, there were only six variables included in the data set. The ID of the trustor, the ID of the trustee, whether or not the trustor placed trust, whether or not the trustee honored trust, the round of the game and the treatment condition. The treatment condition was operationalized as a categorical variable (no embeddedness = 0; network embeddedness = 1; dyadic embeddedness = 2), similarly to the action of the trustor (not placing trust = 0, placing trust = 1) and the action of the trustee (abuse trust = -1, </w:t>
      </w:r>
      <w:r>
        <w:rPr>
          <w:rFonts w:ascii="Calibri" w:hAnsi="Calibri" w:cs="Calibri"/>
          <w:sz w:val="22"/>
          <w:szCs w:val="22"/>
          <w:lang w:val="en-US"/>
        </w:rPr>
        <w:t>no choice because the trustor did not place trust = 0</w:t>
      </w:r>
      <w:r w:rsidR="000845C6">
        <w:rPr>
          <w:rFonts w:ascii="Calibri" w:hAnsi="Calibri" w:cs="Calibri"/>
          <w:sz w:val="22"/>
          <w:szCs w:val="22"/>
          <w:lang w:val="en-US"/>
        </w:rPr>
        <w:t>/NA</w:t>
      </w:r>
      <w:r>
        <w:rPr>
          <w:rFonts w:ascii="Calibri" w:hAnsi="Calibri" w:cs="Calibri"/>
          <w:sz w:val="22"/>
          <w:szCs w:val="22"/>
          <w:lang w:val="en-US"/>
        </w:rPr>
        <w:t>, honoring trust = 1).</w:t>
      </w:r>
      <w:r w:rsidR="002A6FA1">
        <w:rPr>
          <w:rFonts w:ascii="Calibri" w:hAnsi="Calibri" w:cs="Calibri"/>
          <w:sz w:val="22"/>
          <w:szCs w:val="22"/>
          <w:lang w:val="en-US"/>
        </w:rPr>
        <w:t xml:space="preserve"> </w:t>
      </w:r>
      <w:r w:rsidR="00732494">
        <w:rPr>
          <w:rFonts w:ascii="Calibri" w:hAnsi="Calibri" w:cs="Calibri"/>
          <w:sz w:val="22"/>
          <w:szCs w:val="22"/>
          <w:lang w:val="en-US"/>
        </w:rPr>
        <w:t xml:space="preserve">Furthermore, the round variable ranges from 1 to 30. </w:t>
      </w:r>
    </w:p>
    <w:p w:rsidR="005D2DC1" w:rsidRDefault="00732494" w:rsidP="00597931">
      <w:pPr>
        <w:ind w:firstLine="708"/>
        <w:rPr>
          <w:rFonts w:ascii="Calibri" w:hAnsi="Calibri" w:cs="Calibri"/>
          <w:sz w:val="22"/>
          <w:szCs w:val="22"/>
          <w:lang w:val="en-US"/>
        </w:rPr>
      </w:pPr>
      <w:r>
        <w:rPr>
          <w:rFonts w:ascii="Calibri" w:hAnsi="Calibri" w:cs="Calibri"/>
          <w:sz w:val="22"/>
          <w:szCs w:val="22"/>
          <w:lang w:val="en-US"/>
        </w:rPr>
        <w:t xml:space="preserve">Using these variables, control and learning (which will be treated as a </w:t>
      </w:r>
      <w:r>
        <w:rPr>
          <w:rFonts w:ascii="Calibri" w:hAnsi="Calibri" w:cs="Calibri"/>
          <w:i/>
          <w:sz w:val="22"/>
          <w:szCs w:val="22"/>
          <w:lang w:val="en-US"/>
        </w:rPr>
        <w:t xml:space="preserve">control </w:t>
      </w:r>
      <w:r>
        <w:rPr>
          <w:rFonts w:ascii="Calibri" w:hAnsi="Calibri" w:cs="Calibri"/>
          <w:sz w:val="22"/>
          <w:szCs w:val="22"/>
          <w:lang w:val="en-US"/>
        </w:rPr>
        <w:t>variable in the statistical sense) can be constructed. In general, there are three ways to operationalize the control effect. First, focus can be restricted to the first round of the game, which has several advantages. In the first round, no learning can have occurred, so differences between the treatment group in terms of trust in the first round of the game purely represent the anticipation of the actors regarding future sanction opportunities. In the network treatment, such control effects concern the sanction opportunities by other trustors that the trustee will meet in future rounds, while in the network treatment, control effects concern the sanction opportunities by the same trustor in future rounds. Second, focus can be restricted to the round</w:t>
      </w:r>
      <w:r w:rsidR="000B5946">
        <w:rPr>
          <w:rFonts w:ascii="Calibri" w:hAnsi="Calibri" w:cs="Calibri"/>
          <w:sz w:val="22"/>
          <w:szCs w:val="22"/>
          <w:lang w:val="en-US"/>
        </w:rPr>
        <w:t>s</w:t>
      </w:r>
      <w:r>
        <w:rPr>
          <w:rFonts w:ascii="Calibri" w:hAnsi="Calibri" w:cs="Calibri"/>
          <w:sz w:val="22"/>
          <w:szCs w:val="22"/>
          <w:lang w:val="en-US"/>
        </w:rPr>
        <w:t xml:space="preserve"> in which </w:t>
      </w:r>
      <w:r w:rsidR="00597931">
        <w:rPr>
          <w:rFonts w:ascii="Calibri" w:hAnsi="Calibri" w:cs="Calibri"/>
          <w:sz w:val="22"/>
          <w:szCs w:val="22"/>
          <w:lang w:val="en-US"/>
        </w:rPr>
        <w:t>the trustee has not (yet) abused trust</w:t>
      </w:r>
      <w:r w:rsidR="000B5946">
        <w:rPr>
          <w:rFonts w:ascii="Calibri" w:hAnsi="Calibri" w:cs="Calibri"/>
          <w:sz w:val="22"/>
          <w:szCs w:val="22"/>
          <w:lang w:val="en-US"/>
        </w:rPr>
        <w:t xml:space="preserve">. </w:t>
      </w:r>
      <w:r w:rsidR="00597931">
        <w:rPr>
          <w:rFonts w:ascii="Calibri" w:hAnsi="Calibri" w:cs="Calibri"/>
          <w:sz w:val="22"/>
          <w:szCs w:val="22"/>
          <w:lang w:val="en-US"/>
        </w:rPr>
        <w:t xml:space="preserve">In this way, the amount of information a trustor has about a trustee is essentially kept constant, and thus excludes learning effects in the sense of </w:t>
      </w:r>
      <w:proofErr w:type="spellStart"/>
      <w:r w:rsidR="00597931">
        <w:rPr>
          <w:rFonts w:ascii="Calibri" w:hAnsi="Calibri" w:cs="Calibri"/>
          <w:sz w:val="22"/>
          <w:szCs w:val="22"/>
          <w:lang w:val="en-US"/>
        </w:rPr>
        <w:t>Buskens</w:t>
      </w:r>
      <w:proofErr w:type="spellEnd"/>
      <w:r w:rsidR="00597931">
        <w:rPr>
          <w:rFonts w:ascii="Calibri" w:hAnsi="Calibri" w:cs="Calibri"/>
          <w:sz w:val="22"/>
          <w:szCs w:val="22"/>
          <w:lang w:val="en-US"/>
        </w:rPr>
        <w:t xml:space="preserve"> &amp; </w:t>
      </w:r>
      <w:proofErr w:type="spellStart"/>
      <w:r w:rsidR="00597931">
        <w:rPr>
          <w:rFonts w:ascii="Calibri" w:hAnsi="Calibri" w:cs="Calibri"/>
          <w:sz w:val="22"/>
          <w:szCs w:val="22"/>
          <w:lang w:val="en-US"/>
        </w:rPr>
        <w:t>Raub</w:t>
      </w:r>
      <w:proofErr w:type="spellEnd"/>
      <w:r w:rsidR="00597931">
        <w:rPr>
          <w:rFonts w:ascii="Calibri" w:hAnsi="Calibri" w:cs="Calibri"/>
          <w:sz w:val="22"/>
          <w:szCs w:val="22"/>
          <w:lang w:val="en-US"/>
        </w:rPr>
        <w:t xml:space="preserve"> (2002). However, it seems probable that trustors also condition their behavior on past actions against themselves, even by different trustees. Controlling for these experiences by focusing exclusively on the rounds in which a trustor has not observed any abuse of trust at all may be infeasible, because due to the random allocation, a trustor interacts with many trustees, and it is likely that the trustor will soon interact with at least one trustee who abused trust. </w:t>
      </w:r>
      <w:r w:rsidR="005D2DC1">
        <w:rPr>
          <w:rFonts w:ascii="Calibri" w:hAnsi="Calibri" w:cs="Calibri"/>
          <w:sz w:val="22"/>
          <w:szCs w:val="22"/>
          <w:lang w:val="en-US"/>
        </w:rPr>
        <w:t xml:space="preserve">Third, focus can be directed to controlling for learning in a statistical sense. After taking past actions by other trustees and the focal trustee into account, the effect of the number of rounds left can be estimated. When there are more rounds left to play, there are more control opportunities, while the amount of sanction opportunities </w:t>
      </w:r>
      <w:r w:rsidR="000845C6">
        <w:rPr>
          <w:rFonts w:ascii="Calibri" w:hAnsi="Calibri" w:cs="Calibri"/>
          <w:sz w:val="22"/>
          <w:szCs w:val="22"/>
          <w:lang w:val="en-US"/>
        </w:rPr>
        <w:t>decreases</w:t>
      </w:r>
      <w:r w:rsidR="005D2DC1">
        <w:rPr>
          <w:rFonts w:ascii="Calibri" w:hAnsi="Calibri" w:cs="Calibri"/>
          <w:sz w:val="22"/>
          <w:szCs w:val="22"/>
          <w:lang w:val="en-US"/>
        </w:rPr>
        <w:t xml:space="preserve"> when there are fewer rounds to play. However, there should be controlled for learning, because as there are fewer rounds the play, the likelihood that a trustor has observed an abuse of trust and therefore withholds trust also increases. Although this would reflect an effect of embeddedness, it would not reflect an effect of control, which is what the focus is on. </w:t>
      </w:r>
      <w:r w:rsidR="000845C6">
        <w:rPr>
          <w:rFonts w:ascii="Calibri" w:hAnsi="Calibri" w:cs="Calibri"/>
          <w:sz w:val="22"/>
          <w:szCs w:val="22"/>
          <w:lang w:val="en-US"/>
        </w:rPr>
        <w:t xml:space="preserve">Similarly, when estimating the trustee’s behavior, it </w:t>
      </w:r>
      <w:r w:rsidR="00FA6DC0">
        <w:rPr>
          <w:rFonts w:ascii="Calibri" w:hAnsi="Calibri" w:cs="Calibri"/>
          <w:sz w:val="22"/>
          <w:szCs w:val="22"/>
          <w:lang w:val="en-US"/>
        </w:rPr>
        <w:t>can</w:t>
      </w:r>
      <w:r w:rsidR="000845C6">
        <w:rPr>
          <w:rFonts w:ascii="Calibri" w:hAnsi="Calibri" w:cs="Calibri"/>
          <w:sz w:val="22"/>
          <w:szCs w:val="22"/>
          <w:lang w:val="en-US"/>
        </w:rPr>
        <w:t xml:space="preserve"> be </w:t>
      </w:r>
      <w:proofErr w:type="gramStart"/>
      <w:r w:rsidR="000845C6">
        <w:rPr>
          <w:rFonts w:ascii="Calibri" w:hAnsi="Calibri" w:cs="Calibri"/>
          <w:sz w:val="22"/>
          <w:szCs w:val="22"/>
          <w:lang w:val="en-US"/>
        </w:rPr>
        <w:t>taken into account</w:t>
      </w:r>
      <w:proofErr w:type="gramEnd"/>
      <w:r w:rsidR="000845C6">
        <w:rPr>
          <w:rFonts w:ascii="Calibri" w:hAnsi="Calibri" w:cs="Calibri"/>
          <w:sz w:val="22"/>
          <w:szCs w:val="22"/>
          <w:lang w:val="en-US"/>
        </w:rPr>
        <w:t xml:space="preserve"> how often past trustors actually placed trust. If past trustors hardly placed trust, </w:t>
      </w:r>
      <w:proofErr w:type="spellStart"/>
      <w:r w:rsidR="000845C6">
        <w:rPr>
          <w:rFonts w:ascii="Calibri" w:hAnsi="Calibri" w:cs="Calibri"/>
          <w:sz w:val="22"/>
          <w:szCs w:val="22"/>
          <w:lang w:val="en-US"/>
        </w:rPr>
        <w:t>a</w:t>
      </w:r>
      <w:proofErr w:type="spellEnd"/>
      <w:r w:rsidR="000845C6">
        <w:rPr>
          <w:rFonts w:ascii="Calibri" w:hAnsi="Calibri" w:cs="Calibri"/>
          <w:sz w:val="22"/>
          <w:szCs w:val="22"/>
          <w:lang w:val="en-US"/>
        </w:rPr>
        <w:t xml:space="preserve"> trustee may expect that future trustors will also not place trust, reducing the relative severity of future sanction</w:t>
      </w:r>
      <w:r w:rsidR="00FA6DC0">
        <w:rPr>
          <w:rFonts w:ascii="Calibri" w:hAnsi="Calibri" w:cs="Calibri"/>
          <w:sz w:val="22"/>
          <w:szCs w:val="22"/>
          <w:lang w:val="en-US"/>
        </w:rPr>
        <w:t>s</w:t>
      </w:r>
      <w:r w:rsidR="000845C6">
        <w:rPr>
          <w:rFonts w:ascii="Calibri" w:hAnsi="Calibri" w:cs="Calibri"/>
          <w:sz w:val="22"/>
          <w:szCs w:val="22"/>
          <w:lang w:val="en-US"/>
        </w:rPr>
        <w:t xml:space="preserve">. </w:t>
      </w:r>
      <w:r w:rsidR="005D2DC1">
        <w:rPr>
          <w:rFonts w:ascii="Calibri" w:hAnsi="Calibri" w:cs="Calibri"/>
          <w:sz w:val="22"/>
          <w:szCs w:val="22"/>
          <w:lang w:val="en-US"/>
        </w:rPr>
        <w:t xml:space="preserve">All these three </w:t>
      </w:r>
      <w:r w:rsidR="005D2DC1">
        <w:rPr>
          <w:rFonts w:ascii="Calibri" w:hAnsi="Calibri" w:cs="Calibri"/>
          <w:sz w:val="22"/>
          <w:szCs w:val="22"/>
          <w:lang w:val="en-US"/>
        </w:rPr>
        <w:lastRenderedPageBreak/>
        <w:t xml:space="preserve">measures make use of the </w:t>
      </w:r>
      <w:r w:rsidR="005D2DC1">
        <w:rPr>
          <w:rFonts w:ascii="Calibri" w:hAnsi="Calibri" w:cs="Calibri"/>
          <w:i/>
          <w:sz w:val="22"/>
          <w:szCs w:val="22"/>
          <w:lang w:val="en-US"/>
        </w:rPr>
        <w:t>round</w:t>
      </w:r>
      <w:r w:rsidR="005D2DC1">
        <w:rPr>
          <w:rFonts w:ascii="Calibri" w:hAnsi="Calibri" w:cs="Calibri"/>
          <w:sz w:val="22"/>
          <w:szCs w:val="22"/>
          <w:lang w:val="en-US"/>
        </w:rPr>
        <w:t xml:space="preserve"> variable and the variables indicating the trustors’ and trustees’ past actions. </w:t>
      </w:r>
      <w:r w:rsidR="000845C6">
        <w:rPr>
          <w:rFonts w:ascii="Calibri" w:hAnsi="Calibri" w:cs="Calibri"/>
          <w:sz w:val="22"/>
          <w:szCs w:val="22"/>
          <w:lang w:val="en-US"/>
        </w:rPr>
        <w:t xml:space="preserve">Accordingly, these three measures can be compared over the treatment conditions. </w:t>
      </w:r>
    </w:p>
    <w:p w:rsidR="000845C6" w:rsidRDefault="000845C6" w:rsidP="002A6FA1">
      <w:pPr>
        <w:ind w:firstLine="708"/>
        <w:rPr>
          <w:rFonts w:ascii="Calibri" w:hAnsi="Calibri" w:cs="Calibri"/>
          <w:sz w:val="22"/>
          <w:szCs w:val="22"/>
          <w:lang w:val="en-US"/>
        </w:rPr>
      </w:pPr>
      <w:r>
        <w:rPr>
          <w:rFonts w:ascii="Calibri" w:hAnsi="Calibri" w:cs="Calibri"/>
          <w:sz w:val="22"/>
          <w:szCs w:val="22"/>
          <w:lang w:val="en-US"/>
        </w:rPr>
        <w:t>Learning can be defined in terms of past actions by trustors and trustees. Learning for the trustor concerns how often the trustee abused the trust of other trustors</w:t>
      </w:r>
      <w:r w:rsidR="00FA6DC0">
        <w:rPr>
          <w:rFonts w:ascii="Calibri" w:hAnsi="Calibri" w:cs="Calibri"/>
          <w:sz w:val="22"/>
          <w:szCs w:val="22"/>
          <w:lang w:val="en-US"/>
        </w:rPr>
        <w:t xml:space="preserve">, and possibly also </w:t>
      </w:r>
      <w:r w:rsidR="00FA6DC0">
        <w:rPr>
          <w:rFonts w:ascii="Calibri" w:hAnsi="Calibri" w:cs="Calibri"/>
          <w:sz w:val="22"/>
          <w:szCs w:val="22"/>
          <w:lang w:val="en-US"/>
        </w:rPr>
        <w:t xml:space="preserve">how often an abuse of trust </w:t>
      </w:r>
      <w:r w:rsidR="00FA6DC0">
        <w:rPr>
          <w:rFonts w:ascii="Calibri" w:hAnsi="Calibri" w:cs="Calibri"/>
          <w:sz w:val="22"/>
          <w:szCs w:val="22"/>
          <w:lang w:val="en-US"/>
        </w:rPr>
        <w:t xml:space="preserve">by other trustees </w:t>
      </w:r>
      <w:r w:rsidR="00FA6DC0">
        <w:rPr>
          <w:rFonts w:ascii="Calibri" w:hAnsi="Calibri" w:cs="Calibri"/>
          <w:sz w:val="22"/>
          <w:szCs w:val="22"/>
          <w:lang w:val="en-US"/>
        </w:rPr>
        <w:t>was directed towards the trustor involved</w:t>
      </w:r>
      <w:r>
        <w:rPr>
          <w:rFonts w:ascii="Calibri" w:hAnsi="Calibri" w:cs="Calibri"/>
          <w:sz w:val="22"/>
          <w:szCs w:val="22"/>
          <w:lang w:val="en-US"/>
        </w:rPr>
        <w:t>. Accordingly, the frequencies of these actions can be summed over all past rounds (and eventually be weighted). Additionally, as past actions are likely to be considered more important than actions from a longer time ago, a dummy can be created to represent whether the trustee abused trust in the last round. A similar measure can be created for the trustee</w:t>
      </w:r>
      <w:r w:rsidR="00404AA0">
        <w:rPr>
          <w:rFonts w:ascii="Calibri" w:hAnsi="Calibri" w:cs="Calibri"/>
          <w:sz w:val="22"/>
          <w:szCs w:val="22"/>
          <w:lang w:val="en-US"/>
        </w:rPr>
        <w:t>, but defined in terms of past actions by trustors</w:t>
      </w:r>
      <w:r>
        <w:rPr>
          <w:rFonts w:ascii="Calibri" w:hAnsi="Calibri" w:cs="Calibri"/>
          <w:sz w:val="22"/>
          <w:szCs w:val="22"/>
          <w:lang w:val="en-US"/>
        </w:rPr>
        <w:t xml:space="preserve">, although the trustee only observed past actions directed against this trustee, and not the past actions of the trustor involved (unless embeddedness is dyadic). </w:t>
      </w:r>
    </w:p>
    <w:p w:rsidR="00797F34" w:rsidRPr="003248C0" w:rsidRDefault="00404AA0" w:rsidP="002A6FA1">
      <w:pPr>
        <w:ind w:firstLine="708"/>
        <w:rPr>
          <w:rFonts w:ascii="Calibri" w:eastAsia="Times New Roman" w:hAnsi="Calibri" w:cs="Calibri"/>
          <w:color w:val="000000"/>
          <w:sz w:val="22"/>
          <w:szCs w:val="22"/>
          <w:lang w:val="en-US" w:eastAsia="nl-NL"/>
        </w:rPr>
      </w:pPr>
      <w:r>
        <w:rPr>
          <w:rFonts w:ascii="Calibri" w:hAnsi="Calibri" w:cs="Calibri"/>
          <w:sz w:val="22"/>
          <w:szCs w:val="22"/>
          <w:lang w:val="en-US"/>
        </w:rPr>
        <w:t xml:space="preserve">Subsequently, the control effects can be estimated separately for trustor and trustee, and a hypothesis test on the difference can be formalized as </w:t>
      </w:r>
      <m:oMath>
        <m:sSub>
          <m:sSubPr>
            <m:ctrlPr>
              <w:rPr>
                <w:rFonts w:ascii="Cambria Math" w:eastAsia="Times New Roman" w:hAnsi="Cambria Math" w:cs="Calibri"/>
                <w:i/>
                <w:color w:val="000000"/>
                <w:sz w:val="22"/>
                <w:szCs w:val="22"/>
                <w:lang w:val="en-US" w:eastAsia="nl-NL"/>
              </w:rPr>
            </m:ctrlPr>
          </m:sSubPr>
          <m:e>
            <m:r>
              <w:rPr>
                <w:rFonts w:ascii="Cambria Math" w:eastAsia="Times New Roman" w:hAnsi="Cambria Math" w:cs="Calibri"/>
                <w:color w:val="000000"/>
                <w:sz w:val="22"/>
                <w:szCs w:val="22"/>
                <w:lang w:val="en-US" w:eastAsia="nl-NL"/>
              </w:rPr>
              <m:t>H</m:t>
            </m:r>
          </m:e>
          <m:sub>
            <m:r>
              <w:rPr>
                <w:rFonts w:ascii="Cambria Math" w:eastAsia="Times New Roman" w:hAnsi="Cambria Math" w:cs="Calibri"/>
                <w:color w:val="000000"/>
                <w:sz w:val="22"/>
                <w:szCs w:val="22"/>
                <w:lang w:val="en-US" w:eastAsia="nl-NL"/>
              </w:rPr>
              <m:t>tt</m:t>
            </m:r>
          </m:sub>
        </m:sSub>
        <m:r>
          <w:rPr>
            <w:rFonts w:ascii="Cambria Math" w:eastAsia="Times New Roman" w:hAnsi="Cambria Math" w:cs="Calibri"/>
            <w:color w:val="000000"/>
            <w:sz w:val="22"/>
            <w:szCs w:val="22"/>
            <w:lang w:val="en-US" w:eastAsia="nl-NL"/>
          </w:rPr>
          <m:t xml:space="preserve">: </m:t>
        </m:r>
        <m:sSub>
          <m:sSubPr>
            <m:ctrlPr>
              <w:rPr>
                <w:rFonts w:ascii="Cambria Math" w:eastAsia="Times New Roman" w:hAnsi="Cambria Math" w:cs="Calibri"/>
                <w:i/>
                <w:color w:val="000000"/>
                <w:sz w:val="22"/>
                <w:szCs w:val="22"/>
                <w:lang w:val="en-US" w:eastAsia="nl-NL"/>
              </w:rPr>
            </m:ctrlPr>
          </m:sSubPr>
          <m:e>
            <m:r>
              <w:rPr>
                <w:rFonts w:ascii="Cambria Math" w:eastAsia="Times New Roman" w:hAnsi="Cambria Math" w:cs="Calibri"/>
                <w:color w:val="000000"/>
                <w:sz w:val="22"/>
                <w:szCs w:val="22"/>
                <w:lang w:val="en-US" w:eastAsia="nl-NL"/>
              </w:rPr>
              <m:t>β</m:t>
            </m:r>
          </m:e>
          <m:sub>
            <m:r>
              <w:rPr>
                <w:rFonts w:ascii="Cambria Math" w:eastAsia="Times New Roman" w:hAnsi="Cambria Math" w:cs="Calibri"/>
                <w:color w:val="000000"/>
                <w:sz w:val="22"/>
                <w:szCs w:val="22"/>
                <w:lang w:val="en-US" w:eastAsia="nl-NL"/>
              </w:rPr>
              <m:t>trustor</m:t>
            </m:r>
          </m:sub>
        </m:sSub>
        <m:r>
          <w:rPr>
            <w:rFonts w:ascii="Cambria Math" w:eastAsia="Times New Roman" w:hAnsi="Cambria Math" w:cs="Calibri"/>
            <w:color w:val="000000"/>
            <w:sz w:val="22"/>
            <w:szCs w:val="22"/>
            <w:lang w:val="en-US" w:eastAsia="nl-NL"/>
          </w:rPr>
          <m:t xml:space="preserve">&lt; </m:t>
        </m:r>
        <m:sSub>
          <m:sSubPr>
            <m:ctrlPr>
              <w:rPr>
                <w:rFonts w:ascii="Cambria Math" w:eastAsia="Times New Roman" w:hAnsi="Cambria Math" w:cs="Calibri"/>
                <w:i/>
                <w:color w:val="000000"/>
                <w:sz w:val="22"/>
                <w:szCs w:val="22"/>
                <w:lang w:val="en-US" w:eastAsia="nl-NL"/>
              </w:rPr>
            </m:ctrlPr>
          </m:sSubPr>
          <m:e>
            <m:r>
              <w:rPr>
                <w:rFonts w:ascii="Cambria Math" w:eastAsia="Times New Roman" w:hAnsi="Cambria Math" w:cs="Calibri"/>
                <w:color w:val="000000"/>
                <w:sz w:val="22"/>
                <w:szCs w:val="22"/>
                <w:lang w:val="en-US" w:eastAsia="nl-NL"/>
              </w:rPr>
              <m:t>β</m:t>
            </m:r>
          </m:e>
          <m:sub>
            <m:r>
              <w:rPr>
                <w:rFonts w:ascii="Cambria Math" w:eastAsia="Times New Roman" w:hAnsi="Cambria Math" w:cs="Calibri"/>
                <w:color w:val="000000"/>
                <w:sz w:val="22"/>
                <w:szCs w:val="22"/>
                <w:lang w:val="en-US" w:eastAsia="nl-NL"/>
              </w:rPr>
              <m:t>trustee</m:t>
            </m:r>
          </m:sub>
        </m:sSub>
      </m:oMath>
      <w:r>
        <w:rPr>
          <w:rFonts w:ascii="Calibri" w:eastAsiaTheme="minorEastAsia" w:hAnsi="Calibri" w:cs="Calibri"/>
          <w:color w:val="000000"/>
          <w:sz w:val="22"/>
          <w:szCs w:val="22"/>
          <w:lang w:val="en-US" w:eastAsia="nl-NL"/>
        </w:rPr>
        <w:t>, which implies that a single model is used to estimate trust for both trustors and trustees. Accordingly, the measures for control can be estimated as interaction terms, interacting the measure with the actor involved, to estimate different regression slopes for both actors</w:t>
      </w:r>
      <w:proofErr w:type="gramStart"/>
      <w:r>
        <w:rPr>
          <w:rFonts w:ascii="Calibri" w:eastAsiaTheme="minorEastAsia" w:hAnsi="Calibri" w:cs="Calibri"/>
          <w:color w:val="000000"/>
          <w:sz w:val="22"/>
          <w:szCs w:val="22"/>
          <w:lang w:val="en-US" w:eastAsia="nl-NL"/>
        </w:rPr>
        <w:t xml:space="preserve">. </w:t>
      </w:r>
      <w:proofErr w:type="gramEnd"/>
      <w:r w:rsidR="00DF522A" w:rsidRPr="003248C0">
        <w:rPr>
          <w:rFonts w:ascii="Calibri" w:eastAsia="Times New Roman" w:hAnsi="Calibri" w:cs="Calibri"/>
          <w:color w:val="000000"/>
          <w:sz w:val="22"/>
          <w:szCs w:val="22"/>
          <w:lang w:val="en-US" w:eastAsia="nl-NL"/>
        </w:rPr>
        <w:t xml:space="preserve">Estimating the same effects for the treatment with dyadic embeddedness directly implies a comparison between the two conditions. </w:t>
      </w:r>
      <w:r w:rsidR="0036069D" w:rsidRPr="003248C0">
        <w:rPr>
          <w:rFonts w:ascii="Calibri" w:eastAsia="Times New Roman" w:hAnsi="Calibri" w:cs="Calibri"/>
          <w:color w:val="000000"/>
          <w:sz w:val="22"/>
          <w:szCs w:val="22"/>
          <w:lang w:val="en-US" w:eastAsia="nl-NL"/>
        </w:rPr>
        <w:t xml:space="preserve">This can be formalized as </w:t>
      </w:r>
      <m:oMath>
        <m:sSubSup>
          <m:sSubSupPr>
            <m:ctrlPr>
              <w:rPr>
                <w:rFonts w:ascii="Cambria Math" w:eastAsia="Times New Roman" w:hAnsi="Cambria Math" w:cs="Calibri"/>
                <w:i/>
                <w:color w:val="000000"/>
                <w:sz w:val="22"/>
                <w:szCs w:val="22"/>
                <w:lang w:val="en-US" w:eastAsia="nl-NL"/>
              </w:rPr>
            </m:ctrlPr>
          </m:sSubSupPr>
          <m:e>
            <m:r>
              <w:rPr>
                <w:rFonts w:ascii="Cambria Math" w:eastAsia="Times New Roman" w:hAnsi="Cambria Math" w:cs="Calibri"/>
                <w:color w:val="000000"/>
                <w:sz w:val="22"/>
                <w:szCs w:val="22"/>
                <w:lang w:val="en-US" w:eastAsia="nl-NL"/>
              </w:rPr>
              <m:t>H</m:t>
            </m:r>
          </m:e>
          <m:sub>
            <m:r>
              <w:rPr>
                <w:rFonts w:ascii="Cambria Math" w:eastAsia="Times New Roman" w:hAnsi="Cambria Math" w:cs="Calibri"/>
                <w:color w:val="000000"/>
                <w:sz w:val="22"/>
                <w:szCs w:val="22"/>
                <w:lang w:val="en-US" w:eastAsia="nl-NL"/>
              </w:rPr>
              <m:t>dn</m:t>
            </m:r>
          </m:sub>
          <m:sup>
            <m:r>
              <w:rPr>
                <w:rFonts w:ascii="Cambria Math" w:eastAsia="Times New Roman" w:hAnsi="Cambria Math" w:cs="Calibri"/>
                <w:color w:val="000000"/>
                <w:sz w:val="22"/>
                <w:szCs w:val="22"/>
                <w:lang w:val="en-US" w:eastAsia="nl-NL"/>
              </w:rPr>
              <m:t>1</m:t>
            </m:r>
          </m:sup>
        </m:sSubSup>
        <m:r>
          <w:rPr>
            <w:rFonts w:ascii="Cambria Math" w:eastAsia="Times New Roman" w:hAnsi="Cambria Math" w:cs="Calibri"/>
            <w:color w:val="000000"/>
            <w:sz w:val="22"/>
            <w:szCs w:val="22"/>
            <w:lang w:val="en-US" w:eastAsia="nl-NL"/>
          </w:rPr>
          <m:t xml:space="preserve">: </m:t>
        </m:r>
        <m:sSubSup>
          <m:sSubSupPr>
            <m:ctrlPr>
              <w:rPr>
                <w:rFonts w:ascii="Cambria Math" w:eastAsia="Times New Roman" w:hAnsi="Cambria Math" w:cs="Calibri"/>
                <w:i/>
                <w:color w:val="000000"/>
                <w:sz w:val="22"/>
                <w:szCs w:val="22"/>
                <w:lang w:val="en-US" w:eastAsia="nl-NL"/>
              </w:rPr>
            </m:ctrlPr>
          </m:sSubSupPr>
          <m:e>
            <m:r>
              <w:rPr>
                <w:rFonts w:ascii="Cambria Math" w:eastAsia="Times New Roman" w:hAnsi="Cambria Math" w:cs="Calibri"/>
                <w:color w:val="000000"/>
                <w:sz w:val="22"/>
                <w:szCs w:val="22"/>
                <w:lang w:val="en-US" w:eastAsia="nl-NL"/>
              </w:rPr>
              <m:t>β</m:t>
            </m:r>
          </m:e>
          <m:sub>
            <m:r>
              <w:rPr>
                <w:rFonts w:ascii="Cambria Math" w:eastAsia="Times New Roman" w:hAnsi="Cambria Math" w:cs="Calibri"/>
                <w:color w:val="000000"/>
                <w:sz w:val="22"/>
                <w:szCs w:val="22"/>
                <w:lang w:val="en-US" w:eastAsia="nl-NL"/>
              </w:rPr>
              <m:t>network</m:t>
            </m:r>
          </m:sub>
          <m:sup>
            <m:r>
              <w:rPr>
                <w:rFonts w:ascii="Cambria Math" w:eastAsia="Times New Roman" w:hAnsi="Cambria Math" w:cs="Calibri"/>
                <w:color w:val="000000"/>
                <w:sz w:val="22"/>
                <w:szCs w:val="22"/>
                <w:lang w:val="en-US" w:eastAsia="nl-NL"/>
              </w:rPr>
              <m:t>1</m:t>
            </m:r>
          </m:sup>
        </m:sSubSup>
        <m:r>
          <w:rPr>
            <w:rFonts w:ascii="Cambria Math" w:eastAsia="Times New Roman" w:hAnsi="Cambria Math" w:cs="Calibri"/>
            <w:color w:val="000000"/>
            <w:sz w:val="22"/>
            <w:szCs w:val="22"/>
            <w:lang w:val="en-US" w:eastAsia="nl-NL"/>
          </w:rPr>
          <m:t>&lt;</m:t>
        </m:r>
        <m:sSubSup>
          <m:sSubSupPr>
            <m:ctrlPr>
              <w:rPr>
                <w:rFonts w:ascii="Cambria Math" w:eastAsia="Times New Roman" w:hAnsi="Cambria Math" w:cs="Calibri"/>
                <w:i/>
                <w:color w:val="000000"/>
                <w:sz w:val="22"/>
                <w:szCs w:val="22"/>
                <w:lang w:val="en-US" w:eastAsia="nl-NL"/>
              </w:rPr>
            </m:ctrlPr>
          </m:sSubSupPr>
          <m:e>
            <m:r>
              <w:rPr>
                <w:rFonts w:ascii="Cambria Math" w:eastAsia="Times New Roman" w:hAnsi="Cambria Math" w:cs="Calibri"/>
                <w:color w:val="000000"/>
                <w:sz w:val="22"/>
                <w:szCs w:val="22"/>
                <w:lang w:val="en-US" w:eastAsia="nl-NL"/>
              </w:rPr>
              <m:t>β</m:t>
            </m:r>
          </m:e>
          <m:sub>
            <m:r>
              <w:rPr>
                <w:rFonts w:ascii="Cambria Math" w:eastAsia="Times New Roman" w:hAnsi="Cambria Math" w:cs="Calibri"/>
                <w:color w:val="000000"/>
                <w:sz w:val="22"/>
                <w:szCs w:val="22"/>
                <w:lang w:val="en-US" w:eastAsia="nl-NL"/>
              </w:rPr>
              <m:t>dyad</m:t>
            </m:r>
          </m:sub>
          <m:sup>
            <m:r>
              <w:rPr>
                <w:rFonts w:ascii="Cambria Math" w:eastAsia="Times New Roman" w:hAnsi="Cambria Math" w:cs="Calibri"/>
                <w:color w:val="000000"/>
                <w:sz w:val="22"/>
                <w:szCs w:val="22"/>
                <w:lang w:val="en-US" w:eastAsia="nl-NL"/>
              </w:rPr>
              <m:t>1</m:t>
            </m:r>
          </m:sup>
        </m:sSubSup>
        <m:r>
          <w:rPr>
            <w:rFonts w:ascii="Cambria Math" w:eastAsia="Times New Roman" w:hAnsi="Cambria Math" w:cs="Calibri"/>
            <w:color w:val="000000"/>
            <w:sz w:val="22"/>
            <w:szCs w:val="22"/>
            <w:lang w:val="en-US" w:eastAsia="nl-NL"/>
          </w:rPr>
          <m:t>;</m:t>
        </m:r>
        <m:sSubSup>
          <m:sSubSupPr>
            <m:ctrlPr>
              <w:rPr>
                <w:rFonts w:ascii="Cambria Math" w:eastAsia="Times New Roman" w:hAnsi="Cambria Math" w:cs="Calibri"/>
                <w:i/>
                <w:color w:val="000000"/>
                <w:sz w:val="22"/>
                <w:szCs w:val="22"/>
                <w:lang w:val="en-US" w:eastAsia="nl-NL"/>
              </w:rPr>
            </m:ctrlPr>
          </m:sSubSupPr>
          <m:e>
            <m:r>
              <w:rPr>
                <w:rFonts w:ascii="Cambria Math" w:eastAsia="Times New Roman" w:hAnsi="Cambria Math" w:cs="Calibri"/>
                <w:color w:val="000000"/>
                <w:sz w:val="22"/>
                <w:szCs w:val="22"/>
                <w:lang w:val="en-US" w:eastAsia="nl-NL"/>
              </w:rPr>
              <m:t>H</m:t>
            </m:r>
          </m:e>
          <m:sub>
            <m:r>
              <w:rPr>
                <w:rFonts w:ascii="Cambria Math" w:eastAsia="Times New Roman" w:hAnsi="Cambria Math" w:cs="Calibri"/>
                <w:color w:val="000000"/>
                <w:sz w:val="22"/>
                <w:szCs w:val="22"/>
                <w:lang w:val="en-US" w:eastAsia="nl-NL"/>
              </w:rPr>
              <m:t>dn</m:t>
            </m:r>
          </m:sub>
          <m:sup>
            <m:r>
              <w:rPr>
                <w:rFonts w:ascii="Cambria Math" w:eastAsia="Times New Roman" w:hAnsi="Cambria Math" w:cs="Calibri"/>
                <w:color w:val="000000"/>
                <w:sz w:val="22"/>
                <w:szCs w:val="22"/>
                <w:lang w:val="en-US" w:eastAsia="nl-NL"/>
              </w:rPr>
              <m:t>2</m:t>
            </m:r>
          </m:sup>
        </m:sSubSup>
        <m:r>
          <w:rPr>
            <w:rFonts w:ascii="Cambria Math" w:eastAsia="Times New Roman" w:hAnsi="Cambria Math" w:cs="Calibri"/>
            <w:color w:val="000000"/>
            <w:sz w:val="22"/>
            <w:szCs w:val="22"/>
            <w:lang w:val="en-US" w:eastAsia="nl-NL"/>
          </w:rPr>
          <m:t xml:space="preserve">: </m:t>
        </m:r>
        <m:sSubSup>
          <m:sSubSupPr>
            <m:ctrlPr>
              <w:rPr>
                <w:rFonts w:ascii="Cambria Math" w:eastAsia="Times New Roman" w:hAnsi="Cambria Math" w:cs="Calibri"/>
                <w:i/>
                <w:color w:val="000000"/>
                <w:sz w:val="22"/>
                <w:szCs w:val="22"/>
                <w:lang w:val="en-US" w:eastAsia="nl-NL"/>
              </w:rPr>
            </m:ctrlPr>
          </m:sSubSupPr>
          <m:e>
            <m:r>
              <w:rPr>
                <w:rFonts w:ascii="Cambria Math" w:eastAsia="Times New Roman" w:hAnsi="Cambria Math" w:cs="Calibri"/>
                <w:color w:val="000000"/>
                <w:sz w:val="22"/>
                <w:szCs w:val="22"/>
                <w:lang w:val="en-US" w:eastAsia="nl-NL"/>
              </w:rPr>
              <m:t>β</m:t>
            </m:r>
          </m:e>
          <m:sub>
            <m:r>
              <w:rPr>
                <w:rFonts w:ascii="Cambria Math" w:eastAsia="Times New Roman" w:hAnsi="Cambria Math" w:cs="Calibri"/>
                <w:color w:val="000000"/>
                <w:sz w:val="22"/>
                <w:szCs w:val="22"/>
                <w:lang w:val="en-US" w:eastAsia="nl-NL"/>
              </w:rPr>
              <m:t>network</m:t>
            </m:r>
          </m:sub>
          <m:sup>
            <m:r>
              <w:rPr>
                <w:rFonts w:ascii="Cambria Math" w:eastAsia="Times New Roman" w:hAnsi="Cambria Math" w:cs="Calibri"/>
                <w:color w:val="000000"/>
                <w:sz w:val="22"/>
                <w:szCs w:val="22"/>
                <w:lang w:val="en-US" w:eastAsia="nl-NL"/>
              </w:rPr>
              <m:t>2</m:t>
            </m:r>
          </m:sup>
        </m:sSubSup>
        <m:r>
          <w:rPr>
            <w:rFonts w:ascii="Cambria Math" w:eastAsia="Times New Roman" w:hAnsi="Cambria Math" w:cs="Calibri"/>
            <w:color w:val="000000"/>
            <w:sz w:val="22"/>
            <w:szCs w:val="22"/>
            <w:lang w:val="en-US" w:eastAsia="nl-NL"/>
          </w:rPr>
          <m:t>&lt;</m:t>
        </m:r>
        <m:sSubSup>
          <m:sSubSupPr>
            <m:ctrlPr>
              <w:rPr>
                <w:rFonts w:ascii="Cambria Math" w:eastAsia="Times New Roman" w:hAnsi="Cambria Math" w:cs="Calibri"/>
                <w:i/>
                <w:color w:val="000000"/>
                <w:sz w:val="22"/>
                <w:szCs w:val="22"/>
                <w:lang w:val="en-US" w:eastAsia="nl-NL"/>
              </w:rPr>
            </m:ctrlPr>
          </m:sSubSupPr>
          <m:e>
            <m:r>
              <w:rPr>
                <w:rFonts w:ascii="Cambria Math" w:eastAsia="Times New Roman" w:hAnsi="Cambria Math" w:cs="Calibri"/>
                <w:color w:val="000000"/>
                <w:sz w:val="22"/>
                <w:szCs w:val="22"/>
                <w:lang w:val="en-US" w:eastAsia="nl-NL"/>
              </w:rPr>
              <m:t>β</m:t>
            </m:r>
          </m:e>
          <m:sub>
            <m:r>
              <w:rPr>
                <w:rFonts w:ascii="Cambria Math" w:eastAsia="Times New Roman" w:hAnsi="Cambria Math" w:cs="Calibri"/>
                <w:color w:val="000000"/>
                <w:sz w:val="22"/>
                <w:szCs w:val="22"/>
                <w:lang w:val="en-US" w:eastAsia="nl-NL"/>
              </w:rPr>
              <m:t>dyad</m:t>
            </m:r>
          </m:sub>
          <m:sup>
            <m:r>
              <w:rPr>
                <w:rFonts w:ascii="Cambria Math" w:eastAsia="Times New Roman" w:hAnsi="Cambria Math" w:cs="Calibri"/>
                <w:color w:val="000000"/>
                <w:sz w:val="22"/>
                <w:szCs w:val="22"/>
                <w:lang w:val="en-US" w:eastAsia="nl-NL"/>
              </w:rPr>
              <m:t>2</m:t>
            </m:r>
          </m:sup>
        </m:sSubSup>
        <m:r>
          <w:rPr>
            <w:rFonts w:ascii="Cambria Math" w:eastAsia="Times New Roman" w:hAnsi="Cambria Math" w:cs="Calibri"/>
            <w:color w:val="000000"/>
            <w:sz w:val="22"/>
            <w:szCs w:val="22"/>
            <w:lang w:val="en-US" w:eastAsia="nl-NL"/>
          </w:rPr>
          <m:t>;</m:t>
        </m:r>
        <m:sSubSup>
          <m:sSubSupPr>
            <m:ctrlPr>
              <w:rPr>
                <w:rFonts w:ascii="Cambria Math" w:eastAsia="Times New Roman" w:hAnsi="Cambria Math" w:cs="Calibri"/>
                <w:i/>
                <w:color w:val="000000"/>
                <w:sz w:val="22"/>
                <w:szCs w:val="22"/>
                <w:lang w:val="en-US" w:eastAsia="nl-NL"/>
              </w:rPr>
            </m:ctrlPr>
          </m:sSubSupPr>
          <m:e>
            <m:r>
              <w:rPr>
                <w:rFonts w:ascii="Cambria Math" w:eastAsia="Times New Roman" w:hAnsi="Cambria Math" w:cs="Calibri"/>
                <w:color w:val="000000"/>
                <w:sz w:val="22"/>
                <w:szCs w:val="22"/>
                <w:lang w:val="en-US" w:eastAsia="nl-NL"/>
              </w:rPr>
              <m:t>H</m:t>
            </m:r>
          </m:e>
          <m:sub>
            <m:r>
              <w:rPr>
                <w:rFonts w:ascii="Cambria Math" w:eastAsia="Times New Roman" w:hAnsi="Cambria Math" w:cs="Calibri"/>
                <w:color w:val="000000"/>
                <w:sz w:val="22"/>
                <w:szCs w:val="22"/>
                <w:lang w:val="en-US" w:eastAsia="nl-NL"/>
              </w:rPr>
              <m:t>dn</m:t>
            </m:r>
          </m:sub>
          <m:sup>
            <m:r>
              <w:rPr>
                <w:rFonts w:ascii="Cambria Math" w:eastAsia="Times New Roman" w:hAnsi="Cambria Math" w:cs="Calibri"/>
                <w:color w:val="000000"/>
                <w:sz w:val="22"/>
                <w:szCs w:val="22"/>
                <w:lang w:val="en-US" w:eastAsia="nl-NL"/>
              </w:rPr>
              <m:t>3</m:t>
            </m:r>
          </m:sup>
        </m:sSubSup>
        <m:r>
          <w:rPr>
            <w:rFonts w:ascii="Cambria Math" w:eastAsia="Times New Roman" w:hAnsi="Cambria Math" w:cs="Calibri"/>
            <w:color w:val="000000"/>
            <w:sz w:val="22"/>
            <w:szCs w:val="22"/>
            <w:lang w:val="en-US" w:eastAsia="nl-NL"/>
          </w:rPr>
          <m:t xml:space="preserve">: </m:t>
        </m:r>
        <m:sSubSup>
          <m:sSubSupPr>
            <m:ctrlPr>
              <w:rPr>
                <w:rFonts w:ascii="Cambria Math" w:eastAsia="Times New Roman" w:hAnsi="Cambria Math" w:cs="Calibri"/>
                <w:i/>
                <w:color w:val="000000"/>
                <w:sz w:val="22"/>
                <w:szCs w:val="22"/>
                <w:lang w:val="en-US" w:eastAsia="nl-NL"/>
              </w:rPr>
            </m:ctrlPr>
          </m:sSubSupPr>
          <m:e>
            <m:r>
              <w:rPr>
                <w:rFonts w:ascii="Cambria Math" w:eastAsia="Times New Roman" w:hAnsi="Cambria Math" w:cs="Calibri"/>
                <w:color w:val="000000"/>
                <w:sz w:val="22"/>
                <w:szCs w:val="22"/>
                <w:lang w:val="en-US" w:eastAsia="nl-NL"/>
              </w:rPr>
              <m:t>β</m:t>
            </m:r>
          </m:e>
          <m:sub>
            <m:r>
              <w:rPr>
                <w:rFonts w:ascii="Cambria Math" w:eastAsia="Times New Roman" w:hAnsi="Cambria Math" w:cs="Calibri"/>
                <w:color w:val="000000"/>
                <w:sz w:val="22"/>
                <w:szCs w:val="22"/>
                <w:lang w:val="en-US" w:eastAsia="nl-NL"/>
              </w:rPr>
              <m:t>network</m:t>
            </m:r>
          </m:sub>
          <m:sup>
            <m:r>
              <w:rPr>
                <w:rFonts w:ascii="Cambria Math" w:eastAsia="Times New Roman" w:hAnsi="Cambria Math" w:cs="Calibri"/>
                <w:color w:val="000000"/>
                <w:sz w:val="22"/>
                <w:szCs w:val="22"/>
                <w:lang w:val="en-US" w:eastAsia="nl-NL"/>
              </w:rPr>
              <m:t>3</m:t>
            </m:r>
          </m:sup>
        </m:sSubSup>
        <m:r>
          <w:rPr>
            <w:rFonts w:ascii="Cambria Math" w:eastAsia="Times New Roman" w:hAnsi="Cambria Math" w:cs="Calibri"/>
            <w:color w:val="000000"/>
            <w:sz w:val="22"/>
            <w:szCs w:val="22"/>
            <w:lang w:val="en-US" w:eastAsia="nl-NL"/>
          </w:rPr>
          <m:t>&lt;</m:t>
        </m:r>
        <m:sSubSup>
          <m:sSubSupPr>
            <m:ctrlPr>
              <w:rPr>
                <w:rFonts w:ascii="Cambria Math" w:eastAsia="Times New Roman" w:hAnsi="Cambria Math" w:cs="Calibri"/>
                <w:i/>
                <w:color w:val="000000"/>
                <w:sz w:val="22"/>
                <w:szCs w:val="22"/>
                <w:lang w:val="en-US" w:eastAsia="nl-NL"/>
              </w:rPr>
            </m:ctrlPr>
          </m:sSubSupPr>
          <m:e>
            <m:r>
              <w:rPr>
                <w:rFonts w:ascii="Cambria Math" w:eastAsia="Times New Roman" w:hAnsi="Cambria Math" w:cs="Calibri"/>
                <w:color w:val="000000"/>
                <w:sz w:val="22"/>
                <w:szCs w:val="22"/>
                <w:lang w:val="en-US" w:eastAsia="nl-NL"/>
              </w:rPr>
              <m:t>β</m:t>
            </m:r>
          </m:e>
          <m:sub>
            <m:r>
              <w:rPr>
                <w:rFonts w:ascii="Cambria Math" w:eastAsia="Times New Roman" w:hAnsi="Cambria Math" w:cs="Calibri"/>
                <w:color w:val="000000"/>
                <w:sz w:val="22"/>
                <w:szCs w:val="22"/>
                <w:lang w:val="en-US" w:eastAsia="nl-NL"/>
              </w:rPr>
              <m:t>dyad</m:t>
            </m:r>
          </m:sub>
          <m:sup>
            <m:r>
              <w:rPr>
                <w:rFonts w:ascii="Cambria Math" w:eastAsia="Times New Roman" w:hAnsi="Cambria Math" w:cs="Calibri"/>
                <w:color w:val="000000"/>
                <w:sz w:val="22"/>
                <w:szCs w:val="22"/>
                <w:lang w:val="en-US" w:eastAsia="nl-NL"/>
              </w:rPr>
              <m:t>3</m:t>
            </m:r>
          </m:sup>
        </m:sSubSup>
      </m:oMath>
      <w:r w:rsidR="0036069D" w:rsidRPr="003248C0">
        <w:rPr>
          <w:rFonts w:ascii="Calibri" w:eastAsia="Times New Roman" w:hAnsi="Calibri" w:cs="Calibri"/>
          <w:color w:val="000000"/>
          <w:sz w:val="22"/>
          <w:szCs w:val="22"/>
          <w:lang w:val="en-US" w:eastAsia="nl-NL"/>
        </w:rPr>
        <w:t xml:space="preserve">, where each </w:t>
      </w:r>
      <m:oMath>
        <m:r>
          <w:rPr>
            <w:rFonts w:ascii="Cambria Math" w:eastAsia="Times New Roman" w:hAnsi="Cambria Math" w:cs="Calibri"/>
            <w:color w:val="000000"/>
            <w:sz w:val="22"/>
            <w:szCs w:val="22"/>
            <w:lang w:val="en-US" w:eastAsia="nl-NL"/>
          </w:rPr>
          <m:t>β</m:t>
        </m:r>
      </m:oMath>
      <w:r w:rsidR="0036069D" w:rsidRPr="003248C0">
        <w:rPr>
          <w:rFonts w:ascii="Calibri" w:eastAsia="Times New Roman" w:hAnsi="Calibri" w:cs="Calibri"/>
          <w:color w:val="000000"/>
          <w:sz w:val="22"/>
          <w:szCs w:val="22"/>
          <w:lang w:val="en-US" w:eastAsia="nl-NL"/>
        </w:rPr>
        <w:t xml:space="preserve"> addresses one of the t</w:t>
      </w:r>
      <w:proofErr w:type="spellStart"/>
      <w:r w:rsidR="0036069D" w:rsidRPr="003248C0">
        <w:rPr>
          <w:rFonts w:ascii="Calibri" w:eastAsia="Times New Roman" w:hAnsi="Calibri" w:cs="Calibri"/>
          <w:color w:val="000000"/>
          <w:sz w:val="22"/>
          <w:szCs w:val="22"/>
          <w:lang w:val="en-US" w:eastAsia="nl-NL"/>
        </w:rPr>
        <w:t>hree</w:t>
      </w:r>
      <w:proofErr w:type="spellEnd"/>
      <w:r w:rsidR="0036069D" w:rsidRPr="003248C0">
        <w:rPr>
          <w:rFonts w:ascii="Calibri" w:eastAsia="Times New Roman" w:hAnsi="Calibri" w:cs="Calibri"/>
          <w:color w:val="000000"/>
          <w:sz w:val="22"/>
          <w:szCs w:val="22"/>
          <w:lang w:val="en-US" w:eastAsia="nl-NL"/>
        </w:rPr>
        <w:t xml:space="preserve"> operationalizations of network control effects.</w:t>
      </w:r>
    </w:p>
    <w:p w:rsidR="007341FF" w:rsidRPr="003248C0" w:rsidRDefault="007341FF" w:rsidP="007341FF">
      <w:pPr>
        <w:rPr>
          <w:rFonts w:ascii="Calibri" w:eastAsia="Times New Roman" w:hAnsi="Calibri" w:cs="Calibri"/>
          <w:color w:val="000000"/>
          <w:sz w:val="22"/>
          <w:szCs w:val="22"/>
          <w:lang w:val="en-US" w:eastAsia="nl-NL"/>
        </w:rPr>
      </w:pPr>
    </w:p>
    <w:p w:rsidR="007341FF" w:rsidRPr="003248C0" w:rsidRDefault="007341FF" w:rsidP="007341FF">
      <w:pPr>
        <w:rPr>
          <w:rFonts w:ascii="Calibri" w:eastAsia="Times New Roman" w:hAnsi="Calibri" w:cs="Calibri"/>
          <w:i/>
          <w:color w:val="000000"/>
          <w:sz w:val="22"/>
          <w:szCs w:val="22"/>
          <w:lang w:val="en-US" w:eastAsia="nl-NL"/>
        </w:rPr>
      </w:pPr>
      <w:r w:rsidRPr="003248C0">
        <w:rPr>
          <w:rFonts w:ascii="Calibri" w:eastAsia="Times New Roman" w:hAnsi="Calibri" w:cs="Calibri"/>
          <w:i/>
          <w:color w:val="000000"/>
          <w:sz w:val="22"/>
          <w:szCs w:val="22"/>
          <w:lang w:val="en-US" w:eastAsia="nl-NL"/>
        </w:rPr>
        <w:t xml:space="preserve">Table </w:t>
      </w:r>
      <w:r w:rsidR="002F3296">
        <w:rPr>
          <w:rFonts w:ascii="Calibri" w:eastAsia="Times New Roman" w:hAnsi="Calibri" w:cs="Calibri"/>
          <w:i/>
          <w:color w:val="000000"/>
          <w:sz w:val="22"/>
          <w:szCs w:val="22"/>
          <w:lang w:val="en-US" w:eastAsia="nl-NL"/>
        </w:rPr>
        <w:t>2</w:t>
      </w:r>
    </w:p>
    <w:p w:rsidR="007341FF" w:rsidRDefault="007341FF" w:rsidP="007341FF">
      <w:pPr>
        <w:rPr>
          <w:rFonts w:ascii="Calibri" w:eastAsia="Times New Roman" w:hAnsi="Calibri" w:cs="Calibri"/>
          <w:color w:val="000000"/>
          <w:sz w:val="22"/>
          <w:szCs w:val="22"/>
          <w:lang w:val="en-US" w:eastAsia="nl-NL"/>
        </w:rPr>
      </w:pPr>
      <w:r w:rsidRPr="003248C0">
        <w:rPr>
          <w:rFonts w:ascii="Calibri" w:eastAsia="Times New Roman" w:hAnsi="Calibri" w:cs="Calibri"/>
          <w:color w:val="000000"/>
          <w:sz w:val="22"/>
          <w:szCs w:val="22"/>
          <w:lang w:val="en-US" w:eastAsia="nl-NL"/>
        </w:rPr>
        <w:t xml:space="preserve">Overview of the concepts of interest included in the study by Bolton, </w:t>
      </w:r>
      <w:proofErr w:type="spellStart"/>
      <w:r w:rsidRPr="003248C0">
        <w:rPr>
          <w:rFonts w:ascii="Calibri" w:eastAsia="Times New Roman" w:hAnsi="Calibri" w:cs="Calibri"/>
          <w:color w:val="000000"/>
          <w:sz w:val="22"/>
          <w:szCs w:val="22"/>
          <w:lang w:val="en-US" w:eastAsia="nl-NL"/>
        </w:rPr>
        <w:t>Katok</w:t>
      </w:r>
      <w:proofErr w:type="spellEnd"/>
      <w:r w:rsidRPr="003248C0">
        <w:rPr>
          <w:rFonts w:ascii="Calibri" w:eastAsia="Times New Roman" w:hAnsi="Calibri" w:cs="Calibri"/>
          <w:color w:val="000000"/>
          <w:sz w:val="22"/>
          <w:szCs w:val="22"/>
          <w:lang w:val="en-US" w:eastAsia="nl-NL"/>
        </w:rPr>
        <w:t xml:space="preserve"> and </w:t>
      </w:r>
      <w:proofErr w:type="spellStart"/>
      <w:r w:rsidRPr="003248C0">
        <w:rPr>
          <w:rFonts w:ascii="Calibri" w:eastAsia="Times New Roman" w:hAnsi="Calibri" w:cs="Calibri"/>
          <w:color w:val="000000"/>
          <w:sz w:val="22"/>
          <w:szCs w:val="22"/>
          <w:lang w:val="en-US" w:eastAsia="nl-NL"/>
        </w:rPr>
        <w:t>Ockenfels</w:t>
      </w:r>
      <w:proofErr w:type="spellEnd"/>
      <w:r w:rsidRPr="003248C0">
        <w:rPr>
          <w:rFonts w:ascii="Calibri" w:eastAsia="Times New Roman" w:hAnsi="Calibri" w:cs="Calibri"/>
          <w:color w:val="000000"/>
          <w:sz w:val="22"/>
          <w:szCs w:val="22"/>
          <w:lang w:val="en-US" w:eastAsia="nl-NL"/>
        </w:rPr>
        <w:t xml:space="preserve"> (2004), and how these concepts can be translated into actual operationalizations. </w:t>
      </w:r>
    </w:p>
    <w:p w:rsidR="002A6FA1" w:rsidRDefault="002A6FA1" w:rsidP="007341FF">
      <w:pPr>
        <w:rPr>
          <w:rFonts w:ascii="Calibri" w:eastAsia="Times New Roman" w:hAnsi="Calibri" w:cs="Calibri"/>
          <w:color w:val="000000"/>
          <w:sz w:val="22"/>
          <w:szCs w:val="22"/>
          <w:lang w:val="en-US" w:eastAsia="nl-NL"/>
        </w:rPr>
      </w:pPr>
    </w:p>
    <w:tbl>
      <w:tblPr>
        <w:tblStyle w:val="Onopgemaaktetabel2"/>
        <w:tblW w:w="0" w:type="auto"/>
        <w:tblLook w:val="04A0" w:firstRow="1" w:lastRow="0" w:firstColumn="1" w:lastColumn="0" w:noHBand="0" w:noVBand="1"/>
      </w:tblPr>
      <w:tblGrid>
        <w:gridCol w:w="1843"/>
        <w:gridCol w:w="1701"/>
        <w:gridCol w:w="6906"/>
      </w:tblGrid>
      <w:tr w:rsidR="002A6FA1" w:rsidTr="00907C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A6FA1" w:rsidRPr="00D82331" w:rsidRDefault="002A6FA1" w:rsidP="007341FF">
            <w:pPr>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Construct</w:t>
            </w:r>
          </w:p>
        </w:tc>
        <w:tc>
          <w:tcPr>
            <w:tcW w:w="1701" w:type="dxa"/>
          </w:tcPr>
          <w:p w:rsidR="002A6FA1" w:rsidRPr="00D82331" w:rsidRDefault="002A6FA1" w:rsidP="007341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Variable</w:t>
            </w:r>
          </w:p>
        </w:tc>
        <w:tc>
          <w:tcPr>
            <w:tcW w:w="6906" w:type="dxa"/>
          </w:tcPr>
          <w:p w:rsidR="002A6FA1" w:rsidRPr="00D82331" w:rsidRDefault="002A6FA1" w:rsidP="007341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Operationalization</w:t>
            </w:r>
          </w:p>
        </w:tc>
      </w:tr>
      <w:tr w:rsidR="001364AD" w:rsidTr="00907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64AD" w:rsidRPr="00D82331" w:rsidRDefault="001364AD" w:rsidP="007341FF">
            <w:pPr>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Role</w:t>
            </w:r>
          </w:p>
        </w:tc>
        <w:tc>
          <w:tcPr>
            <w:tcW w:w="1701" w:type="dxa"/>
          </w:tcPr>
          <w:p w:rsidR="001364AD" w:rsidRPr="00D82331" w:rsidRDefault="001364AD" w:rsidP="007341F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Role</w:t>
            </w:r>
          </w:p>
        </w:tc>
        <w:tc>
          <w:tcPr>
            <w:tcW w:w="6906" w:type="dxa"/>
          </w:tcPr>
          <w:p w:rsidR="001364AD" w:rsidRPr="00D82331" w:rsidRDefault="001364AD" w:rsidP="007341F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Trustor = 0; trustee = 1 (to estimate interaction terms).</w:t>
            </w:r>
          </w:p>
        </w:tc>
      </w:tr>
      <w:tr w:rsidR="002A6FA1" w:rsidTr="00907CC3">
        <w:tc>
          <w:tcPr>
            <w:cnfStyle w:val="001000000000" w:firstRow="0" w:lastRow="0" w:firstColumn="1" w:lastColumn="0" w:oddVBand="0" w:evenVBand="0" w:oddHBand="0" w:evenHBand="0" w:firstRowFirstColumn="0" w:firstRowLastColumn="0" w:lastRowFirstColumn="0" w:lastRowLastColumn="0"/>
            <w:tcW w:w="1843" w:type="dxa"/>
          </w:tcPr>
          <w:p w:rsidR="002A6FA1" w:rsidRPr="00D82331" w:rsidRDefault="002A6FA1" w:rsidP="007341FF">
            <w:pPr>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Embeddedness</w:t>
            </w:r>
          </w:p>
        </w:tc>
        <w:tc>
          <w:tcPr>
            <w:tcW w:w="1701" w:type="dxa"/>
          </w:tcPr>
          <w:p w:rsidR="002A6FA1" w:rsidRPr="00D82331" w:rsidRDefault="002A6FA1" w:rsidP="007341F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Treatment</w:t>
            </w:r>
          </w:p>
        </w:tc>
        <w:tc>
          <w:tcPr>
            <w:tcW w:w="6906" w:type="dxa"/>
          </w:tcPr>
          <w:p w:rsidR="002A6FA1" w:rsidRPr="00D82331" w:rsidRDefault="002A6FA1" w:rsidP="007341F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Network = 1 if treatment = network</w:t>
            </w:r>
          </w:p>
          <w:p w:rsidR="002A6FA1" w:rsidRPr="00D82331" w:rsidRDefault="002A6FA1" w:rsidP="007341F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Dyadic = 1 if treatment = dyadic</w:t>
            </w:r>
          </w:p>
        </w:tc>
      </w:tr>
      <w:tr w:rsidR="002A6FA1" w:rsidTr="00907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A6FA1" w:rsidRPr="00D82331" w:rsidRDefault="002A6FA1" w:rsidP="007341FF">
            <w:pPr>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Trust</w:t>
            </w:r>
          </w:p>
        </w:tc>
        <w:tc>
          <w:tcPr>
            <w:tcW w:w="1701" w:type="dxa"/>
          </w:tcPr>
          <w:p w:rsidR="002A6FA1" w:rsidRPr="00D82331" w:rsidRDefault="002A6FA1" w:rsidP="007341F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Trust</w:t>
            </w:r>
          </w:p>
        </w:tc>
        <w:tc>
          <w:tcPr>
            <w:tcW w:w="6906" w:type="dxa"/>
          </w:tcPr>
          <w:p w:rsidR="002A6FA1" w:rsidRPr="00D82331" w:rsidRDefault="002A6FA1" w:rsidP="007341F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Placed trust (trustor) or honored trust (trustee)</w:t>
            </w:r>
          </w:p>
        </w:tc>
      </w:tr>
      <w:tr w:rsidR="002A6FA1" w:rsidTr="00907CC3">
        <w:tc>
          <w:tcPr>
            <w:cnfStyle w:val="001000000000" w:firstRow="0" w:lastRow="0" w:firstColumn="1" w:lastColumn="0" w:oddVBand="0" w:evenVBand="0" w:oddHBand="0" w:evenHBand="0" w:firstRowFirstColumn="0" w:firstRowLastColumn="0" w:lastRowFirstColumn="0" w:lastRowLastColumn="0"/>
            <w:tcW w:w="1843" w:type="dxa"/>
          </w:tcPr>
          <w:p w:rsidR="002A6FA1" w:rsidRPr="00D82331" w:rsidRDefault="002A6FA1" w:rsidP="007341FF">
            <w:pPr>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Control</w:t>
            </w:r>
          </w:p>
        </w:tc>
        <w:tc>
          <w:tcPr>
            <w:tcW w:w="1701" w:type="dxa"/>
          </w:tcPr>
          <w:p w:rsidR="002A6FA1" w:rsidRPr="00D82331" w:rsidRDefault="002A6FA1" w:rsidP="007341F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Round</w:t>
            </w:r>
          </w:p>
        </w:tc>
        <w:tc>
          <w:tcPr>
            <w:tcW w:w="6906" w:type="dxa"/>
          </w:tcPr>
          <w:p w:rsidR="002F3296" w:rsidRPr="00D82331" w:rsidRDefault="002F3296" w:rsidP="002F32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Interaction with role, to estimate separately for trustor and trustee.</w:t>
            </w:r>
          </w:p>
          <w:p w:rsidR="002F3296" w:rsidRPr="00D82331" w:rsidRDefault="002F3296" w:rsidP="002A6F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Interaction with treatment, to estimate separately over the conditions.</w:t>
            </w:r>
          </w:p>
          <w:p w:rsidR="002A6FA1" w:rsidRPr="00D82331" w:rsidRDefault="002A6FA1" w:rsidP="002A6F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1.Focus on first round behavior (no learning yet).</w:t>
            </w:r>
          </w:p>
          <w:p w:rsidR="002A6FA1" w:rsidRPr="00D82331" w:rsidRDefault="002A6FA1" w:rsidP="002A6F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2. Focus on first round in which trust is not placed/first abused (all actors have exactly the same amount of learning until that moment (i.e., they know nothing that is unique to their interactions).</w:t>
            </w:r>
          </w:p>
          <w:p w:rsidR="002A6FA1" w:rsidRPr="00D82331" w:rsidRDefault="002A6FA1" w:rsidP="002A6F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3.Statistically control for learning (see next row).</w:t>
            </w:r>
          </w:p>
        </w:tc>
      </w:tr>
      <w:tr w:rsidR="002A6FA1" w:rsidTr="00907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A6FA1" w:rsidRPr="00D82331" w:rsidRDefault="001364AD" w:rsidP="007341FF">
            <w:pPr>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Learning</w:t>
            </w:r>
          </w:p>
        </w:tc>
        <w:tc>
          <w:tcPr>
            <w:tcW w:w="1701" w:type="dxa"/>
          </w:tcPr>
          <w:p w:rsidR="002A6FA1" w:rsidRPr="00D82331" w:rsidRDefault="001364AD" w:rsidP="007341F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Past trust</w:t>
            </w:r>
          </w:p>
        </w:tc>
        <w:tc>
          <w:tcPr>
            <w:tcW w:w="6906" w:type="dxa"/>
          </w:tcPr>
          <w:p w:rsidR="002A6FA1" w:rsidRPr="00D82331" w:rsidRDefault="001364AD" w:rsidP="007341F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Interaction with role, to estimate separately for trustor and trustee</w:t>
            </w:r>
          </w:p>
          <w:p w:rsidR="001364AD" w:rsidRPr="00D82331" w:rsidRDefault="001364AD" w:rsidP="007341F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 xml:space="preserve">Sum past times </w:t>
            </w:r>
            <w:r w:rsidR="00907CC3" w:rsidRPr="00D82331">
              <w:rPr>
                <w:rFonts w:ascii="Calibri" w:eastAsia="Times New Roman" w:hAnsi="Calibri" w:cs="Calibri"/>
                <w:color w:val="000000"/>
                <w:sz w:val="20"/>
                <w:szCs w:val="20"/>
                <w:lang w:val="en-US" w:eastAsia="nl-NL"/>
              </w:rPr>
              <w:t>trustor’s trust was abused</w:t>
            </w:r>
            <w:r w:rsidRPr="00D82331">
              <w:rPr>
                <w:rFonts w:ascii="Calibri" w:eastAsia="Times New Roman" w:hAnsi="Calibri" w:cs="Calibri"/>
                <w:color w:val="000000"/>
                <w:sz w:val="20"/>
                <w:szCs w:val="20"/>
                <w:lang w:val="en-US" w:eastAsia="nl-NL"/>
              </w:rPr>
              <w:t xml:space="preserve"> (all zero for trustee</w:t>
            </w:r>
            <w:r w:rsidR="00907CC3" w:rsidRPr="00D82331">
              <w:rPr>
                <w:rFonts w:ascii="Calibri" w:eastAsia="Times New Roman" w:hAnsi="Calibri" w:cs="Calibri"/>
                <w:color w:val="000000"/>
                <w:sz w:val="20"/>
                <w:szCs w:val="20"/>
                <w:lang w:val="en-US" w:eastAsia="nl-NL"/>
              </w:rPr>
              <w:t>)</w:t>
            </w:r>
          </w:p>
          <w:p w:rsidR="00907CC3" w:rsidRPr="00D82331" w:rsidRDefault="00907CC3" w:rsidP="007341F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 xml:space="preserve">Sum past times trustee abused </w:t>
            </w:r>
            <w:proofErr w:type="gramStart"/>
            <w:r w:rsidRPr="00D82331">
              <w:rPr>
                <w:rFonts w:ascii="Calibri" w:eastAsia="Times New Roman" w:hAnsi="Calibri" w:cs="Calibri"/>
                <w:color w:val="000000"/>
                <w:sz w:val="20"/>
                <w:szCs w:val="20"/>
                <w:lang w:val="en-US" w:eastAsia="nl-NL"/>
              </w:rPr>
              <w:t>other</w:t>
            </w:r>
            <w:proofErr w:type="gramEnd"/>
            <w:r w:rsidRPr="00D82331">
              <w:rPr>
                <w:rFonts w:ascii="Calibri" w:eastAsia="Times New Roman" w:hAnsi="Calibri" w:cs="Calibri"/>
                <w:color w:val="000000"/>
                <w:sz w:val="20"/>
                <w:szCs w:val="20"/>
                <w:lang w:val="en-US" w:eastAsia="nl-NL"/>
              </w:rPr>
              <w:t xml:space="preserve"> trustors’ trust (all zero for trustee)</w:t>
            </w:r>
          </w:p>
          <w:p w:rsidR="00907CC3" w:rsidRPr="00D82331" w:rsidRDefault="00907CC3" w:rsidP="007341F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US" w:eastAsia="nl-NL"/>
              </w:rPr>
            </w:pPr>
            <w:r w:rsidRPr="00D82331">
              <w:rPr>
                <w:rFonts w:ascii="Calibri" w:eastAsia="Times New Roman" w:hAnsi="Calibri" w:cs="Calibri"/>
                <w:color w:val="000000"/>
                <w:sz w:val="20"/>
                <w:szCs w:val="20"/>
                <w:lang w:val="en-US" w:eastAsia="nl-NL"/>
              </w:rPr>
              <w:t>Sum past times trustors placed trust against trustee (all zero for trustor)</w:t>
            </w:r>
          </w:p>
        </w:tc>
      </w:tr>
    </w:tbl>
    <w:p w:rsidR="002A6FA1" w:rsidRDefault="002A6FA1" w:rsidP="007341FF">
      <w:pPr>
        <w:rPr>
          <w:rFonts w:ascii="Calibri" w:eastAsia="Times New Roman" w:hAnsi="Calibri" w:cs="Calibri"/>
          <w:color w:val="000000"/>
          <w:sz w:val="22"/>
          <w:szCs w:val="22"/>
          <w:lang w:val="en-US" w:eastAsia="nl-NL"/>
        </w:rPr>
      </w:pPr>
    </w:p>
    <w:p w:rsidR="002F3296" w:rsidRDefault="002F3296" w:rsidP="00CE378E">
      <w:pPr>
        <w:ind w:firstLine="360"/>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 xml:space="preserve">Table 2 displays the operationalizations of the key variables schematically, while a more in-depth discussion of these measures can be found in the paragraph above. Similar measures can be constructed for the other studies in the first group of studies (Study 1-7). </w:t>
      </w:r>
      <w:r w:rsidR="00CE378E">
        <w:rPr>
          <w:rFonts w:ascii="Calibri" w:eastAsia="Times New Roman" w:hAnsi="Calibri" w:cs="Calibri"/>
          <w:color w:val="000000"/>
          <w:sz w:val="22"/>
          <w:szCs w:val="22"/>
          <w:lang w:val="en-US" w:eastAsia="nl-NL"/>
        </w:rPr>
        <w:t>It must be noted that these studies differ in terms of sample size, the number of rounds that will be played, and possibly in terms of how the information is transmitted. Yet, these differences are too small to discuss extensively here. Also note that</w:t>
      </w:r>
      <w:r>
        <w:rPr>
          <w:rFonts w:ascii="Calibri" w:eastAsia="Times New Roman" w:hAnsi="Calibri" w:cs="Calibri"/>
          <w:color w:val="000000"/>
          <w:sz w:val="22"/>
          <w:szCs w:val="22"/>
          <w:lang w:val="en-US" w:eastAsia="nl-NL"/>
        </w:rPr>
        <w:t xml:space="preserve"> Studies 5-</w:t>
      </w:r>
      <w:r w:rsidR="00CE378E">
        <w:rPr>
          <w:rFonts w:ascii="Calibri" w:eastAsia="Times New Roman" w:hAnsi="Calibri" w:cs="Calibri"/>
          <w:color w:val="000000"/>
          <w:sz w:val="22"/>
          <w:szCs w:val="22"/>
          <w:lang w:val="en-US" w:eastAsia="nl-NL"/>
        </w:rPr>
        <w:t>7</w:t>
      </w:r>
      <w:r>
        <w:rPr>
          <w:rFonts w:ascii="Calibri" w:eastAsia="Times New Roman" w:hAnsi="Calibri" w:cs="Calibri"/>
          <w:color w:val="000000"/>
          <w:sz w:val="22"/>
          <w:szCs w:val="22"/>
          <w:lang w:val="en-US" w:eastAsia="nl-NL"/>
        </w:rPr>
        <w:t xml:space="preserve"> do not distinguish between trustors and trustees, because they play different games. Hence, in these studies, the distinction between trustors and trustees disappears, because all actors have the same role. These actors can decide to cooperate or to defect, but whether one cooperates or defects to protect against opportunistic behavior by one’s partner, or to try to exploit one’s partner, cannot be </w:t>
      </w:r>
      <w:r w:rsidR="00CE378E">
        <w:rPr>
          <w:rFonts w:ascii="Calibri" w:eastAsia="Times New Roman" w:hAnsi="Calibri" w:cs="Calibri"/>
          <w:color w:val="000000"/>
          <w:sz w:val="22"/>
          <w:szCs w:val="22"/>
          <w:lang w:val="en-US" w:eastAsia="nl-NL"/>
        </w:rPr>
        <w:t>distinguished.</w:t>
      </w:r>
      <w:r>
        <w:rPr>
          <w:rFonts w:ascii="Calibri" w:eastAsia="Times New Roman" w:hAnsi="Calibri" w:cs="Calibri"/>
          <w:color w:val="000000"/>
          <w:sz w:val="22"/>
          <w:szCs w:val="22"/>
          <w:lang w:val="en-US" w:eastAsia="nl-NL"/>
        </w:rPr>
        <w:t xml:space="preserve"> </w:t>
      </w:r>
    </w:p>
    <w:p w:rsidR="00CE378E" w:rsidRDefault="00CE378E" w:rsidP="00CE378E">
      <w:pPr>
        <w:ind w:firstLine="360"/>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 xml:space="preserve">The second group of studies uses a different operationalization of network embeddedness, as shown in Table 1. </w:t>
      </w:r>
      <w:r w:rsidR="00F81608">
        <w:rPr>
          <w:rFonts w:ascii="Calibri" w:eastAsia="Times New Roman" w:hAnsi="Calibri" w:cs="Calibri"/>
          <w:color w:val="000000"/>
          <w:sz w:val="22"/>
          <w:szCs w:val="22"/>
          <w:lang w:val="en-US" w:eastAsia="nl-NL"/>
        </w:rPr>
        <w:t xml:space="preserve">The study by Frey, Corten &amp; </w:t>
      </w:r>
      <w:proofErr w:type="spellStart"/>
      <w:r w:rsidR="00F81608">
        <w:rPr>
          <w:rFonts w:ascii="Calibri" w:eastAsia="Times New Roman" w:hAnsi="Calibri" w:cs="Calibri"/>
          <w:color w:val="000000"/>
          <w:sz w:val="22"/>
          <w:szCs w:val="22"/>
          <w:lang w:val="en-US" w:eastAsia="nl-NL"/>
        </w:rPr>
        <w:t>Buskens</w:t>
      </w:r>
      <w:proofErr w:type="spellEnd"/>
      <w:r w:rsidR="00F81608">
        <w:rPr>
          <w:rFonts w:ascii="Calibri" w:eastAsia="Times New Roman" w:hAnsi="Calibri" w:cs="Calibri"/>
          <w:color w:val="000000"/>
          <w:sz w:val="22"/>
          <w:szCs w:val="22"/>
          <w:lang w:val="en-US" w:eastAsia="nl-NL"/>
        </w:rPr>
        <w:t xml:space="preserve"> (2019) is exemplary for this group of studies, and hence will be discussed in more depth.</w:t>
      </w:r>
      <w:r>
        <w:rPr>
          <w:rFonts w:ascii="Calibri" w:eastAsia="Times New Roman" w:hAnsi="Calibri" w:cs="Calibri"/>
          <w:color w:val="000000"/>
          <w:sz w:val="22"/>
          <w:szCs w:val="22"/>
          <w:lang w:val="en-US" w:eastAsia="nl-NL"/>
        </w:rPr>
        <w:t xml:space="preserve"> </w:t>
      </w:r>
      <w:r w:rsidR="00F81608">
        <w:rPr>
          <w:rFonts w:ascii="Calibri" w:eastAsia="Times New Roman" w:hAnsi="Calibri" w:cs="Calibri"/>
          <w:color w:val="000000"/>
          <w:sz w:val="22"/>
          <w:szCs w:val="22"/>
          <w:lang w:val="en-US" w:eastAsia="nl-NL"/>
        </w:rPr>
        <w:t xml:space="preserve">In the study by Frey et al. (2019) </w:t>
      </w:r>
      <w:r>
        <w:rPr>
          <w:rFonts w:ascii="Calibri" w:eastAsia="Times New Roman" w:hAnsi="Calibri" w:cs="Calibri"/>
          <w:color w:val="000000"/>
          <w:sz w:val="22"/>
          <w:szCs w:val="22"/>
          <w:lang w:val="en-US" w:eastAsia="nl-NL"/>
        </w:rPr>
        <w:t xml:space="preserve">network embeddedness is characterized as a small network, in which two trustors interact 6 times with a single trustee, while both trustors receive information on the behavior of the trustee against both trustors. Hence, this network represents a small network with full information exchange between all actors. The baseline condition is a condition without a network, that is, a trustor and a trustee are involved in a repeated interaction of 6 rounds, while no information is exchanged between actors that are not involved in the focal transaction. </w:t>
      </w:r>
      <w:r w:rsidR="00F81608">
        <w:rPr>
          <w:rFonts w:ascii="Calibri" w:eastAsia="Times New Roman" w:hAnsi="Calibri" w:cs="Calibri"/>
          <w:color w:val="000000"/>
          <w:sz w:val="22"/>
          <w:szCs w:val="22"/>
          <w:lang w:val="en-US" w:eastAsia="nl-NL"/>
        </w:rPr>
        <w:t xml:space="preserve">In the experiment, 114 people participated in both conditions, and all played 12 repeated games of six rounds each, and played all roles (Trustor 1, Trustor 2, Trustee) in every condition (Dyadic Embeddedness, Network Embeddedness) twice. </w:t>
      </w:r>
    </w:p>
    <w:p w:rsidR="00D04BBE" w:rsidRDefault="00F81608" w:rsidP="00CE378E">
      <w:pPr>
        <w:ind w:firstLine="360"/>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lastRenderedPageBreak/>
        <w:t xml:space="preserve">The variables that were measured in this experiment were relatively similar to the variables </w:t>
      </w:r>
      <w:r w:rsidR="00767D2D">
        <w:rPr>
          <w:rFonts w:ascii="Calibri" w:eastAsia="Times New Roman" w:hAnsi="Calibri" w:cs="Calibri"/>
          <w:color w:val="000000"/>
          <w:sz w:val="22"/>
          <w:szCs w:val="22"/>
          <w:lang w:val="en-US" w:eastAsia="nl-NL"/>
        </w:rPr>
        <w:t xml:space="preserve">explained in the section on the study by Bolton, </w:t>
      </w:r>
      <w:proofErr w:type="spellStart"/>
      <w:r w:rsidR="00767D2D">
        <w:rPr>
          <w:rFonts w:ascii="Calibri" w:eastAsia="Times New Roman" w:hAnsi="Calibri" w:cs="Calibri"/>
          <w:color w:val="000000"/>
          <w:sz w:val="22"/>
          <w:szCs w:val="22"/>
          <w:lang w:val="en-US" w:eastAsia="nl-NL"/>
        </w:rPr>
        <w:t>Katok</w:t>
      </w:r>
      <w:proofErr w:type="spellEnd"/>
      <w:r w:rsidR="00767D2D">
        <w:rPr>
          <w:rFonts w:ascii="Calibri" w:eastAsia="Times New Roman" w:hAnsi="Calibri" w:cs="Calibri"/>
          <w:color w:val="000000"/>
          <w:sz w:val="22"/>
          <w:szCs w:val="22"/>
          <w:lang w:val="en-US" w:eastAsia="nl-NL"/>
        </w:rPr>
        <w:t xml:space="preserve"> &amp; </w:t>
      </w:r>
      <w:proofErr w:type="spellStart"/>
      <w:r w:rsidR="00767D2D">
        <w:rPr>
          <w:rFonts w:ascii="Calibri" w:eastAsia="Times New Roman" w:hAnsi="Calibri" w:cs="Calibri"/>
          <w:color w:val="000000"/>
          <w:sz w:val="22"/>
          <w:szCs w:val="22"/>
          <w:lang w:val="en-US" w:eastAsia="nl-NL"/>
        </w:rPr>
        <w:t>Ockenfels</w:t>
      </w:r>
      <w:proofErr w:type="spellEnd"/>
      <w:r w:rsidR="00767D2D">
        <w:rPr>
          <w:rFonts w:ascii="Calibri" w:eastAsia="Times New Roman" w:hAnsi="Calibri" w:cs="Calibri"/>
          <w:color w:val="000000"/>
          <w:sz w:val="22"/>
          <w:szCs w:val="22"/>
          <w:lang w:val="en-US" w:eastAsia="nl-NL"/>
        </w:rPr>
        <w:t xml:space="preserve"> (2004). Yet, because some differences remain, I will explain the key variables in the study by Frey et al. (2019) here. As said, there is the treatment variable, indicating whether embeddedness is implemented dyadically, or as a small network consisting of two trustors and one trustee with complete information exchange. Subsequently, the data contains the </w:t>
      </w:r>
      <w:r w:rsidR="00767D2D">
        <w:rPr>
          <w:rFonts w:ascii="Calibri" w:eastAsia="Times New Roman" w:hAnsi="Calibri" w:cs="Calibri"/>
          <w:i/>
          <w:color w:val="000000"/>
          <w:sz w:val="22"/>
          <w:szCs w:val="22"/>
          <w:lang w:val="en-US" w:eastAsia="nl-NL"/>
        </w:rPr>
        <w:t>role</w:t>
      </w:r>
      <w:r w:rsidR="00767D2D">
        <w:rPr>
          <w:rFonts w:ascii="Calibri" w:eastAsia="Times New Roman" w:hAnsi="Calibri" w:cs="Calibri"/>
          <w:color w:val="000000"/>
          <w:sz w:val="22"/>
          <w:szCs w:val="22"/>
          <w:lang w:val="en-US" w:eastAsia="nl-NL"/>
        </w:rPr>
        <w:t xml:space="preserve"> of the actor, that is, whether the actor was a trustor or a trustee. Additionally, the data contains the ID of the actor</w:t>
      </w:r>
      <w:r w:rsidR="00D04BBE">
        <w:rPr>
          <w:rFonts w:ascii="Calibri" w:eastAsia="Times New Roman" w:hAnsi="Calibri" w:cs="Calibri"/>
          <w:color w:val="000000"/>
          <w:sz w:val="22"/>
          <w:szCs w:val="22"/>
          <w:lang w:val="en-US" w:eastAsia="nl-NL"/>
        </w:rPr>
        <w:t>s</w:t>
      </w:r>
      <w:r w:rsidR="00767D2D">
        <w:rPr>
          <w:rFonts w:ascii="Calibri" w:eastAsia="Times New Roman" w:hAnsi="Calibri" w:cs="Calibri"/>
          <w:color w:val="000000"/>
          <w:sz w:val="22"/>
          <w:szCs w:val="22"/>
          <w:lang w:val="en-US" w:eastAsia="nl-NL"/>
        </w:rPr>
        <w:t xml:space="preserve">, and an indicator of the </w:t>
      </w:r>
      <w:proofErr w:type="spellStart"/>
      <w:r w:rsidR="00767D2D">
        <w:rPr>
          <w:rFonts w:ascii="Calibri" w:eastAsia="Times New Roman" w:hAnsi="Calibri" w:cs="Calibri"/>
          <w:color w:val="000000"/>
          <w:sz w:val="22"/>
          <w:szCs w:val="22"/>
          <w:lang w:val="en-US" w:eastAsia="nl-NL"/>
        </w:rPr>
        <w:t>supergame</w:t>
      </w:r>
      <w:proofErr w:type="spellEnd"/>
      <w:r w:rsidR="00D04BBE">
        <w:rPr>
          <w:rFonts w:ascii="Calibri" w:eastAsia="Times New Roman" w:hAnsi="Calibri" w:cs="Calibri"/>
          <w:color w:val="000000"/>
          <w:sz w:val="22"/>
          <w:szCs w:val="22"/>
          <w:lang w:val="en-US" w:eastAsia="nl-NL"/>
        </w:rPr>
        <w:t xml:space="preserve"> (indicating which of the twelve games an action occurred in). Similarly, trustfulness and trustworthiness </w:t>
      </w:r>
      <w:proofErr w:type="gramStart"/>
      <w:r w:rsidR="00D04BBE">
        <w:rPr>
          <w:rFonts w:ascii="Calibri" w:eastAsia="Times New Roman" w:hAnsi="Calibri" w:cs="Calibri"/>
          <w:color w:val="000000"/>
          <w:sz w:val="22"/>
          <w:szCs w:val="22"/>
          <w:lang w:val="en-US" w:eastAsia="nl-NL"/>
        </w:rPr>
        <w:t>was</w:t>
      </w:r>
      <w:proofErr w:type="gramEnd"/>
      <w:r w:rsidR="00D04BBE">
        <w:rPr>
          <w:rFonts w:ascii="Calibri" w:eastAsia="Times New Roman" w:hAnsi="Calibri" w:cs="Calibri"/>
          <w:color w:val="000000"/>
          <w:sz w:val="22"/>
          <w:szCs w:val="22"/>
          <w:lang w:val="en-US" w:eastAsia="nl-NL"/>
        </w:rPr>
        <w:t xml:space="preserve"> measured with an indicator, reflecting whether a trustor placed or withheld trust, and whether a trustee honored trust, abused trust, or was not in the position to do so, because the trustor did not place trust. Lastly, the variable </w:t>
      </w:r>
      <w:r w:rsidR="00D04BBE">
        <w:rPr>
          <w:rFonts w:ascii="Calibri" w:eastAsia="Times New Roman" w:hAnsi="Calibri" w:cs="Calibri"/>
          <w:i/>
          <w:color w:val="000000"/>
          <w:sz w:val="22"/>
          <w:szCs w:val="22"/>
          <w:lang w:val="en-US" w:eastAsia="nl-NL"/>
        </w:rPr>
        <w:t>round</w:t>
      </w:r>
      <w:r w:rsidR="00D04BBE">
        <w:rPr>
          <w:rFonts w:ascii="Calibri" w:eastAsia="Times New Roman" w:hAnsi="Calibri" w:cs="Calibri"/>
          <w:color w:val="000000"/>
          <w:sz w:val="22"/>
          <w:szCs w:val="22"/>
          <w:lang w:val="en-US" w:eastAsia="nl-NL"/>
        </w:rPr>
        <w:t xml:space="preserve"> indicates in which of the rounds (1-6) the decisions were made. </w:t>
      </w:r>
    </w:p>
    <w:p w:rsidR="00FA6DC0" w:rsidRDefault="00D04BBE" w:rsidP="00FA6DC0">
      <w:pPr>
        <w:ind w:firstLine="708"/>
        <w:rPr>
          <w:rFonts w:ascii="Calibri" w:hAnsi="Calibri" w:cs="Calibri"/>
          <w:sz w:val="22"/>
          <w:szCs w:val="22"/>
          <w:lang w:val="en-US"/>
        </w:rPr>
      </w:pPr>
      <w:r>
        <w:rPr>
          <w:rFonts w:ascii="Calibri" w:eastAsia="Times New Roman" w:hAnsi="Calibri" w:cs="Calibri"/>
          <w:color w:val="000000"/>
          <w:sz w:val="22"/>
          <w:szCs w:val="22"/>
          <w:lang w:val="en-US" w:eastAsia="nl-NL"/>
        </w:rPr>
        <w:t xml:space="preserve">Control effects can be tested similarly to the descriptions given in the section on Bolton, </w:t>
      </w:r>
      <w:proofErr w:type="spellStart"/>
      <w:r>
        <w:rPr>
          <w:rFonts w:ascii="Calibri" w:eastAsia="Times New Roman" w:hAnsi="Calibri" w:cs="Calibri"/>
          <w:color w:val="000000"/>
          <w:sz w:val="22"/>
          <w:szCs w:val="22"/>
          <w:lang w:val="en-US" w:eastAsia="nl-NL"/>
        </w:rPr>
        <w:t>Katok</w:t>
      </w:r>
      <w:proofErr w:type="spellEnd"/>
      <w:r>
        <w:rPr>
          <w:rFonts w:ascii="Calibri" w:eastAsia="Times New Roman" w:hAnsi="Calibri" w:cs="Calibri"/>
          <w:color w:val="000000"/>
          <w:sz w:val="22"/>
          <w:szCs w:val="22"/>
          <w:lang w:val="en-US" w:eastAsia="nl-NL"/>
        </w:rPr>
        <w:t xml:space="preserve"> and </w:t>
      </w:r>
      <w:proofErr w:type="spellStart"/>
      <w:r>
        <w:rPr>
          <w:rFonts w:ascii="Calibri" w:eastAsia="Times New Roman" w:hAnsi="Calibri" w:cs="Calibri"/>
          <w:color w:val="000000"/>
          <w:sz w:val="22"/>
          <w:szCs w:val="22"/>
          <w:lang w:val="en-US" w:eastAsia="nl-NL"/>
        </w:rPr>
        <w:t>Ockenfels</w:t>
      </w:r>
      <w:proofErr w:type="spellEnd"/>
      <w:r>
        <w:rPr>
          <w:rFonts w:ascii="Calibri" w:eastAsia="Times New Roman" w:hAnsi="Calibri" w:cs="Calibri"/>
          <w:color w:val="000000"/>
          <w:sz w:val="22"/>
          <w:szCs w:val="22"/>
          <w:lang w:val="en-US" w:eastAsia="nl-NL"/>
        </w:rPr>
        <w:t xml:space="preserve"> (2004). First, analysis can be tailored towards the first round of the repeated games, in which no learning can have occurred with regard to the trustee. While trustors and trustees can have gained experience from earlier games, </w:t>
      </w:r>
      <w:r w:rsidR="000B5946">
        <w:rPr>
          <w:rFonts w:ascii="Calibri" w:eastAsia="Times New Roman" w:hAnsi="Calibri" w:cs="Calibri"/>
          <w:color w:val="000000"/>
          <w:sz w:val="22"/>
          <w:szCs w:val="22"/>
          <w:lang w:val="en-US" w:eastAsia="nl-NL"/>
        </w:rPr>
        <w:t xml:space="preserve">this will not be controlled for in a statistical sense, but the fact that the same trustors and trustees make decisions multiple times will be accounted for by incorporating the multilevel structure. Second, focus can be directed towards the game in which no trust has been abused. </w:t>
      </w:r>
      <w:r w:rsidR="00597931">
        <w:rPr>
          <w:rFonts w:ascii="Calibri" w:eastAsia="Times New Roman" w:hAnsi="Calibri" w:cs="Calibri"/>
          <w:color w:val="000000"/>
          <w:sz w:val="22"/>
          <w:szCs w:val="22"/>
          <w:lang w:val="en-US" w:eastAsia="nl-NL"/>
        </w:rPr>
        <w:t xml:space="preserve">In contrast to the study by Bolton, </w:t>
      </w:r>
      <w:proofErr w:type="spellStart"/>
      <w:r w:rsidR="00597931">
        <w:rPr>
          <w:rFonts w:ascii="Calibri" w:eastAsia="Times New Roman" w:hAnsi="Calibri" w:cs="Calibri"/>
          <w:color w:val="000000"/>
          <w:sz w:val="22"/>
          <w:szCs w:val="22"/>
          <w:lang w:val="en-US" w:eastAsia="nl-NL"/>
        </w:rPr>
        <w:t>Katok</w:t>
      </w:r>
      <w:proofErr w:type="spellEnd"/>
      <w:r w:rsidR="00597931">
        <w:rPr>
          <w:rFonts w:ascii="Calibri" w:eastAsia="Times New Roman" w:hAnsi="Calibri" w:cs="Calibri"/>
          <w:color w:val="000000"/>
          <w:sz w:val="22"/>
          <w:szCs w:val="22"/>
          <w:lang w:val="en-US" w:eastAsia="nl-NL"/>
        </w:rPr>
        <w:t xml:space="preserve"> and </w:t>
      </w:r>
      <w:proofErr w:type="spellStart"/>
      <w:r w:rsidR="00597931">
        <w:rPr>
          <w:rFonts w:ascii="Calibri" w:eastAsia="Times New Roman" w:hAnsi="Calibri" w:cs="Calibri"/>
          <w:color w:val="000000"/>
          <w:sz w:val="22"/>
          <w:szCs w:val="22"/>
          <w:lang w:val="en-US" w:eastAsia="nl-NL"/>
        </w:rPr>
        <w:t>Ockenfels</w:t>
      </w:r>
      <w:proofErr w:type="spellEnd"/>
      <w:r w:rsidR="003D50A5">
        <w:rPr>
          <w:rFonts w:ascii="Calibri" w:eastAsia="Times New Roman" w:hAnsi="Calibri" w:cs="Calibri"/>
          <w:color w:val="000000"/>
          <w:sz w:val="22"/>
          <w:szCs w:val="22"/>
          <w:lang w:val="en-US" w:eastAsia="nl-NL"/>
        </w:rPr>
        <w:t xml:space="preserve"> (2004), this should be easier here, because the trustors and trustees are not randomly matched. Since the same two trustors interact with the same trustee for multiple periods, the focus can easily be on the rounds in which the trustee has not abused trust. Third, the control effect can be assessed by focusing on the number of rounds left to play, while controlling for learning in a statistical sense. </w:t>
      </w:r>
      <w:r w:rsidR="003D50A5">
        <w:rPr>
          <w:rFonts w:ascii="Calibri" w:hAnsi="Calibri" w:cs="Calibri"/>
          <w:sz w:val="22"/>
          <w:szCs w:val="22"/>
          <w:lang w:val="en-US"/>
        </w:rPr>
        <w:t>When there are more rounds left to play, there are more control opportunities, while the amount of sanction opportunities decreases when there are fewer rounds to play.</w:t>
      </w:r>
      <w:r w:rsidR="00FA6DC0" w:rsidRPr="00FA6DC0">
        <w:rPr>
          <w:rFonts w:ascii="Calibri" w:hAnsi="Calibri" w:cs="Calibri"/>
          <w:sz w:val="22"/>
          <w:szCs w:val="22"/>
          <w:lang w:val="en-US"/>
        </w:rPr>
        <w:t xml:space="preserve"> </w:t>
      </w:r>
      <w:r w:rsidR="00FA6DC0">
        <w:rPr>
          <w:rFonts w:ascii="Calibri" w:hAnsi="Calibri" w:cs="Calibri"/>
          <w:sz w:val="22"/>
          <w:szCs w:val="22"/>
          <w:lang w:val="en-US"/>
        </w:rPr>
        <w:t xml:space="preserve">However, there should be controlled for learning, because as there are fewer rounds the play, the likelihood that a trustor has observed an abuse of trust and therefore withholds trust also increases. Although this would reflect an effect of embeddedness, it would not reflect an effect of control, which is what the focus is on. Similarly, when estimating the trustee’s behavior, it can be </w:t>
      </w:r>
      <w:r w:rsidR="00FA6DC0">
        <w:rPr>
          <w:rFonts w:ascii="Calibri" w:hAnsi="Calibri" w:cs="Calibri"/>
          <w:sz w:val="22"/>
          <w:szCs w:val="22"/>
          <w:lang w:val="en-US"/>
        </w:rPr>
        <w:t>considered</w:t>
      </w:r>
      <w:r w:rsidR="00FA6DC0">
        <w:rPr>
          <w:rFonts w:ascii="Calibri" w:hAnsi="Calibri" w:cs="Calibri"/>
          <w:sz w:val="22"/>
          <w:szCs w:val="22"/>
          <w:lang w:val="en-US"/>
        </w:rPr>
        <w:t xml:space="preserve"> how often past trustors actually placed trust. If past trustors hardly placed trust, a trustee may expect that future trustors will also not place trust, reducing the relative severity of future sanctions. All these three measures make use of the </w:t>
      </w:r>
      <w:r w:rsidR="00FA6DC0">
        <w:rPr>
          <w:rFonts w:ascii="Calibri" w:hAnsi="Calibri" w:cs="Calibri"/>
          <w:i/>
          <w:sz w:val="22"/>
          <w:szCs w:val="22"/>
          <w:lang w:val="en-US"/>
        </w:rPr>
        <w:t>round</w:t>
      </w:r>
      <w:r w:rsidR="00FA6DC0">
        <w:rPr>
          <w:rFonts w:ascii="Calibri" w:hAnsi="Calibri" w:cs="Calibri"/>
          <w:sz w:val="22"/>
          <w:szCs w:val="22"/>
          <w:lang w:val="en-US"/>
        </w:rPr>
        <w:t xml:space="preserve"> variable and the variables indicating the trustors’ and trustees’ past actions. Accordingly, these three measures can be compared over the treatment conditions. </w:t>
      </w:r>
    </w:p>
    <w:p w:rsidR="00FA6DC0" w:rsidRDefault="00FA6DC0" w:rsidP="00FA6DC0">
      <w:pPr>
        <w:ind w:firstLine="708"/>
        <w:rPr>
          <w:rFonts w:ascii="Calibri" w:hAnsi="Calibri" w:cs="Calibri"/>
          <w:sz w:val="22"/>
          <w:szCs w:val="22"/>
          <w:lang w:val="en-US"/>
        </w:rPr>
      </w:pPr>
      <w:r>
        <w:rPr>
          <w:rFonts w:ascii="Calibri" w:hAnsi="Calibri" w:cs="Calibri"/>
          <w:sz w:val="22"/>
          <w:szCs w:val="22"/>
          <w:lang w:val="en-US"/>
        </w:rPr>
        <w:t xml:space="preserve">Learning can be defined in terms of past actions by trustors and trustees. Learning for the trustor concerns how often the trustee abused the trust of other trustors, and possibly also how often an abuse of trust by other trustees was directed towards the trustor involved. Accordingly, the frequencies of these actions can be summed over all past rounds (and eventually be weighted). Additionally, as past actions are likely to be considered more important than actions from a longer time ago, a dummy can be created to represent whether the trustee abused trust in the last round. A similar measure can be created for the trustee, but defined in terms of past actions by trustors, although the trustee only observed past actions directed against this trustee, and not the past actions of the trustor involved (unless embeddedness is dyadic). </w:t>
      </w:r>
    </w:p>
    <w:p w:rsidR="00D82331" w:rsidRDefault="00FA6DC0" w:rsidP="00D82331">
      <w:pPr>
        <w:ind w:firstLine="708"/>
        <w:rPr>
          <w:rFonts w:ascii="Calibri" w:eastAsia="Times New Roman" w:hAnsi="Calibri" w:cs="Calibri"/>
          <w:color w:val="000000"/>
          <w:sz w:val="22"/>
          <w:szCs w:val="22"/>
          <w:lang w:val="en-US" w:eastAsia="nl-NL"/>
        </w:rPr>
      </w:pPr>
      <w:r w:rsidRPr="00D82331">
        <w:rPr>
          <w:rFonts w:ascii="Calibri" w:hAnsi="Calibri" w:cs="Calibri"/>
          <w:sz w:val="22"/>
          <w:szCs w:val="22"/>
          <w:lang w:val="en-US"/>
        </w:rPr>
        <w:t xml:space="preserve">Subsequently, the control effects can be estimated separately for trustor and trustee, and a hypothesis test on the difference can be formalized as </w:t>
      </w:r>
      <m:oMath>
        <m:sSub>
          <m:sSubPr>
            <m:ctrlPr>
              <w:rPr>
                <w:rFonts w:ascii="Cambria Math" w:eastAsia="Times New Roman" w:hAnsi="Cambria Math" w:cs="Calibri"/>
                <w:i/>
                <w:color w:val="000000"/>
                <w:sz w:val="22"/>
                <w:szCs w:val="22"/>
                <w:lang w:val="en-US" w:eastAsia="nl-NL"/>
              </w:rPr>
            </m:ctrlPr>
          </m:sSubPr>
          <m:e>
            <m:r>
              <w:rPr>
                <w:rFonts w:ascii="Cambria Math" w:eastAsia="Times New Roman" w:hAnsi="Cambria Math" w:cs="Calibri"/>
                <w:color w:val="000000"/>
                <w:sz w:val="22"/>
                <w:szCs w:val="22"/>
                <w:lang w:val="en-US" w:eastAsia="nl-NL"/>
              </w:rPr>
              <m:t>H</m:t>
            </m:r>
          </m:e>
          <m:sub>
            <m:r>
              <w:rPr>
                <w:rFonts w:ascii="Cambria Math" w:eastAsia="Times New Roman" w:hAnsi="Cambria Math" w:cs="Calibri"/>
                <w:color w:val="000000"/>
                <w:sz w:val="22"/>
                <w:szCs w:val="22"/>
                <w:lang w:val="en-US" w:eastAsia="nl-NL"/>
              </w:rPr>
              <m:t>tt</m:t>
            </m:r>
          </m:sub>
        </m:sSub>
        <m:r>
          <w:rPr>
            <w:rFonts w:ascii="Cambria Math" w:eastAsia="Times New Roman" w:hAnsi="Cambria Math" w:cs="Calibri"/>
            <w:color w:val="000000"/>
            <w:sz w:val="22"/>
            <w:szCs w:val="22"/>
            <w:lang w:val="en-US" w:eastAsia="nl-NL"/>
          </w:rPr>
          <m:t xml:space="preserve">: </m:t>
        </m:r>
        <m:sSub>
          <m:sSubPr>
            <m:ctrlPr>
              <w:rPr>
                <w:rFonts w:ascii="Cambria Math" w:eastAsia="Times New Roman" w:hAnsi="Cambria Math" w:cs="Calibri"/>
                <w:i/>
                <w:color w:val="000000"/>
                <w:sz w:val="22"/>
                <w:szCs w:val="22"/>
                <w:lang w:val="en-US" w:eastAsia="nl-NL"/>
              </w:rPr>
            </m:ctrlPr>
          </m:sSubPr>
          <m:e>
            <m:r>
              <w:rPr>
                <w:rFonts w:ascii="Cambria Math" w:eastAsia="Times New Roman" w:hAnsi="Cambria Math" w:cs="Calibri"/>
                <w:color w:val="000000"/>
                <w:sz w:val="22"/>
                <w:szCs w:val="22"/>
                <w:lang w:val="en-US" w:eastAsia="nl-NL"/>
              </w:rPr>
              <m:t>β</m:t>
            </m:r>
          </m:e>
          <m:sub>
            <m:r>
              <w:rPr>
                <w:rFonts w:ascii="Cambria Math" w:eastAsia="Times New Roman" w:hAnsi="Cambria Math" w:cs="Calibri"/>
                <w:color w:val="000000"/>
                <w:sz w:val="22"/>
                <w:szCs w:val="22"/>
                <w:lang w:val="en-US" w:eastAsia="nl-NL"/>
              </w:rPr>
              <m:t>trustor</m:t>
            </m:r>
          </m:sub>
        </m:sSub>
        <m:r>
          <w:rPr>
            <w:rFonts w:ascii="Cambria Math" w:eastAsia="Times New Roman" w:hAnsi="Cambria Math" w:cs="Calibri"/>
            <w:color w:val="000000"/>
            <w:sz w:val="22"/>
            <w:szCs w:val="22"/>
            <w:lang w:val="en-US" w:eastAsia="nl-NL"/>
          </w:rPr>
          <m:t xml:space="preserve">&lt; </m:t>
        </m:r>
        <m:sSub>
          <m:sSubPr>
            <m:ctrlPr>
              <w:rPr>
                <w:rFonts w:ascii="Cambria Math" w:eastAsia="Times New Roman" w:hAnsi="Cambria Math" w:cs="Calibri"/>
                <w:i/>
                <w:color w:val="000000"/>
                <w:sz w:val="22"/>
                <w:szCs w:val="22"/>
                <w:lang w:val="en-US" w:eastAsia="nl-NL"/>
              </w:rPr>
            </m:ctrlPr>
          </m:sSubPr>
          <m:e>
            <m:r>
              <w:rPr>
                <w:rFonts w:ascii="Cambria Math" w:eastAsia="Times New Roman" w:hAnsi="Cambria Math" w:cs="Calibri"/>
                <w:color w:val="000000"/>
                <w:sz w:val="22"/>
                <w:szCs w:val="22"/>
                <w:lang w:val="en-US" w:eastAsia="nl-NL"/>
              </w:rPr>
              <m:t>β</m:t>
            </m:r>
          </m:e>
          <m:sub>
            <m:r>
              <w:rPr>
                <w:rFonts w:ascii="Cambria Math" w:eastAsia="Times New Roman" w:hAnsi="Cambria Math" w:cs="Calibri"/>
                <w:color w:val="000000"/>
                <w:sz w:val="22"/>
                <w:szCs w:val="22"/>
                <w:lang w:val="en-US" w:eastAsia="nl-NL"/>
              </w:rPr>
              <m:t>trustee</m:t>
            </m:r>
          </m:sub>
        </m:sSub>
      </m:oMath>
      <w:r w:rsidRPr="00D82331">
        <w:rPr>
          <w:rFonts w:ascii="Calibri" w:eastAsiaTheme="minorEastAsia" w:hAnsi="Calibri" w:cs="Calibri"/>
          <w:color w:val="000000"/>
          <w:sz w:val="22"/>
          <w:szCs w:val="22"/>
          <w:lang w:val="en-US" w:eastAsia="nl-NL"/>
        </w:rPr>
        <w:t xml:space="preserve">, which implies that a single model is used to estimate trust for both trustors and trustees. Accordingly, the measures for control can be estimated as interaction terms, interacting the measure with the actor involved, to estimate different regression slopes for both actors. </w:t>
      </w:r>
      <w:r w:rsidR="00D82331" w:rsidRPr="00D82331">
        <w:rPr>
          <w:rFonts w:ascii="Calibri" w:eastAsia="Times New Roman" w:hAnsi="Calibri" w:cs="Calibri"/>
          <w:color w:val="000000"/>
          <w:sz w:val="22"/>
          <w:szCs w:val="22"/>
          <w:lang w:val="en-US" w:eastAsia="nl-NL"/>
        </w:rPr>
        <w:t>However, i</w:t>
      </w:r>
      <w:r w:rsidR="00D82331" w:rsidRPr="00D82331">
        <w:rPr>
          <w:rFonts w:ascii="Calibri" w:eastAsia="Times New Roman" w:hAnsi="Calibri" w:cs="Calibri"/>
          <w:color w:val="000000"/>
          <w:sz w:val="22"/>
          <w:szCs w:val="22"/>
          <w:lang w:val="en-US" w:eastAsia="nl-NL"/>
        </w:rPr>
        <w:t xml:space="preserve">n contrast to the previous data set, comparing the effects of dyadic and network control on trust is more problematic, because </w:t>
      </w:r>
      <w:r w:rsidR="00D82331">
        <w:rPr>
          <w:rFonts w:ascii="Calibri" w:eastAsia="Times New Roman" w:hAnsi="Calibri" w:cs="Calibri"/>
          <w:color w:val="000000"/>
          <w:sz w:val="22"/>
          <w:szCs w:val="22"/>
          <w:lang w:val="en-US" w:eastAsia="nl-NL"/>
        </w:rPr>
        <w:t>network embeddedness is always implemented alongside dyadic embeddedness</w:t>
      </w:r>
      <w:r w:rsidR="00D82331" w:rsidRPr="00D82331">
        <w:rPr>
          <w:rFonts w:ascii="Calibri" w:eastAsia="Times New Roman" w:hAnsi="Calibri" w:cs="Calibri"/>
          <w:color w:val="000000"/>
          <w:sz w:val="22"/>
          <w:szCs w:val="22"/>
          <w:lang w:val="en-US" w:eastAsia="nl-NL"/>
        </w:rPr>
        <w:t xml:space="preserve">. </w:t>
      </w:r>
      <w:r w:rsidR="00D82331">
        <w:rPr>
          <w:rFonts w:ascii="Calibri" w:eastAsia="Times New Roman" w:hAnsi="Calibri" w:cs="Calibri"/>
          <w:color w:val="000000"/>
          <w:sz w:val="22"/>
          <w:szCs w:val="22"/>
          <w:lang w:val="en-US" w:eastAsia="nl-NL"/>
        </w:rPr>
        <w:t xml:space="preserve">I am unsure whether this allows for </w:t>
      </w:r>
      <w:proofErr w:type="gramStart"/>
      <w:r w:rsidR="00D82331">
        <w:rPr>
          <w:rFonts w:ascii="Calibri" w:eastAsia="Times New Roman" w:hAnsi="Calibri" w:cs="Calibri"/>
          <w:color w:val="000000"/>
          <w:sz w:val="22"/>
          <w:szCs w:val="22"/>
          <w:lang w:val="en-US" w:eastAsia="nl-NL"/>
        </w:rPr>
        <w:t>a</w:t>
      </w:r>
      <w:proofErr w:type="gramEnd"/>
      <w:r w:rsidR="00D82331">
        <w:rPr>
          <w:rFonts w:ascii="Calibri" w:eastAsia="Times New Roman" w:hAnsi="Calibri" w:cs="Calibri"/>
          <w:color w:val="000000"/>
          <w:sz w:val="22"/>
          <w:szCs w:val="22"/>
          <w:lang w:val="en-US" w:eastAsia="nl-NL"/>
        </w:rPr>
        <w:t xml:space="preserve"> honest comparison between the conditions. </w:t>
      </w:r>
      <w:r w:rsidR="00D82331" w:rsidRPr="00D82331">
        <w:rPr>
          <w:rFonts w:ascii="Calibri" w:eastAsia="Times New Roman" w:hAnsi="Calibri" w:cs="Calibri"/>
          <w:color w:val="000000"/>
          <w:sz w:val="22"/>
          <w:szCs w:val="22"/>
          <w:lang w:val="en-US" w:eastAsia="nl-NL"/>
        </w:rPr>
        <w:t xml:space="preserve">Namely, if the dyadic control effect is already very large, the margin of improvement for network embeddedness is very small. </w:t>
      </w:r>
      <w:r w:rsidR="00D82331">
        <w:rPr>
          <w:rFonts w:ascii="Calibri" w:eastAsia="Times New Roman" w:hAnsi="Calibri" w:cs="Calibri"/>
          <w:color w:val="000000"/>
          <w:sz w:val="22"/>
          <w:szCs w:val="22"/>
          <w:lang w:val="en-US" w:eastAsia="nl-NL"/>
        </w:rPr>
        <w:t xml:space="preserve">Accordingly, it may be that only the studies that do not implement network embeddedness alongside dyadic embeddedness can be used to test this hypothesis. </w:t>
      </w:r>
      <w:r w:rsidR="00D82331" w:rsidRPr="00D82331">
        <w:rPr>
          <w:rFonts w:ascii="Calibri" w:eastAsia="Times New Roman" w:hAnsi="Calibri" w:cs="Calibri"/>
          <w:color w:val="000000"/>
          <w:sz w:val="22"/>
          <w:szCs w:val="22"/>
          <w:lang w:val="en-US" w:eastAsia="nl-NL"/>
        </w:rPr>
        <w:t xml:space="preserve">There might be other data sets that allow to test this hypothesis (e.g., Bolton, </w:t>
      </w:r>
      <w:proofErr w:type="spellStart"/>
      <w:r w:rsidR="00D82331" w:rsidRPr="00D82331">
        <w:rPr>
          <w:rFonts w:ascii="Calibri" w:eastAsia="Times New Roman" w:hAnsi="Calibri" w:cs="Calibri"/>
          <w:color w:val="000000"/>
          <w:sz w:val="22"/>
          <w:szCs w:val="22"/>
          <w:lang w:val="en-US" w:eastAsia="nl-NL"/>
        </w:rPr>
        <w:t>Katok</w:t>
      </w:r>
      <w:proofErr w:type="spellEnd"/>
      <w:r w:rsidR="00D82331" w:rsidRPr="00D82331">
        <w:rPr>
          <w:rFonts w:ascii="Calibri" w:eastAsia="Times New Roman" w:hAnsi="Calibri" w:cs="Calibri"/>
          <w:color w:val="000000"/>
          <w:sz w:val="22"/>
          <w:szCs w:val="22"/>
          <w:lang w:val="en-US" w:eastAsia="nl-NL"/>
        </w:rPr>
        <w:t xml:space="preserve"> and </w:t>
      </w:r>
      <w:proofErr w:type="spellStart"/>
      <w:r w:rsidR="00D82331" w:rsidRPr="00D82331">
        <w:rPr>
          <w:rFonts w:ascii="Calibri" w:eastAsia="Times New Roman" w:hAnsi="Calibri" w:cs="Calibri"/>
          <w:color w:val="000000"/>
          <w:sz w:val="22"/>
          <w:szCs w:val="22"/>
          <w:lang w:val="en-US" w:eastAsia="nl-NL"/>
        </w:rPr>
        <w:t>Ockenfels</w:t>
      </w:r>
      <w:proofErr w:type="spellEnd"/>
      <w:r w:rsidR="00D82331" w:rsidRPr="00D82331">
        <w:rPr>
          <w:rFonts w:ascii="Calibri" w:eastAsia="Times New Roman" w:hAnsi="Calibri" w:cs="Calibri"/>
          <w:color w:val="000000"/>
          <w:sz w:val="22"/>
          <w:szCs w:val="22"/>
          <w:lang w:val="en-US" w:eastAsia="nl-NL"/>
        </w:rPr>
        <w:t xml:space="preserve">, 2004; </w:t>
      </w:r>
      <w:proofErr w:type="spellStart"/>
      <w:r w:rsidR="00D82331" w:rsidRPr="00D82331">
        <w:rPr>
          <w:rFonts w:ascii="Calibri" w:eastAsia="Times New Roman" w:hAnsi="Calibri" w:cs="Calibri"/>
          <w:color w:val="000000"/>
          <w:sz w:val="22"/>
          <w:szCs w:val="22"/>
          <w:lang w:val="en-US" w:eastAsia="nl-NL"/>
        </w:rPr>
        <w:t>Bohnet</w:t>
      </w:r>
      <w:proofErr w:type="spellEnd"/>
      <w:r w:rsidR="00D82331" w:rsidRPr="00D82331">
        <w:rPr>
          <w:rFonts w:ascii="Calibri" w:eastAsia="Times New Roman" w:hAnsi="Calibri" w:cs="Calibri"/>
          <w:color w:val="000000"/>
          <w:sz w:val="22"/>
          <w:szCs w:val="22"/>
          <w:lang w:val="en-US" w:eastAsia="nl-NL"/>
        </w:rPr>
        <w:t xml:space="preserve"> &amp; Huck, 2004). </w:t>
      </w:r>
      <w:r w:rsidR="00D82331">
        <w:rPr>
          <w:rFonts w:ascii="Calibri" w:eastAsia="Times New Roman" w:hAnsi="Calibri" w:cs="Calibri"/>
          <w:color w:val="000000"/>
          <w:sz w:val="22"/>
          <w:szCs w:val="22"/>
          <w:lang w:val="en-US" w:eastAsia="nl-NL"/>
        </w:rPr>
        <w:t>Eventually,</w:t>
      </w:r>
      <w:r w:rsidR="00D82331" w:rsidRPr="00D82331">
        <w:rPr>
          <w:rFonts w:ascii="Calibri" w:eastAsia="Times New Roman" w:hAnsi="Calibri" w:cs="Calibri"/>
          <w:color w:val="000000"/>
          <w:sz w:val="22"/>
          <w:szCs w:val="22"/>
          <w:lang w:val="en-US" w:eastAsia="nl-NL"/>
        </w:rPr>
        <w:t xml:space="preserve"> the hypothesis </w:t>
      </w:r>
      <w:r w:rsidR="00D82331">
        <w:rPr>
          <w:rFonts w:ascii="Calibri" w:eastAsia="Times New Roman" w:hAnsi="Calibri" w:cs="Calibri"/>
          <w:color w:val="000000"/>
          <w:sz w:val="22"/>
          <w:szCs w:val="22"/>
          <w:lang w:val="en-US" w:eastAsia="nl-NL"/>
        </w:rPr>
        <w:t>can be dropped entirely</w:t>
      </w:r>
      <w:r w:rsidR="00D82331" w:rsidRPr="00D82331">
        <w:rPr>
          <w:rFonts w:ascii="Calibri" w:eastAsia="Times New Roman" w:hAnsi="Calibri" w:cs="Calibri"/>
          <w:color w:val="000000"/>
          <w:sz w:val="22"/>
          <w:szCs w:val="22"/>
          <w:lang w:val="en-US" w:eastAsia="nl-NL"/>
        </w:rPr>
        <w:t>, as it is optional</w:t>
      </w:r>
      <w:r w:rsidR="00D82331">
        <w:rPr>
          <w:rFonts w:ascii="Calibri" w:eastAsia="Times New Roman" w:hAnsi="Calibri" w:cs="Calibri"/>
          <w:color w:val="000000"/>
          <w:sz w:val="22"/>
          <w:szCs w:val="22"/>
          <w:lang w:val="en-US" w:eastAsia="nl-NL"/>
        </w:rPr>
        <w:t xml:space="preserve"> </w:t>
      </w:r>
      <w:r w:rsidR="00D82331" w:rsidRPr="00D82331">
        <w:rPr>
          <w:rFonts w:ascii="Calibri" w:eastAsia="Times New Roman" w:hAnsi="Calibri" w:cs="Calibri"/>
          <w:color w:val="000000"/>
          <w:sz w:val="22"/>
          <w:szCs w:val="22"/>
          <w:lang w:val="en-US" w:eastAsia="nl-NL"/>
        </w:rPr>
        <w:t>anyway.</w:t>
      </w:r>
    </w:p>
    <w:p w:rsidR="00FA6DC0" w:rsidRDefault="00FA6DC0" w:rsidP="00FA6DC0">
      <w:pPr>
        <w:ind w:firstLine="708"/>
        <w:rPr>
          <w:rFonts w:ascii="Calibri" w:hAnsi="Calibri" w:cs="Calibri"/>
          <w:sz w:val="22"/>
          <w:szCs w:val="22"/>
          <w:lang w:val="en-US"/>
        </w:rPr>
      </w:pPr>
      <w:r>
        <w:rPr>
          <w:rFonts w:ascii="Calibri" w:hAnsi="Calibri" w:cs="Calibri"/>
          <w:sz w:val="22"/>
          <w:szCs w:val="22"/>
          <w:lang w:val="en-US"/>
        </w:rPr>
        <w:t xml:space="preserve">Similar measures can be constructed for other studies in the second group (Study 8-11). Although these studies differ with regard to some aspects, these differences can be regarded as minor. Yet, note that the subjects in the studies considered by </w:t>
      </w:r>
      <w:proofErr w:type="spellStart"/>
      <w:r>
        <w:rPr>
          <w:rFonts w:ascii="Calibri" w:hAnsi="Calibri" w:cs="Calibri"/>
          <w:sz w:val="22"/>
          <w:szCs w:val="22"/>
          <w:lang w:val="en-US"/>
        </w:rPr>
        <w:t>Buskens</w:t>
      </w:r>
      <w:proofErr w:type="spellEnd"/>
      <w:r>
        <w:rPr>
          <w:rFonts w:ascii="Calibri" w:hAnsi="Calibri" w:cs="Calibri"/>
          <w:sz w:val="22"/>
          <w:szCs w:val="22"/>
          <w:lang w:val="en-US"/>
        </w:rPr>
        <w:t xml:space="preserve"> et al. (2010)</w:t>
      </w:r>
      <w:r w:rsidR="000B4539">
        <w:rPr>
          <w:rFonts w:ascii="Calibri" w:hAnsi="Calibri" w:cs="Calibri"/>
          <w:sz w:val="22"/>
          <w:szCs w:val="22"/>
          <w:lang w:val="en-US"/>
        </w:rPr>
        <w:t xml:space="preserve">, </w:t>
      </w:r>
      <w:r>
        <w:rPr>
          <w:rFonts w:ascii="Calibri" w:hAnsi="Calibri" w:cs="Calibri"/>
          <w:sz w:val="22"/>
          <w:szCs w:val="22"/>
          <w:lang w:val="en-US"/>
        </w:rPr>
        <w:t xml:space="preserve">Van </w:t>
      </w:r>
      <w:proofErr w:type="spellStart"/>
      <w:r>
        <w:rPr>
          <w:rFonts w:ascii="Calibri" w:hAnsi="Calibri" w:cs="Calibri"/>
          <w:sz w:val="22"/>
          <w:szCs w:val="22"/>
          <w:lang w:val="en-US"/>
        </w:rPr>
        <w:t>Miltenburg</w:t>
      </w:r>
      <w:proofErr w:type="spellEnd"/>
      <w:r>
        <w:rPr>
          <w:rFonts w:ascii="Calibri" w:hAnsi="Calibri" w:cs="Calibri"/>
          <w:sz w:val="22"/>
          <w:szCs w:val="22"/>
          <w:lang w:val="en-US"/>
        </w:rPr>
        <w:t xml:space="preserve"> et al. (2012) </w:t>
      </w:r>
      <w:r w:rsidR="000B4539">
        <w:rPr>
          <w:rFonts w:ascii="Calibri" w:hAnsi="Calibri" w:cs="Calibri"/>
          <w:sz w:val="22"/>
          <w:szCs w:val="22"/>
          <w:lang w:val="en-US"/>
        </w:rPr>
        <w:t xml:space="preserve">and Barrera and </w:t>
      </w:r>
      <w:proofErr w:type="spellStart"/>
      <w:r w:rsidR="000B4539">
        <w:rPr>
          <w:rFonts w:ascii="Calibri" w:hAnsi="Calibri" w:cs="Calibri"/>
          <w:sz w:val="22"/>
          <w:szCs w:val="22"/>
          <w:lang w:val="en-US"/>
        </w:rPr>
        <w:t>Buskens</w:t>
      </w:r>
      <w:proofErr w:type="spellEnd"/>
      <w:r w:rsidR="000B4539">
        <w:rPr>
          <w:rFonts w:ascii="Calibri" w:hAnsi="Calibri" w:cs="Calibri"/>
          <w:sz w:val="22"/>
          <w:szCs w:val="22"/>
          <w:lang w:val="en-US"/>
        </w:rPr>
        <w:t xml:space="preserve"> (2009) </w:t>
      </w:r>
      <w:r>
        <w:rPr>
          <w:rFonts w:ascii="Calibri" w:hAnsi="Calibri" w:cs="Calibri"/>
          <w:sz w:val="22"/>
          <w:szCs w:val="22"/>
          <w:lang w:val="en-US"/>
        </w:rPr>
        <w:t xml:space="preserve">played 15 rounds in a </w:t>
      </w:r>
      <w:proofErr w:type="spellStart"/>
      <w:r>
        <w:rPr>
          <w:rFonts w:ascii="Calibri" w:hAnsi="Calibri" w:cs="Calibri"/>
          <w:sz w:val="22"/>
          <w:szCs w:val="22"/>
          <w:lang w:val="en-US"/>
        </w:rPr>
        <w:t>supergame</w:t>
      </w:r>
      <w:proofErr w:type="spellEnd"/>
      <w:r>
        <w:rPr>
          <w:rFonts w:ascii="Calibri" w:hAnsi="Calibri" w:cs="Calibri"/>
          <w:sz w:val="22"/>
          <w:szCs w:val="22"/>
          <w:lang w:val="en-US"/>
        </w:rPr>
        <w:t xml:space="preserve">, and that the sample sizes differed. Additionally, the study by Barrera and </w:t>
      </w:r>
      <w:proofErr w:type="spellStart"/>
      <w:r>
        <w:rPr>
          <w:rFonts w:ascii="Calibri" w:hAnsi="Calibri" w:cs="Calibri"/>
          <w:sz w:val="22"/>
          <w:szCs w:val="22"/>
          <w:lang w:val="en-US"/>
        </w:rPr>
        <w:t>Buskens</w:t>
      </w:r>
      <w:proofErr w:type="spellEnd"/>
      <w:r>
        <w:rPr>
          <w:rFonts w:ascii="Calibri" w:hAnsi="Calibri" w:cs="Calibri"/>
          <w:sz w:val="22"/>
          <w:szCs w:val="22"/>
          <w:lang w:val="en-US"/>
        </w:rPr>
        <w:t xml:space="preserve"> (2009) concerned an Investment Game, rather than a Trust Game, in which people had to decide how much to invest (which is a continuous, rather than a dichotomous measure of trustfulness) and how much to return (a continuous measure of trustworthiness).</w:t>
      </w:r>
    </w:p>
    <w:p w:rsidR="004A42B4" w:rsidRDefault="004A42B4" w:rsidP="004A42B4">
      <w:pPr>
        <w:rPr>
          <w:rFonts w:ascii="Calibri" w:hAnsi="Calibri" w:cs="Calibri"/>
          <w:sz w:val="22"/>
          <w:szCs w:val="22"/>
          <w:lang w:val="en-US"/>
        </w:rPr>
      </w:pPr>
    </w:p>
    <w:p w:rsidR="000B4539" w:rsidRDefault="000B4539" w:rsidP="00D82331">
      <w:pPr>
        <w:pStyle w:val="Geenafstand"/>
        <w:rPr>
          <w:rFonts w:ascii="Calibri" w:hAnsi="Calibri"/>
          <w:sz w:val="22"/>
          <w:szCs w:val="22"/>
          <w:lang w:val="en-US"/>
        </w:rPr>
      </w:pPr>
    </w:p>
    <w:p w:rsidR="004A42B4" w:rsidRPr="00D82331" w:rsidRDefault="004A42B4" w:rsidP="00D82331">
      <w:pPr>
        <w:pStyle w:val="Geenafstand"/>
        <w:rPr>
          <w:rFonts w:ascii="Calibri" w:hAnsi="Calibri"/>
          <w:sz w:val="22"/>
          <w:szCs w:val="22"/>
          <w:lang w:val="en-US"/>
        </w:rPr>
      </w:pPr>
      <w:r w:rsidRPr="00D82331">
        <w:rPr>
          <w:rFonts w:ascii="Calibri" w:hAnsi="Calibri"/>
          <w:sz w:val="22"/>
          <w:szCs w:val="22"/>
          <w:lang w:val="en-US"/>
        </w:rPr>
        <w:lastRenderedPageBreak/>
        <w:t>Literature</w:t>
      </w:r>
    </w:p>
    <w:p w:rsidR="009F1DF0" w:rsidRPr="00D82331" w:rsidRDefault="009F1DF0" w:rsidP="00D82331">
      <w:pPr>
        <w:pStyle w:val="Geenafstand"/>
        <w:rPr>
          <w:rFonts w:ascii="Calibri" w:eastAsia="Times New Roman" w:hAnsi="Calibri"/>
          <w:color w:val="000000"/>
          <w:sz w:val="22"/>
          <w:szCs w:val="22"/>
          <w:lang w:val="en-US" w:eastAsia="nl-NL"/>
        </w:rPr>
      </w:pPr>
      <w:r w:rsidRPr="00D82331">
        <w:rPr>
          <w:rFonts w:ascii="Calibri" w:eastAsia="Times New Roman" w:hAnsi="Calibri"/>
          <w:color w:val="000000"/>
          <w:sz w:val="22"/>
          <w:szCs w:val="22"/>
          <w:lang w:val="en-US" w:eastAsia="nl-NL"/>
        </w:rPr>
        <w:t xml:space="preserve">Barrera, D., &amp; </w:t>
      </w:r>
      <w:proofErr w:type="spellStart"/>
      <w:r w:rsidRPr="00D82331">
        <w:rPr>
          <w:rFonts w:ascii="Calibri" w:eastAsia="Times New Roman" w:hAnsi="Calibri"/>
          <w:color w:val="000000"/>
          <w:sz w:val="22"/>
          <w:szCs w:val="22"/>
          <w:lang w:val="en-US" w:eastAsia="nl-NL"/>
        </w:rPr>
        <w:t>Buskens</w:t>
      </w:r>
      <w:proofErr w:type="spellEnd"/>
      <w:r w:rsidRPr="00D82331">
        <w:rPr>
          <w:rFonts w:ascii="Calibri" w:eastAsia="Times New Roman" w:hAnsi="Calibri"/>
          <w:color w:val="000000"/>
          <w:sz w:val="22"/>
          <w:szCs w:val="22"/>
          <w:lang w:val="en-US" w:eastAsia="nl-NL"/>
        </w:rPr>
        <w:t xml:space="preserve">, V. (2009). Third-party effects. In </w:t>
      </w:r>
      <w:proofErr w:type="spellStart"/>
      <w:r w:rsidRPr="00D82331">
        <w:rPr>
          <w:rFonts w:ascii="Calibri" w:eastAsia="Times New Roman" w:hAnsi="Calibri"/>
          <w:color w:val="000000"/>
          <w:sz w:val="22"/>
          <w:szCs w:val="22"/>
          <w:lang w:val="en-US" w:eastAsia="nl-NL"/>
        </w:rPr>
        <w:t>eTrust</w:t>
      </w:r>
      <w:proofErr w:type="spellEnd"/>
      <w:r w:rsidRPr="00D82331">
        <w:rPr>
          <w:rFonts w:ascii="Calibri" w:eastAsia="Times New Roman" w:hAnsi="Calibri"/>
          <w:color w:val="000000"/>
          <w:sz w:val="22"/>
          <w:szCs w:val="22"/>
          <w:lang w:val="en-US" w:eastAsia="nl-NL"/>
        </w:rPr>
        <w:t xml:space="preserve">: Forming relationships in the online world (pp. 37–72). Retrieved from </w:t>
      </w:r>
      <w:hyperlink r:id="rId7" w:history="1">
        <w:r w:rsidRPr="00D82331">
          <w:rPr>
            <w:rStyle w:val="Hyperlink"/>
            <w:rFonts w:ascii="Calibri" w:eastAsia="Times New Roman" w:hAnsi="Calibri" w:cs="Calibri"/>
            <w:sz w:val="22"/>
            <w:szCs w:val="22"/>
            <w:lang w:val="en-US" w:eastAsia="nl-NL"/>
          </w:rPr>
          <w:t>http://www.jstor.org/stable/10.7758/9781610446082.6</w:t>
        </w:r>
      </w:hyperlink>
    </w:p>
    <w:p w:rsidR="009F1DF0" w:rsidRDefault="009F1DF0" w:rsidP="00D82331">
      <w:pPr>
        <w:pStyle w:val="Geenafstand"/>
        <w:rPr>
          <w:rFonts w:ascii="Calibri" w:eastAsia="Times New Roman" w:hAnsi="Calibri"/>
          <w:color w:val="000000"/>
          <w:sz w:val="22"/>
          <w:szCs w:val="22"/>
          <w:lang w:val="en-US" w:eastAsia="nl-NL"/>
        </w:rPr>
      </w:pPr>
      <w:proofErr w:type="spellStart"/>
      <w:r w:rsidRPr="00D82331">
        <w:rPr>
          <w:rFonts w:ascii="Calibri" w:eastAsia="Times New Roman" w:hAnsi="Calibri"/>
          <w:color w:val="000000"/>
          <w:sz w:val="22"/>
          <w:szCs w:val="22"/>
          <w:lang w:val="en-US" w:eastAsia="nl-NL"/>
        </w:rPr>
        <w:t>Bohnet</w:t>
      </w:r>
      <w:proofErr w:type="spellEnd"/>
      <w:r w:rsidRPr="00D82331">
        <w:rPr>
          <w:rFonts w:ascii="Calibri" w:eastAsia="Times New Roman" w:hAnsi="Calibri"/>
          <w:color w:val="000000"/>
          <w:sz w:val="22"/>
          <w:szCs w:val="22"/>
          <w:lang w:val="en-US" w:eastAsia="nl-NL"/>
        </w:rPr>
        <w:t xml:space="preserve">, I. &amp; Huck, S. (2004). Repetition and reputation: Implications for trust and trustworthiness when institutions change. </w:t>
      </w:r>
      <w:r w:rsidRPr="00D82331">
        <w:rPr>
          <w:rFonts w:ascii="Calibri" w:eastAsia="Times New Roman" w:hAnsi="Calibri"/>
          <w:i/>
          <w:color w:val="000000"/>
          <w:sz w:val="22"/>
          <w:szCs w:val="22"/>
          <w:lang w:val="en-US" w:eastAsia="nl-NL"/>
        </w:rPr>
        <w:t xml:space="preserve">The American Economic Review, 94, </w:t>
      </w:r>
      <w:r w:rsidRPr="00D82331">
        <w:rPr>
          <w:rFonts w:ascii="Calibri" w:eastAsia="Times New Roman" w:hAnsi="Calibri"/>
          <w:color w:val="000000"/>
          <w:sz w:val="22"/>
          <w:szCs w:val="22"/>
          <w:lang w:val="en-US" w:eastAsia="nl-NL"/>
        </w:rPr>
        <w:t xml:space="preserve">362-366. </w:t>
      </w:r>
      <w:hyperlink r:id="rId8" w:history="1">
        <w:r w:rsidRPr="00D82331">
          <w:rPr>
            <w:rStyle w:val="Hyperlink"/>
            <w:rFonts w:ascii="Calibri" w:eastAsia="Times New Roman" w:hAnsi="Calibri" w:cs="Calibri"/>
            <w:sz w:val="22"/>
            <w:szCs w:val="22"/>
            <w:lang w:val="en-US" w:eastAsia="nl-NL"/>
          </w:rPr>
          <w:t>https://doi.org/10.1257/0002828041301506</w:t>
        </w:r>
      </w:hyperlink>
    </w:p>
    <w:p w:rsidR="00E86D73" w:rsidRPr="00E86D73" w:rsidRDefault="00E86D73" w:rsidP="00E86D73">
      <w:pPr>
        <w:rPr>
          <w:rFonts w:ascii="Calibri" w:hAnsi="Calibri" w:cs="Calibri"/>
          <w:sz w:val="22"/>
          <w:szCs w:val="22"/>
          <w:lang w:val="en-US"/>
        </w:rPr>
      </w:pPr>
      <w:proofErr w:type="spellStart"/>
      <w:r w:rsidRPr="00E86D73">
        <w:rPr>
          <w:rFonts w:ascii="Calibri" w:eastAsia="Times New Roman" w:hAnsi="Calibri" w:cs="Calibri"/>
          <w:sz w:val="22"/>
          <w:szCs w:val="22"/>
          <w:lang w:val="en-US" w:eastAsia="nl-NL"/>
        </w:rPr>
        <w:t>Bohnet</w:t>
      </w:r>
      <w:proofErr w:type="spellEnd"/>
      <w:r w:rsidRPr="00E86D73">
        <w:rPr>
          <w:rFonts w:ascii="Calibri" w:eastAsia="Times New Roman" w:hAnsi="Calibri" w:cs="Calibri"/>
          <w:sz w:val="22"/>
          <w:szCs w:val="22"/>
          <w:lang w:val="en-US" w:eastAsia="nl-NL"/>
        </w:rPr>
        <w:t xml:space="preserve">, I., </w:t>
      </w:r>
      <w:proofErr w:type="spellStart"/>
      <w:r w:rsidRPr="00E86D73">
        <w:rPr>
          <w:rFonts w:ascii="Calibri" w:eastAsia="Times New Roman" w:hAnsi="Calibri" w:cs="Calibri"/>
          <w:sz w:val="22"/>
          <w:szCs w:val="22"/>
          <w:lang w:val="en-US" w:eastAsia="nl-NL"/>
        </w:rPr>
        <w:t>Harmgart</w:t>
      </w:r>
      <w:proofErr w:type="spellEnd"/>
      <w:r w:rsidRPr="00E86D73">
        <w:rPr>
          <w:rFonts w:ascii="Calibri" w:eastAsia="Times New Roman" w:hAnsi="Calibri" w:cs="Calibri"/>
          <w:sz w:val="22"/>
          <w:szCs w:val="22"/>
          <w:lang w:val="en-US" w:eastAsia="nl-NL"/>
        </w:rPr>
        <w:t xml:space="preserve">, H., Huck, S. &amp; </w:t>
      </w:r>
      <w:proofErr w:type="spellStart"/>
      <w:r w:rsidRPr="00E86D73">
        <w:rPr>
          <w:rFonts w:ascii="Calibri" w:eastAsia="Times New Roman" w:hAnsi="Calibri" w:cs="Calibri"/>
          <w:sz w:val="22"/>
          <w:szCs w:val="22"/>
          <w:lang w:val="en-US" w:eastAsia="nl-NL"/>
        </w:rPr>
        <w:t>Tyran</w:t>
      </w:r>
      <w:proofErr w:type="spellEnd"/>
      <w:r w:rsidRPr="00E86D73">
        <w:rPr>
          <w:rFonts w:ascii="Calibri" w:eastAsia="Times New Roman" w:hAnsi="Calibri" w:cs="Calibri"/>
          <w:sz w:val="22"/>
          <w:szCs w:val="22"/>
          <w:lang w:val="en-US" w:eastAsia="nl-NL"/>
        </w:rPr>
        <w:t xml:space="preserve">, J.-R. (2005). Learning trust. </w:t>
      </w:r>
      <w:r w:rsidRPr="00E86D73">
        <w:rPr>
          <w:rFonts w:ascii="Calibri" w:eastAsia="Times New Roman" w:hAnsi="Calibri" w:cs="Calibri"/>
          <w:i/>
          <w:sz w:val="22"/>
          <w:szCs w:val="22"/>
          <w:lang w:val="en-US" w:eastAsia="nl-NL"/>
        </w:rPr>
        <w:t xml:space="preserve">Journal of the European Economic Association, 3, </w:t>
      </w:r>
      <w:r w:rsidRPr="00E86D73">
        <w:rPr>
          <w:rFonts w:ascii="Calibri" w:eastAsia="Times New Roman" w:hAnsi="Calibri" w:cs="Calibri"/>
          <w:sz w:val="22"/>
          <w:szCs w:val="22"/>
          <w:lang w:val="en-US" w:eastAsia="nl-NL"/>
        </w:rPr>
        <w:t xml:space="preserve">322-329. </w:t>
      </w:r>
      <w:hyperlink r:id="rId9" w:history="1">
        <w:r w:rsidRPr="00E86D73">
          <w:rPr>
            <w:rStyle w:val="Hyperlink"/>
            <w:rFonts w:ascii="Calibri" w:hAnsi="Calibri" w:cs="Calibri"/>
            <w:color w:val="006FB7"/>
            <w:sz w:val="22"/>
            <w:szCs w:val="22"/>
            <w:bdr w:val="none" w:sz="0" w:space="0" w:color="auto" w:frame="1"/>
            <w:shd w:val="clear" w:color="auto" w:fill="FFFFFF"/>
            <w:lang w:val="en-US"/>
          </w:rPr>
          <w:t>https://doi.org/10.1162/jeea.2005.3.2-3.322</w:t>
        </w:r>
      </w:hyperlink>
    </w:p>
    <w:p w:rsidR="004A42B4" w:rsidRPr="00D82331" w:rsidRDefault="004A42B4" w:rsidP="00D82331">
      <w:pPr>
        <w:pStyle w:val="Geenafstand"/>
        <w:rPr>
          <w:rFonts w:ascii="Calibri" w:eastAsia="Times New Roman" w:hAnsi="Calibri"/>
          <w:color w:val="0000FF"/>
          <w:sz w:val="22"/>
          <w:szCs w:val="22"/>
          <w:lang w:eastAsia="nl-NL"/>
        </w:rPr>
      </w:pPr>
      <w:r w:rsidRPr="00D82331">
        <w:rPr>
          <w:rFonts w:ascii="Calibri" w:eastAsia="Times New Roman" w:hAnsi="Calibri"/>
          <w:color w:val="000000"/>
          <w:sz w:val="22"/>
          <w:szCs w:val="22"/>
          <w:lang w:eastAsia="nl-NL"/>
        </w:rPr>
        <w:t xml:space="preserve">Bolton, G. E., </w:t>
      </w:r>
      <w:proofErr w:type="spellStart"/>
      <w:r w:rsidRPr="00D82331">
        <w:rPr>
          <w:rFonts w:ascii="Calibri" w:eastAsia="Times New Roman" w:hAnsi="Calibri"/>
          <w:color w:val="000000"/>
          <w:sz w:val="22"/>
          <w:szCs w:val="22"/>
          <w:lang w:eastAsia="nl-NL"/>
        </w:rPr>
        <w:t>Katok</w:t>
      </w:r>
      <w:proofErr w:type="spellEnd"/>
      <w:r w:rsidRPr="00D82331">
        <w:rPr>
          <w:rFonts w:ascii="Calibri" w:eastAsia="Times New Roman" w:hAnsi="Calibri"/>
          <w:color w:val="000000"/>
          <w:sz w:val="22"/>
          <w:szCs w:val="22"/>
          <w:lang w:eastAsia="nl-NL"/>
        </w:rPr>
        <w:t xml:space="preserve">, E., &amp; </w:t>
      </w:r>
      <w:proofErr w:type="spellStart"/>
      <w:r w:rsidRPr="00D82331">
        <w:rPr>
          <w:rFonts w:ascii="Calibri" w:eastAsia="Times New Roman" w:hAnsi="Calibri"/>
          <w:color w:val="000000"/>
          <w:sz w:val="22"/>
          <w:szCs w:val="22"/>
          <w:lang w:eastAsia="nl-NL"/>
        </w:rPr>
        <w:t>Ockenfels</w:t>
      </w:r>
      <w:proofErr w:type="spellEnd"/>
      <w:r w:rsidRPr="00D82331">
        <w:rPr>
          <w:rFonts w:ascii="Calibri" w:eastAsia="Times New Roman" w:hAnsi="Calibri"/>
          <w:color w:val="000000"/>
          <w:sz w:val="22"/>
          <w:szCs w:val="22"/>
          <w:lang w:eastAsia="nl-NL"/>
        </w:rPr>
        <w:t xml:space="preserve">, A. (2004). </w:t>
      </w:r>
      <w:r w:rsidRPr="00D82331">
        <w:rPr>
          <w:rFonts w:ascii="Calibri" w:eastAsia="Times New Roman" w:hAnsi="Calibri"/>
          <w:color w:val="000000"/>
          <w:sz w:val="22"/>
          <w:szCs w:val="22"/>
          <w:lang w:val="en-US" w:eastAsia="nl-NL"/>
        </w:rPr>
        <w:t xml:space="preserve">How effective are electronic reputation mechanisms? </w:t>
      </w:r>
      <w:r w:rsidRPr="00D82331">
        <w:rPr>
          <w:rFonts w:ascii="Calibri" w:eastAsia="Times New Roman" w:hAnsi="Calibri"/>
          <w:color w:val="000000"/>
          <w:sz w:val="22"/>
          <w:szCs w:val="22"/>
          <w:lang w:eastAsia="nl-NL"/>
        </w:rPr>
        <w:t xml:space="preserve">An </w:t>
      </w:r>
      <w:proofErr w:type="spellStart"/>
      <w:r w:rsidRPr="00D82331">
        <w:rPr>
          <w:rFonts w:ascii="Calibri" w:eastAsia="Times New Roman" w:hAnsi="Calibri"/>
          <w:color w:val="000000"/>
          <w:sz w:val="22"/>
          <w:szCs w:val="22"/>
          <w:lang w:eastAsia="nl-NL"/>
        </w:rPr>
        <w:t>experimental</w:t>
      </w:r>
      <w:proofErr w:type="spellEnd"/>
      <w:r w:rsidRPr="00D82331">
        <w:rPr>
          <w:rFonts w:ascii="Calibri" w:eastAsia="Times New Roman" w:hAnsi="Calibri"/>
          <w:color w:val="000000"/>
          <w:sz w:val="22"/>
          <w:szCs w:val="22"/>
          <w:lang w:eastAsia="nl-NL"/>
        </w:rPr>
        <w:t xml:space="preserve"> </w:t>
      </w:r>
      <w:proofErr w:type="spellStart"/>
      <w:r w:rsidRPr="00D82331">
        <w:rPr>
          <w:rFonts w:ascii="Calibri" w:eastAsia="Times New Roman" w:hAnsi="Calibri"/>
          <w:color w:val="000000"/>
          <w:sz w:val="22"/>
          <w:szCs w:val="22"/>
          <w:lang w:eastAsia="nl-NL"/>
        </w:rPr>
        <w:t>investigation</w:t>
      </w:r>
      <w:proofErr w:type="spellEnd"/>
      <w:r w:rsidRPr="00D82331">
        <w:rPr>
          <w:rFonts w:ascii="Calibri" w:eastAsia="Times New Roman" w:hAnsi="Calibri"/>
          <w:color w:val="000000"/>
          <w:sz w:val="22"/>
          <w:szCs w:val="22"/>
          <w:lang w:eastAsia="nl-NL"/>
        </w:rPr>
        <w:t xml:space="preserve">. </w:t>
      </w:r>
      <w:r w:rsidRPr="00D82331">
        <w:rPr>
          <w:rFonts w:ascii="Calibri" w:eastAsia="Times New Roman" w:hAnsi="Calibri"/>
          <w:i/>
          <w:iCs/>
          <w:color w:val="000000"/>
          <w:sz w:val="22"/>
          <w:szCs w:val="22"/>
          <w:lang w:eastAsia="nl-NL"/>
        </w:rPr>
        <w:t xml:space="preserve">Management </w:t>
      </w:r>
      <w:proofErr w:type="spellStart"/>
      <w:r w:rsidRPr="00D82331">
        <w:rPr>
          <w:rFonts w:ascii="Calibri" w:eastAsia="Times New Roman" w:hAnsi="Calibri"/>
          <w:i/>
          <w:iCs/>
          <w:color w:val="000000"/>
          <w:sz w:val="22"/>
          <w:szCs w:val="22"/>
          <w:lang w:eastAsia="nl-NL"/>
        </w:rPr>
        <w:t>Science</w:t>
      </w:r>
      <w:proofErr w:type="spellEnd"/>
      <w:r w:rsidRPr="00D82331">
        <w:rPr>
          <w:rFonts w:ascii="Calibri" w:eastAsia="Times New Roman" w:hAnsi="Calibri"/>
          <w:color w:val="000000"/>
          <w:sz w:val="22"/>
          <w:szCs w:val="22"/>
          <w:lang w:eastAsia="nl-NL"/>
        </w:rPr>
        <w:t xml:space="preserve">, </w:t>
      </w:r>
      <w:r w:rsidRPr="00D82331">
        <w:rPr>
          <w:rFonts w:ascii="Calibri" w:eastAsia="Times New Roman" w:hAnsi="Calibri"/>
          <w:i/>
          <w:iCs/>
          <w:color w:val="000000"/>
          <w:sz w:val="22"/>
          <w:szCs w:val="22"/>
          <w:lang w:eastAsia="nl-NL"/>
        </w:rPr>
        <w:t>50</w:t>
      </w:r>
      <w:r w:rsidRPr="00D82331">
        <w:rPr>
          <w:rFonts w:ascii="Calibri" w:eastAsia="Times New Roman" w:hAnsi="Calibri"/>
          <w:color w:val="000000"/>
          <w:sz w:val="22"/>
          <w:szCs w:val="22"/>
          <w:lang w:eastAsia="nl-NL"/>
        </w:rPr>
        <w:t xml:space="preserve">(11), 1587–1602. </w:t>
      </w:r>
      <w:hyperlink r:id="rId10" w:history="1">
        <w:r w:rsidRPr="00D82331">
          <w:rPr>
            <w:rStyle w:val="Hyperlink"/>
            <w:rFonts w:ascii="Calibri" w:eastAsia="Times New Roman" w:hAnsi="Calibri" w:cs="Calibri"/>
            <w:sz w:val="22"/>
            <w:szCs w:val="22"/>
            <w:lang w:eastAsia="nl-NL"/>
          </w:rPr>
          <w:t>https://doi.org/10.1287/mnsc.1030.0199</w:t>
        </w:r>
      </w:hyperlink>
      <w:r w:rsidRPr="00D82331">
        <w:rPr>
          <w:rFonts w:ascii="Calibri" w:eastAsia="Times New Roman" w:hAnsi="Calibri"/>
          <w:color w:val="0000FF"/>
          <w:sz w:val="22"/>
          <w:szCs w:val="22"/>
          <w:lang w:eastAsia="nl-NL"/>
        </w:rPr>
        <w:t xml:space="preserve"> </w:t>
      </w:r>
    </w:p>
    <w:p w:rsidR="009F1DF0" w:rsidRPr="00D82331" w:rsidRDefault="009F1DF0" w:rsidP="00D82331">
      <w:pPr>
        <w:pStyle w:val="Geenafstand"/>
        <w:rPr>
          <w:rFonts w:ascii="Calibri" w:eastAsia="Times New Roman" w:hAnsi="Calibri"/>
          <w:color w:val="0000FF"/>
          <w:sz w:val="22"/>
          <w:szCs w:val="22"/>
          <w:lang w:eastAsia="nl-NL"/>
        </w:rPr>
      </w:pPr>
      <w:r w:rsidRPr="00D82331">
        <w:rPr>
          <w:rFonts w:ascii="Calibri" w:eastAsia="Times New Roman" w:hAnsi="Calibri"/>
          <w:color w:val="000000"/>
          <w:sz w:val="22"/>
          <w:szCs w:val="22"/>
          <w:lang w:eastAsia="nl-NL"/>
        </w:rPr>
        <w:t xml:space="preserve">Buskens, V., </w:t>
      </w:r>
      <w:proofErr w:type="spellStart"/>
      <w:r w:rsidRPr="00D82331">
        <w:rPr>
          <w:rFonts w:ascii="Calibri" w:eastAsia="Times New Roman" w:hAnsi="Calibri"/>
          <w:color w:val="000000"/>
          <w:sz w:val="22"/>
          <w:szCs w:val="22"/>
          <w:lang w:eastAsia="nl-NL"/>
        </w:rPr>
        <w:t>Raub</w:t>
      </w:r>
      <w:proofErr w:type="spellEnd"/>
      <w:r w:rsidRPr="00D82331">
        <w:rPr>
          <w:rFonts w:ascii="Calibri" w:eastAsia="Times New Roman" w:hAnsi="Calibri"/>
          <w:color w:val="000000"/>
          <w:sz w:val="22"/>
          <w:szCs w:val="22"/>
          <w:lang w:eastAsia="nl-NL"/>
        </w:rPr>
        <w:t xml:space="preserve">, W., &amp; van der Veer, J. (2010). </w:t>
      </w:r>
      <w:r w:rsidRPr="00D82331">
        <w:rPr>
          <w:rFonts w:ascii="Calibri" w:eastAsia="Times New Roman" w:hAnsi="Calibri"/>
          <w:color w:val="000000"/>
          <w:sz w:val="22"/>
          <w:szCs w:val="22"/>
          <w:lang w:val="en-US" w:eastAsia="nl-NL"/>
        </w:rPr>
        <w:t xml:space="preserve">Trust in triads: An experimental study. </w:t>
      </w:r>
      <w:proofErr w:type="spellStart"/>
      <w:r w:rsidRPr="00D82331">
        <w:rPr>
          <w:rFonts w:ascii="Calibri" w:eastAsia="Times New Roman" w:hAnsi="Calibri"/>
          <w:i/>
          <w:iCs/>
          <w:color w:val="000000"/>
          <w:sz w:val="22"/>
          <w:szCs w:val="22"/>
          <w:lang w:eastAsia="nl-NL"/>
        </w:rPr>
        <w:t>Social</w:t>
      </w:r>
      <w:proofErr w:type="spellEnd"/>
      <w:r w:rsidRPr="00D82331">
        <w:rPr>
          <w:rFonts w:ascii="Calibri" w:eastAsia="Times New Roman" w:hAnsi="Calibri"/>
          <w:i/>
          <w:iCs/>
          <w:color w:val="000000"/>
          <w:sz w:val="22"/>
          <w:szCs w:val="22"/>
          <w:lang w:eastAsia="nl-NL"/>
        </w:rPr>
        <w:t xml:space="preserve"> Networks</w:t>
      </w:r>
      <w:r w:rsidRPr="00D82331">
        <w:rPr>
          <w:rFonts w:ascii="Calibri" w:eastAsia="Times New Roman" w:hAnsi="Calibri"/>
          <w:color w:val="000000"/>
          <w:sz w:val="22"/>
          <w:szCs w:val="22"/>
          <w:lang w:eastAsia="nl-NL"/>
        </w:rPr>
        <w:t xml:space="preserve">, </w:t>
      </w:r>
      <w:r w:rsidRPr="00D82331">
        <w:rPr>
          <w:rFonts w:ascii="Calibri" w:eastAsia="Times New Roman" w:hAnsi="Calibri"/>
          <w:i/>
          <w:iCs/>
          <w:color w:val="000000"/>
          <w:sz w:val="22"/>
          <w:szCs w:val="22"/>
          <w:lang w:eastAsia="nl-NL"/>
        </w:rPr>
        <w:t>32</w:t>
      </w:r>
      <w:r w:rsidRPr="00D82331">
        <w:rPr>
          <w:rFonts w:ascii="Calibri" w:eastAsia="Times New Roman" w:hAnsi="Calibri"/>
          <w:color w:val="000000"/>
          <w:sz w:val="22"/>
          <w:szCs w:val="22"/>
          <w:lang w:eastAsia="nl-NL"/>
        </w:rPr>
        <w:t xml:space="preserve">(4), 301–312. </w:t>
      </w:r>
      <w:proofErr w:type="gramStart"/>
      <w:r w:rsidRPr="00D82331">
        <w:rPr>
          <w:rFonts w:ascii="Calibri" w:eastAsia="Times New Roman" w:hAnsi="Calibri"/>
          <w:color w:val="0000FF"/>
          <w:sz w:val="22"/>
          <w:szCs w:val="22"/>
          <w:lang w:eastAsia="nl-NL"/>
        </w:rPr>
        <w:t>https://doi.org/10.1016/j.socnet.2010.05.001</w:t>
      </w:r>
      <w:proofErr w:type="gramEnd"/>
      <w:r w:rsidRPr="00D82331">
        <w:rPr>
          <w:rFonts w:ascii="Calibri" w:eastAsia="Times New Roman" w:hAnsi="Calibri"/>
          <w:color w:val="0000FF"/>
          <w:sz w:val="22"/>
          <w:szCs w:val="22"/>
          <w:lang w:eastAsia="nl-NL"/>
        </w:rPr>
        <w:t xml:space="preserve"> </w:t>
      </w:r>
    </w:p>
    <w:p w:rsidR="009F1DF0" w:rsidRPr="00D82331" w:rsidRDefault="009F1DF0" w:rsidP="00D82331">
      <w:pPr>
        <w:pStyle w:val="Geenafstand"/>
        <w:rPr>
          <w:rFonts w:ascii="Calibri" w:eastAsia="Times New Roman" w:hAnsi="Calibri"/>
          <w:color w:val="000000"/>
          <w:sz w:val="22"/>
          <w:szCs w:val="22"/>
          <w:lang w:val="en-US" w:eastAsia="nl-NL"/>
        </w:rPr>
      </w:pPr>
      <w:r w:rsidRPr="00D82331">
        <w:rPr>
          <w:rFonts w:ascii="Calibri" w:eastAsia="Times New Roman" w:hAnsi="Calibri"/>
          <w:color w:val="000000"/>
          <w:sz w:val="22"/>
          <w:szCs w:val="22"/>
          <w:lang w:val="en-US" w:eastAsia="nl-NL"/>
        </w:rPr>
        <w:t xml:space="preserve">Corten, R., Rosenkranz, S., </w:t>
      </w:r>
      <w:proofErr w:type="spellStart"/>
      <w:r w:rsidRPr="00D82331">
        <w:rPr>
          <w:rFonts w:ascii="Calibri" w:eastAsia="Times New Roman" w:hAnsi="Calibri"/>
          <w:color w:val="000000"/>
          <w:sz w:val="22"/>
          <w:szCs w:val="22"/>
          <w:lang w:val="en-US" w:eastAsia="nl-NL"/>
        </w:rPr>
        <w:t>Buskens</w:t>
      </w:r>
      <w:proofErr w:type="spellEnd"/>
      <w:r w:rsidRPr="00D82331">
        <w:rPr>
          <w:rFonts w:ascii="Calibri" w:eastAsia="Times New Roman" w:hAnsi="Calibri"/>
          <w:color w:val="000000"/>
          <w:sz w:val="22"/>
          <w:szCs w:val="22"/>
          <w:lang w:val="en-US" w:eastAsia="nl-NL"/>
        </w:rPr>
        <w:t xml:space="preserve">, V., &amp; Cook, K. S. (2016). Reputation effects in social networks do not promote cooperation: An experimental test of the </w:t>
      </w:r>
      <w:proofErr w:type="spellStart"/>
      <w:r w:rsidRPr="00D82331">
        <w:rPr>
          <w:rFonts w:ascii="Calibri" w:eastAsia="Times New Roman" w:hAnsi="Calibri"/>
          <w:color w:val="000000"/>
          <w:sz w:val="22"/>
          <w:szCs w:val="22"/>
          <w:lang w:val="en-US" w:eastAsia="nl-NL"/>
        </w:rPr>
        <w:t>raub</w:t>
      </w:r>
      <w:proofErr w:type="spellEnd"/>
      <w:r w:rsidRPr="00D82331">
        <w:rPr>
          <w:rFonts w:ascii="Calibri" w:eastAsia="Times New Roman" w:hAnsi="Calibri"/>
          <w:color w:val="000000"/>
          <w:sz w:val="22"/>
          <w:szCs w:val="22"/>
          <w:lang w:val="en-US" w:eastAsia="nl-NL"/>
        </w:rPr>
        <w:t xml:space="preserve"> &amp; </w:t>
      </w:r>
      <w:proofErr w:type="spellStart"/>
      <w:r w:rsidRPr="00D82331">
        <w:rPr>
          <w:rFonts w:ascii="Calibri" w:eastAsia="Times New Roman" w:hAnsi="Calibri"/>
          <w:color w:val="000000"/>
          <w:sz w:val="22"/>
          <w:szCs w:val="22"/>
          <w:lang w:val="en-US" w:eastAsia="nl-NL"/>
        </w:rPr>
        <w:t>weesie</w:t>
      </w:r>
      <w:proofErr w:type="spellEnd"/>
      <w:r w:rsidRPr="00D82331">
        <w:rPr>
          <w:rFonts w:ascii="Calibri" w:eastAsia="Times New Roman" w:hAnsi="Calibri"/>
          <w:color w:val="000000"/>
          <w:sz w:val="22"/>
          <w:szCs w:val="22"/>
          <w:lang w:val="en-US" w:eastAsia="nl-NL"/>
        </w:rPr>
        <w:t xml:space="preserve"> model. </w:t>
      </w:r>
      <w:r w:rsidRPr="00D82331">
        <w:rPr>
          <w:rFonts w:ascii="Calibri" w:eastAsia="Times New Roman" w:hAnsi="Calibri"/>
          <w:i/>
          <w:iCs/>
          <w:color w:val="000000"/>
          <w:sz w:val="22"/>
          <w:szCs w:val="22"/>
          <w:lang w:val="en-US" w:eastAsia="nl-NL"/>
        </w:rPr>
        <w:t>PLOS ONE</w:t>
      </w:r>
      <w:r w:rsidRPr="00D82331">
        <w:rPr>
          <w:rFonts w:ascii="Calibri" w:eastAsia="Times New Roman" w:hAnsi="Calibri"/>
          <w:color w:val="000000"/>
          <w:sz w:val="22"/>
          <w:szCs w:val="22"/>
          <w:lang w:val="en-US" w:eastAsia="nl-NL"/>
        </w:rPr>
        <w:t xml:space="preserve">, </w:t>
      </w:r>
      <w:r w:rsidRPr="00D82331">
        <w:rPr>
          <w:rFonts w:ascii="Calibri" w:eastAsia="Times New Roman" w:hAnsi="Calibri"/>
          <w:i/>
          <w:iCs/>
          <w:color w:val="000000"/>
          <w:sz w:val="22"/>
          <w:szCs w:val="22"/>
          <w:lang w:val="en-US" w:eastAsia="nl-NL"/>
        </w:rPr>
        <w:t>11</w:t>
      </w:r>
      <w:r w:rsidRPr="00D82331">
        <w:rPr>
          <w:rFonts w:ascii="Calibri" w:eastAsia="Times New Roman" w:hAnsi="Calibri"/>
          <w:color w:val="000000"/>
          <w:sz w:val="22"/>
          <w:szCs w:val="22"/>
          <w:lang w:val="en-US" w:eastAsia="nl-NL"/>
        </w:rPr>
        <w:t xml:space="preserve">(7), 1–17. </w:t>
      </w:r>
      <w:hyperlink r:id="rId11" w:history="1">
        <w:r w:rsidRPr="00D82331">
          <w:rPr>
            <w:rStyle w:val="Hyperlink"/>
            <w:rFonts w:ascii="Calibri" w:eastAsia="Times New Roman" w:hAnsi="Calibri" w:cs="Calibri"/>
            <w:sz w:val="22"/>
            <w:szCs w:val="22"/>
            <w:lang w:val="en-US" w:eastAsia="nl-NL"/>
          </w:rPr>
          <w:t>https://doi.org/10.1371/journal.pone.0155703</w:t>
        </w:r>
      </w:hyperlink>
    </w:p>
    <w:p w:rsidR="004A42B4" w:rsidRDefault="004A42B4" w:rsidP="00D82331">
      <w:pPr>
        <w:pStyle w:val="Geenafstand"/>
        <w:rPr>
          <w:rFonts w:ascii="Calibri" w:eastAsia="Times New Roman" w:hAnsi="Calibri"/>
          <w:color w:val="000000"/>
          <w:sz w:val="22"/>
          <w:szCs w:val="22"/>
          <w:lang w:val="en-US" w:eastAsia="nl-NL"/>
        </w:rPr>
      </w:pPr>
      <w:r w:rsidRPr="00D82331">
        <w:rPr>
          <w:rFonts w:ascii="Calibri" w:eastAsia="Times New Roman" w:hAnsi="Calibri"/>
          <w:color w:val="000000"/>
          <w:sz w:val="22"/>
          <w:szCs w:val="22"/>
          <w:lang w:val="en-US" w:eastAsia="nl-NL"/>
        </w:rPr>
        <w:t xml:space="preserve">Frey, V., </w:t>
      </w:r>
      <w:proofErr w:type="spellStart"/>
      <w:r w:rsidRPr="00D82331">
        <w:rPr>
          <w:rFonts w:ascii="Calibri" w:eastAsia="Times New Roman" w:hAnsi="Calibri"/>
          <w:color w:val="000000"/>
          <w:sz w:val="22"/>
          <w:szCs w:val="22"/>
          <w:lang w:val="en-US" w:eastAsia="nl-NL"/>
        </w:rPr>
        <w:t>Buskens</w:t>
      </w:r>
      <w:proofErr w:type="spellEnd"/>
      <w:r w:rsidRPr="00D82331">
        <w:rPr>
          <w:rFonts w:ascii="Calibri" w:eastAsia="Times New Roman" w:hAnsi="Calibri"/>
          <w:color w:val="000000"/>
          <w:sz w:val="22"/>
          <w:szCs w:val="22"/>
          <w:lang w:val="en-US" w:eastAsia="nl-NL"/>
        </w:rPr>
        <w:t xml:space="preserve">, V., &amp; Corten, R. (2019). Investments in and returns on network embeddedness: An experiment with trust games. Social Networks, 56, 81–92. https://doi.org/10.1016/j. socnet.2018.07.006 </w:t>
      </w:r>
    </w:p>
    <w:p w:rsidR="009F1DF0" w:rsidRPr="00D82331" w:rsidRDefault="009F1DF0" w:rsidP="00D82331">
      <w:pPr>
        <w:pStyle w:val="Geenafstand"/>
        <w:rPr>
          <w:rFonts w:ascii="Calibri" w:eastAsia="Times New Roman" w:hAnsi="Calibri"/>
          <w:color w:val="000000"/>
          <w:sz w:val="22"/>
          <w:szCs w:val="22"/>
          <w:lang w:val="en-US" w:eastAsia="nl-NL"/>
        </w:rPr>
      </w:pPr>
      <w:r w:rsidRPr="00D82331">
        <w:rPr>
          <w:rFonts w:ascii="Calibri" w:eastAsia="Times New Roman" w:hAnsi="Calibri"/>
          <w:color w:val="000000"/>
          <w:sz w:val="22"/>
          <w:szCs w:val="22"/>
          <w:lang w:val="en-US" w:eastAsia="nl-NL"/>
        </w:rPr>
        <w:t xml:space="preserve">Huck, S., </w:t>
      </w:r>
      <w:proofErr w:type="spellStart"/>
      <w:r w:rsidRPr="00D82331">
        <w:rPr>
          <w:rFonts w:ascii="Calibri" w:eastAsia="Times New Roman" w:hAnsi="Calibri"/>
          <w:color w:val="000000"/>
          <w:sz w:val="22"/>
          <w:szCs w:val="22"/>
          <w:lang w:val="en-US" w:eastAsia="nl-NL"/>
        </w:rPr>
        <w:t>Lünser</w:t>
      </w:r>
      <w:proofErr w:type="spellEnd"/>
      <w:r w:rsidRPr="00D82331">
        <w:rPr>
          <w:rFonts w:ascii="Calibri" w:eastAsia="Times New Roman" w:hAnsi="Calibri"/>
          <w:color w:val="000000"/>
          <w:sz w:val="22"/>
          <w:szCs w:val="22"/>
          <w:lang w:val="en-US" w:eastAsia="nl-NL"/>
        </w:rPr>
        <w:t xml:space="preserve">, G. K. &amp; </w:t>
      </w:r>
      <w:proofErr w:type="spellStart"/>
      <w:r w:rsidRPr="00D82331">
        <w:rPr>
          <w:rFonts w:ascii="Calibri" w:eastAsia="Times New Roman" w:hAnsi="Calibri"/>
          <w:color w:val="000000"/>
          <w:sz w:val="22"/>
          <w:szCs w:val="22"/>
          <w:lang w:val="en-US" w:eastAsia="nl-NL"/>
        </w:rPr>
        <w:t>Tyran</w:t>
      </w:r>
      <w:proofErr w:type="spellEnd"/>
      <w:r w:rsidRPr="00D82331">
        <w:rPr>
          <w:rFonts w:ascii="Calibri" w:eastAsia="Times New Roman" w:hAnsi="Calibri"/>
          <w:color w:val="000000"/>
          <w:sz w:val="22"/>
          <w:szCs w:val="22"/>
          <w:lang w:val="en-US" w:eastAsia="nl-NL"/>
        </w:rPr>
        <w:t xml:space="preserve">, J.-R. (2012). Competition fosters trust. </w:t>
      </w:r>
      <w:r w:rsidRPr="00D82331">
        <w:rPr>
          <w:rFonts w:ascii="Calibri" w:eastAsia="Times New Roman" w:hAnsi="Calibri"/>
          <w:i/>
          <w:color w:val="000000"/>
          <w:sz w:val="22"/>
          <w:szCs w:val="22"/>
          <w:lang w:val="en-US" w:eastAsia="nl-NL"/>
        </w:rPr>
        <w:t xml:space="preserve">Games and Economic Behavior, 76, </w:t>
      </w:r>
      <w:r w:rsidRPr="00D82331">
        <w:rPr>
          <w:rFonts w:ascii="Calibri" w:eastAsia="Times New Roman" w:hAnsi="Calibri"/>
          <w:color w:val="000000"/>
          <w:sz w:val="22"/>
          <w:szCs w:val="22"/>
          <w:lang w:val="en-US" w:eastAsia="nl-NL"/>
        </w:rPr>
        <w:t xml:space="preserve">195-209. </w:t>
      </w:r>
      <w:hyperlink r:id="rId12" w:history="1">
        <w:r w:rsidRPr="00D82331">
          <w:rPr>
            <w:rStyle w:val="Hyperlink"/>
            <w:rFonts w:ascii="Calibri" w:eastAsia="Times New Roman" w:hAnsi="Calibri" w:cs="Calibri"/>
            <w:sz w:val="22"/>
            <w:szCs w:val="22"/>
            <w:lang w:eastAsia="nl-NL"/>
          </w:rPr>
          <w:t>http://dx.doi.org/10.1016/j.geb.2012.06.010</w:t>
        </w:r>
      </w:hyperlink>
    </w:p>
    <w:p w:rsidR="00D82331" w:rsidRPr="00D82331" w:rsidRDefault="00D82331" w:rsidP="00D82331">
      <w:pPr>
        <w:pStyle w:val="Geenafstand"/>
        <w:rPr>
          <w:rFonts w:ascii="Calibri" w:eastAsia="Times New Roman" w:hAnsi="Calibri" w:cs="Times New Roman"/>
          <w:sz w:val="22"/>
          <w:szCs w:val="22"/>
          <w:lang w:val="en-US" w:eastAsia="nl-NL"/>
        </w:rPr>
      </w:pPr>
      <w:r w:rsidRPr="00D82331">
        <w:rPr>
          <w:rFonts w:ascii="Calibri" w:hAnsi="Calibri"/>
          <w:sz w:val="22"/>
          <w:szCs w:val="22"/>
          <w:lang w:val="en-US"/>
        </w:rPr>
        <w:t xml:space="preserve">Pfeiffer, T., Tran, L., </w:t>
      </w:r>
      <w:proofErr w:type="spellStart"/>
      <w:r w:rsidRPr="00D82331">
        <w:rPr>
          <w:rFonts w:ascii="Calibri" w:hAnsi="Calibri"/>
          <w:sz w:val="22"/>
          <w:szCs w:val="22"/>
          <w:lang w:val="en-US"/>
        </w:rPr>
        <w:t>Krumme</w:t>
      </w:r>
      <w:proofErr w:type="spellEnd"/>
      <w:r w:rsidRPr="00D82331">
        <w:rPr>
          <w:rFonts w:ascii="Calibri" w:hAnsi="Calibri"/>
          <w:sz w:val="22"/>
          <w:szCs w:val="22"/>
          <w:lang w:val="en-US"/>
        </w:rPr>
        <w:t xml:space="preserve">, C., &amp; Rand, D. G. (2012). The value of reputation. </w:t>
      </w:r>
      <w:r w:rsidRPr="00D82331">
        <w:rPr>
          <w:rFonts w:ascii="Calibri" w:hAnsi="Calibri"/>
          <w:i/>
          <w:iCs/>
          <w:sz w:val="22"/>
          <w:szCs w:val="22"/>
          <w:lang w:val="en-US"/>
        </w:rPr>
        <w:t>Journal of The Royal Society Interface</w:t>
      </w:r>
      <w:r w:rsidRPr="00D82331">
        <w:rPr>
          <w:rFonts w:ascii="Calibri" w:hAnsi="Calibri"/>
          <w:sz w:val="22"/>
          <w:szCs w:val="22"/>
          <w:lang w:val="en-US"/>
        </w:rPr>
        <w:t xml:space="preserve">, </w:t>
      </w:r>
      <w:r w:rsidRPr="00D82331">
        <w:rPr>
          <w:rFonts w:ascii="Calibri" w:hAnsi="Calibri"/>
          <w:i/>
          <w:iCs/>
          <w:sz w:val="22"/>
          <w:szCs w:val="22"/>
          <w:lang w:val="en-US"/>
        </w:rPr>
        <w:t>9</w:t>
      </w:r>
      <w:r w:rsidRPr="00D82331">
        <w:rPr>
          <w:rFonts w:ascii="Calibri" w:hAnsi="Calibri"/>
          <w:sz w:val="22"/>
          <w:szCs w:val="22"/>
          <w:lang w:val="en-US"/>
        </w:rPr>
        <w:t xml:space="preserve">(76), 2791–2797. </w:t>
      </w:r>
      <w:r w:rsidRPr="00D82331">
        <w:rPr>
          <w:rFonts w:ascii="Calibri" w:hAnsi="Calibri"/>
          <w:color w:val="0000FF"/>
          <w:sz w:val="22"/>
          <w:szCs w:val="22"/>
          <w:lang w:val="en-US"/>
        </w:rPr>
        <w:t xml:space="preserve">https://doi.org/10.1098/rsif.2012.0332 </w:t>
      </w:r>
    </w:p>
    <w:p w:rsidR="004A42B4" w:rsidRPr="00D82331" w:rsidRDefault="004A42B4" w:rsidP="00D82331">
      <w:pPr>
        <w:pStyle w:val="Geenafstand"/>
        <w:rPr>
          <w:rFonts w:ascii="Calibri" w:hAnsi="Calibri"/>
          <w:sz w:val="22"/>
          <w:szCs w:val="22"/>
          <w:lang w:val="en-US"/>
        </w:rPr>
      </w:pPr>
      <w:proofErr w:type="spellStart"/>
      <w:r w:rsidRPr="00D82331">
        <w:rPr>
          <w:rFonts w:ascii="Calibri" w:hAnsi="Calibri"/>
          <w:sz w:val="22"/>
          <w:szCs w:val="22"/>
          <w:lang w:val="en-US"/>
        </w:rPr>
        <w:t>Seinen</w:t>
      </w:r>
      <w:proofErr w:type="spellEnd"/>
      <w:r w:rsidRPr="00D82331">
        <w:rPr>
          <w:rFonts w:ascii="Calibri" w:hAnsi="Calibri"/>
          <w:sz w:val="22"/>
          <w:szCs w:val="22"/>
          <w:lang w:val="en-US"/>
        </w:rPr>
        <w:t xml:space="preserve">, I., &amp; Schram, A. (2006). Social status and group norms: Indirect reciprocity in a repeated helping experiment. European Economic Review, 50(3), 581–602. </w:t>
      </w:r>
      <w:hyperlink r:id="rId13" w:history="1">
        <w:r w:rsidRPr="00D82331">
          <w:rPr>
            <w:rStyle w:val="Hyperlink"/>
            <w:rFonts w:ascii="Calibri" w:hAnsi="Calibri" w:cs="Calibri"/>
            <w:sz w:val="22"/>
            <w:szCs w:val="22"/>
            <w:lang w:val="en-US"/>
          </w:rPr>
          <w:t>https://doi.org/10.1016/j. euroecorev.2004.10.005</w:t>
        </w:r>
      </w:hyperlink>
    </w:p>
    <w:p w:rsidR="009F1DF0" w:rsidRPr="00D82331" w:rsidRDefault="009F1DF0" w:rsidP="00D82331">
      <w:pPr>
        <w:pStyle w:val="Geenafstand"/>
        <w:rPr>
          <w:rFonts w:ascii="Calibri" w:eastAsia="Times New Roman" w:hAnsi="Calibri"/>
          <w:color w:val="000000"/>
          <w:sz w:val="22"/>
          <w:szCs w:val="22"/>
          <w:lang w:val="en-US" w:eastAsia="nl-NL"/>
        </w:rPr>
      </w:pPr>
      <w:r w:rsidRPr="00D82331">
        <w:rPr>
          <w:rFonts w:ascii="Calibri" w:eastAsia="Times New Roman" w:hAnsi="Calibri"/>
          <w:color w:val="000000"/>
          <w:sz w:val="22"/>
          <w:szCs w:val="22"/>
          <w:lang w:eastAsia="nl-NL"/>
        </w:rPr>
        <w:t xml:space="preserve">Van Miltenburg, N., Buskens, V., &amp; </w:t>
      </w:r>
      <w:proofErr w:type="spellStart"/>
      <w:r w:rsidRPr="00D82331">
        <w:rPr>
          <w:rFonts w:ascii="Calibri" w:eastAsia="Times New Roman" w:hAnsi="Calibri"/>
          <w:color w:val="000000"/>
          <w:sz w:val="22"/>
          <w:szCs w:val="22"/>
          <w:lang w:eastAsia="nl-NL"/>
        </w:rPr>
        <w:t>Raub</w:t>
      </w:r>
      <w:proofErr w:type="spellEnd"/>
      <w:r w:rsidRPr="00D82331">
        <w:rPr>
          <w:rFonts w:ascii="Calibri" w:eastAsia="Times New Roman" w:hAnsi="Calibri"/>
          <w:color w:val="000000"/>
          <w:sz w:val="22"/>
          <w:szCs w:val="22"/>
          <w:lang w:eastAsia="nl-NL"/>
        </w:rPr>
        <w:t xml:space="preserve">, W. (2012). </w:t>
      </w:r>
      <w:r w:rsidRPr="00D82331">
        <w:rPr>
          <w:rFonts w:ascii="Calibri" w:eastAsia="Times New Roman" w:hAnsi="Calibri"/>
          <w:color w:val="000000"/>
          <w:sz w:val="22"/>
          <w:szCs w:val="22"/>
          <w:lang w:val="en-US" w:eastAsia="nl-NL"/>
        </w:rPr>
        <w:t xml:space="preserve">Trust in triads: Experience effects. Social Networks, 34(4), 425–428. </w:t>
      </w:r>
      <w:hyperlink r:id="rId14" w:history="1">
        <w:r w:rsidRPr="00D82331">
          <w:rPr>
            <w:rStyle w:val="Hyperlink"/>
            <w:rFonts w:ascii="Calibri" w:eastAsia="Times New Roman" w:hAnsi="Calibri" w:cs="Calibri"/>
            <w:sz w:val="22"/>
            <w:szCs w:val="22"/>
            <w:lang w:val="en-US" w:eastAsia="nl-NL"/>
          </w:rPr>
          <w:t>https://doi.org/10.1016/j.socnet.2012.01.006</w:t>
        </w:r>
      </w:hyperlink>
    </w:p>
    <w:p w:rsidR="009F1DF0" w:rsidRPr="004A42B4" w:rsidRDefault="009F1DF0" w:rsidP="004A42B4">
      <w:pPr>
        <w:rPr>
          <w:rFonts w:ascii="Calibri" w:eastAsia="Times New Roman" w:hAnsi="Calibri" w:cs="Calibri"/>
          <w:color w:val="000000"/>
          <w:sz w:val="22"/>
          <w:szCs w:val="22"/>
          <w:lang w:val="en-US" w:eastAsia="nl-NL"/>
        </w:rPr>
      </w:pPr>
    </w:p>
    <w:p w:rsidR="004A42B4" w:rsidRPr="004A42B4" w:rsidRDefault="004A42B4" w:rsidP="004A42B4">
      <w:pPr>
        <w:rPr>
          <w:rFonts w:ascii="Calibri" w:hAnsi="Calibri" w:cs="Calibri"/>
          <w:sz w:val="22"/>
          <w:szCs w:val="22"/>
          <w:lang w:val="en-US"/>
        </w:rPr>
      </w:pPr>
    </w:p>
    <w:sectPr w:rsidR="004A42B4" w:rsidRPr="004A42B4" w:rsidSect="00CE378E">
      <w:pgSz w:w="11900" w:h="16840"/>
      <w:pgMar w:top="720" w:right="720" w:bottom="816"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95E" w:rsidRDefault="00D8595E" w:rsidP="002A6FA1">
      <w:r>
        <w:separator/>
      </w:r>
    </w:p>
  </w:endnote>
  <w:endnote w:type="continuationSeparator" w:id="0">
    <w:p w:rsidR="00D8595E" w:rsidRDefault="00D8595E" w:rsidP="002A6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95E" w:rsidRDefault="00D8595E" w:rsidP="002A6FA1">
      <w:r>
        <w:separator/>
      </w:r>
    </w:p>
  </w:footnote>
  <w:footnote w:type="continuationSeparator" w:id="0">
    <w:p w:rsidR="00D8595E" w:rsidRDefault="00D8595E" w:rsidP="002A6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013CF"/>
    <w:multiLevelType w:val="hybridMultilevel"/>
    <w:tmpl w:val="9E3CE078"/>
    <w:lvl w:ilvl="0" w:tplc="C8B45462">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A167D35"/>
    <w:multiLevelType w:val="hybridMultilevel"/>
    <w:tmpl w:val="BD48FE6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D6D239E"/>
    <w:multiLevelType w:val="hybridMultilevel"/>
    <w:tmpl w:val="AC04840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D94625C"/>
    <w:multiLevelType w:val="hybridMultilevel"/>
    <w:tmpl w:val="273481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1E87FEE"/>
    <w:multiLevelType w:val="hybridMultilevel"/>
    <w:tmpl w:val="4E904F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4B3C96"/>
    <w:multiLevelType w:val="hybridMultilevel"/>
    <w:tmpl w:val="F8B017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0C6376"/>
    <w:multiLevelType w:val="hybridMultilevel"/>
    <w:tmpl w:val="F8B017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DB61646"/>
    <w:multiLevelType w:val="hybridMultilevel"/>
    <w:tmpl w:val="550E8190"/>
    <w:lvl w:ilvl="0" w:tplc="0413000F">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00C182F"/>
    <w:multiLevelType w:val="hybridMultilevel"/>
    <w:tmpl w:val="63D8AC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0B3D78"/>
    <w:multiLevelType w:val="hybridMultilevel"/>
    <w:tmpl w:val="89B0B2D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E242E55"/>
    <w:multiLevelType w:val="hybridMultilevel"/>
    <w:tmpl w:val="89B0B2D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11D2877"/>
    <w:multiLevelType w:val="hybridMultilevel"/>
    <w:tmpl w:val="379E15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22B1984"/>
    <w:multiLevelType w:val="hybridMultilevel"/>
    <w:tmpl w:val="B1AC865A"/>
    <w:lvl w:ilvl="0" w:tplc="236A1C5E">
      <w:start w:val="1"/>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76B3780B"/>
    <w:multiLevelType w:val="hybridMultilevel"/>
    <w:tmpl w:val="EB54B9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CB91AA4"/>
    <w:multiLevelType w:val="hybridMultilevel"/>
    <w:tmpl w:val="360824B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7F6C2DC5"/>
    <w:multiLevelType w:val="hybridMultilevel"/>
    <w:tmpl w:val="25DA76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6"/>
  </w:num>
  <w:num w:numId="5">
    <w:abstractNumId w:val="12"/>
  </w:num>
  <w:num w:numId="6">
    <w:abstractNumId w:val="4"/>
  </w:num>
  <w:num w:numId="7">
    <w:abstractNumId w:val="10"/>
  </w:num>
  <w:num w:numId="8">
    <w:abstractNumId w:val="11"/>
  </w:num>
  <w:num w:numId="9">
    <w:abstractNumId w:val="8"/>
  </w:num>
  <w:num w:numId="10">
    <w:abstractNumId w:val="13"/>
  </w:num>
  <w:num w:numId="11">
    <w:abstractNumId w:val="14"/>
  </w:num>
  <w:num w:numId="12">
    <w:abstractNumId w:val="2"/>
  </w:num>
  <w:num w:numId="13">
    <w:abstractNumId w:val="1"/>
  </w:num>
  <w:num w:numId="14">
    <w:abstractNumId w:val="9"/>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E8"/>
    <w:rsid w:val="000845C6"/>
    <w:rsid w:val="000956EC"/>
    <w:rsid w:val="000B4539"/>
    <w:rsid w:val="000B5946"/>
    <w:rsid w:val="00101E60"/>
    <w:rsid w:val="001364AD"/>
    <w:rsid w:val="00210B94"/>
    <w:rsid w:val="002355BC"/>
    <w:rsid w:val="002A6FA1"/>
    <w:rsid w:val="002F3296"/>
    <w:rsid w:val="00312E14"/>
    <w:rsid w:val="003248C0"/>
    <w:rsid w:val="0036069D"/>
    <w:rsid w:val="003A536B"/>
    <w:rsid w:val="003D50A5"/>
    <w:rsid w:val="003F0A8E"/>
    <w:rsid w:val="00404AA0"/>
    <w:rsid w:val="004752E7"/>
    <w:rsid w:val="00491D43"/>
    <w:rsid w:val="004A42B4"/>
    <w:rsid w:val="004C1A82"/>
    <w:rsid w:val="005277B0"/>
    <w:rsid w:val="00597931"/>
    <w:rsid w:val="005C3F69"/>
    <w:rsid w:val="005D2DC1"/>
    <w:rsid w:val="00631C66"/>
    <w:rsid w:val="006670D9"/>
    <w:rsid w:val="00675D95"/>
    <w:rsid w:val="006A70C3"/>
    <w:rsid w:val="006D2EF3"/>
    <w:rsid w:val="00732494"/>
    <w:rsid w:val="007341FF"/>
    <w:rsid w:val="00742D2E"/>
    <w:rsid w:val="00767D2D"/>
    <w:rsid w:val="00797F34"/>
    <w:rsid w:val="007A3250"/>
    <w:rsid w:val="007D15A7"/>
    <w:rsid w:val="00801E73"/>
    <w:rsid w:val="0081516D"/>
    <w:rsid w:val="00896C33"/>
    <w:rsid w:val="00904134"/>
    <w:rsid w:val="00907CC3"/>
    <w:rsid w:val="00936C83"/>
    <w:rsid w:val="009F1DF0"/>
    <w:rsid w:val="00AC69A1"/>
    <w:rsid w:val="00B41ECD"/>
    <w:rsid w:val="00BA53B7"/>
    <w:rsid w:val="00C15A51"/>
    <w:rsid w:val="00C20EEA"/>
    <w:rsid w:val="00CB66E8"/>
    <w:rsid w:val="00CC5711"/>
    <w:rsid w:val="00CD30ED"/>
    <w:rsid w:val="00CE378E"/>
    <w:rsid w:val="00D04BBE"/>
    <w:rsid w:val="00D82331"/>
    <w:rsid w:val="00D8595E"/>
    <w:rsid w:val="00DF522A"/>
    <w:rsid w:val="00E86D73"/>
    <w:rsid w:val="00EC6F3E"/>
    <w:rsid w:val="00F81608"/>
    <w:rsid w:val="00FA6DC0"/>
    <w:rsid w:val="00FB27C3"/>
    <w:rsid w:val="00FC73E8"/>
    <w:rsid w:val="00FD5B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DB64"/>
  <w15:chartTrackingRefBased/>
  <w15:docId w15:val="{0F1B4DC0-7465-E043-8785-5F7CD0DC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B66E8"/>
    <w:pPr>
      <w:ind w:left="720"/>
      <w:contextualSpacing/>
    </w:pPr>
  </w:style>
  <w:style w:type="character" w:styleId="Hyperlink">
    <w:name w:val="Hyperlink"/>
    <w:basedOn w:val="Standaardalinea-lettertype"/>
    <w:uiPriority w:val="99"/>
    <w:unhideWhenUsed/>
    <w:rsid w:val="003F0A8E"/>
    <w:rPr>
      <w:color w:val="0563C1" w:themeColor="hyperlink"/>
      <w:u w:val="single"/>
    </w:rPr>
  </w:style>
  <w:style w:type="character" w:styleId="Onopgelostemelding">
    <w:name w:val="Unresolved Mention"/>
    <w:basedOn w:val="Standaardalinea-lettertype"/>
    <w:uiPriority w:val="99"/>
    <w:rsid w:val="003F0A8E"/>
    <w:rPr>
      <w:color w:val="605E5C"/>
      <w:shd w:val="clear" w:color="auto" w:fill="E1DFDD"/>
    </w:rPr>
  </w:style>
  <w:style w:type="character" w:styleId="GevolgdeHyperlink">
    <w:name w:val="FollowedHyperlink"/>
    <w:basedOn w:val="Standaardalinea-lettertype"/>
    <w:uiPriority w:val="99"/>
    <w:semiHidden/>
    <w:unhideWhenUsed/>
    <w:rsid w:val="003F0A8E"/>
    <w:rPr>
      <w:color w:val="954F72" w:themeColor="followedHyperlink"/>
      <w:u w:val="single"/>
    </w:rPr>
  </w:style>
  <w:style w:type="character" w:styleId="Tekstvantijdelijkeaanduiding">
    <w:name w:val="Placeholder Text"/>
    <w:basedOn w:val="Standaardalinea-lettertype"/>
    <w:uiPriority w:val="99"/>
    <w:semiHidden/>
    <w:rsid w:val="00DF522A"/>
    <w:rPr>
      <w:color w:val="808080"/>
    </w:rPr>
  </w:style>
  <w:style w:type="table" w:styleId="Tabelraster">
    <w:name w:val="Table Grid"/>
    <w:basedOn w:val="Standaardtabel"/>
    <w:uiPriority w:val="39"/>
    <w:rsid w:val="00360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675D9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675D9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2">
    <w:name w:val="Plain Table 2"/>
    <w:basedOn w:val="Standaardtabel"/>
    <w:uiPriority w:val="42"/>
    <w:rsid w:val="00675D9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tekst">
    <w:name w:val="header"/>
    <w:basedOn w:val="Standaard"/>
    <w:link w:val="KoptekstChar"/>
    <w:uiPriority w:val="99"/>
    <w:unhideWhenUsed/>
    <w:rsid w:val="002A6FA1"/>
    <w:pPr>
      <w:tabs>
        <w:tab w:val="center" w:pos="4536"/>
        <w:tab w:val="right" w:pos="9072"/>
      </w:tabs>
    </w:pPr>
  </w:style>
  <w:style w:type="character" w:customStyle="1" w:styleId="KoptekstChar">
    <w:name w:val="Koptekst Char"/>
    <w:basedOn w:val="Standaardalinea-lettertype"/>
    <w:link w:val="Koptekst"/>
    <w:uiPriority w:val="99"/>
    <w:rsid w:val="002A6FA1"/>
  </w:style>
  <w:style w:type="paragraph" w:styleId="Voettekst">
    <w:name w:val="footer"/>
    <w:basedOn w:val="Standaard"/>
    <w:link w:val="VoettekstChar"/>
    <w:uiPriority w:val="99"/>
    <w:unhideWhenUsed/>
    <w:rsid w:val="002A6FA1"/>
    <w:pPr>
      <w:tabs>
        <w:tab w:val="center" w:pos="4536"/>
        <w:tab w:val="right" w:pos="9072"/>
      </w:tabs>
    </w:pPr>
  </w:style>
  <w:style w:type="character" w:customStyle="1" w:styleId="VoettekstChar">
    <w:name w:val="Voettekst Char"/>
    <w:basedOn w:val="Standaardalinea-lettertype"/>
    <w:link w:val="Voettekst"/>
    <w:uiPriority w:val="99"/>
    <w:rsid w:val="002A6FA1"/>
  </w:style>
  <w:style w:type="paragraph" w:styleId="Normaalweb">
    <w:name w:val="Normal (Web)"/>
    <w:basedOn w:val="Standaard"/>
    <w:uiPriority w:val="99"/>
    <w:unhideWhenUsed/>
    <w:rsid w:val="00D82331"/>
    <w:pPr>
      <w:spacing w:before="100" w:beforeAutospacing="1" w:after="100" w:afterAutospacing="1"/>
    </w:pPr>
    <w:rPr>
      <w:rFonts w:ascii="Times New Roman" w:eastAsia="Times New Roman" w:hAnsi="Times New Roman" w:cs="Times New Roman"/>
      <w:lang w:eastAsia="nl-NL"/>
    </w:rPr>
  </w:style>
  <w:style w:type="paragraph" w:styleId="Geenafstand">
    <w:name w:val="No Spacing"/>
    <w:uiPriority w:val="1"/>
    <w:qFormat/>
    <w:rsid w:val="00D82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493300">
      <w:bodyDiv w:val="1"/>
      <w:marLeft w:val="0"/>
      <w:marRight w:val="0"/>
      <w:marTop w:val="0"/>
      <w:marBottom w:val="0"/>
      <w:divBdr>
        <w:top w:val="none" w:sz="0" w:space="0" w:color="auto"/>
        <w:left w:val="none" w:sz="0" w:space="0" w:color="auto"/>
        <w:bottom w:val="none" w:sz="0" w:space="0" w:color="auto"/>
        <w:right w:val="none" w:sz="0" w:space="0" w:color="auto"/>
      </w:divBdr>
    </w:div>
    <w:div w:id="1031875528">
      <w:bodyDiv w:val="1"/>
      <w:marLeft w:val="0"/>
      <w:marRight w:val="0"/>
      <w:marTop w:val="0"/>
      <w:marBottom w:val="0"/>
      <w:divBdr>
        <w:top w:val="none" w:sz="0" w:space="0" w:color="auto"/>
        <w:left w:val="none" w:sz="0" w:space="0" w:color="auto"/>
        <w:bottom w:val="none" w:sz="0" w:space="0" w:color="auto"/>
        <w:right w:val="none" w:sz="0" w:space="0" w:color="auto"/>
      </w:divBdr>
      <w:divsChild>
        <w:div w:id="641040324">
          <w:marLeft w:val="0"/>
          <w:marRight w:val="0"/>
          <w:marTop w:val="0"/>
          <w:marBottom w:val="0"/>
          <w:divBdr>
            <w:top w:val="none" w:sz="0" w:space="0" w:color="auto"/>
            <w:left w:val="none" w:sz="0" w:space="0" w:color="auto"/>
            <w:bottom w:val="none" w:sz="0" w:space="0" w:color="auto"/>
            <w:right w:val="none" w:sz="0" w:space="0" w:color="auto"/>
          </w:divBdr>
          <w:divsChild>
            <w:div w:id="1795178208">
              <w:marLeft w:val="0"/>
              <w:marRight w:val="0"/>
              <w:marTop w:val="0"/>
              <w:marBottom w:val="0"/>
              <w:divBdr>
                <w:top w:val="none" w:sz="0" w:space="0" w:color="auto"/>
                <w:left w:val="none" w:sz="0" w:space="0" w:color="auto"/>
                <w:bottom w:val="none" w:sz="0" w:space="0" w:color="auto"/>
                <w:right w:val="none" w:sz="0" w:space="0" w:color="auto"/>
              </w:divBdr>
              <w:divsChild>
                <w:div w:id="7037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90406">
      <w:bodyDiv w:val="1"/>
      <w:marLeft w:val="0"/>
      <w:marRight w:val="0"/>
      <w:marTop w:val="0"/>
      <w:marBottom w:val="0"/>
      <w:divBdr>
        <w:top w:val="none" w:sz="0" w:space="0" w:color="auto"/>
        <w:left w:val="none" w:sz="0" w:space="0" w:color="auto"/>
        <w:bottom w:val="none" w:sz="0" w:space="0" w:color="auto"/>
        <w:right w:val="none" w:sz="0" w:space="0" w:color="auto"/>
      </w:divBdr>
    </w:div>
    <w:div w:id="1216814053">
      <w:bodyDiv w:val="1"/>
      <w:marLeft w:val="0"/>
      <w:marRight w:val="0"/>
      <w:marTop w:val="0"/>
      <w:marBottom w:val="0"/>
      <w:divBdr>
        <w:top w:val="none" w:sz="0" w:space="0" w:color="auto"/>
        <w:left w:val="none" w:sz="0" w:space="0" w:color="auto"/>
        <w:bottom w:val="none" w:sz="0" w:space="0" w:color="auto"/>
        <w:right w:val="none" w:sz="0" w:space="0" w:color="auto"/>
      </w:divBdr>
    </w:div>
    <w:div w:id="212730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57/0002828041301506" TargetMode="External"/><Relationship Id="rId13" Type="http://schemas.openxmlformats.org/officeDocument/2006/relationships/hyperlink" Target="https://doi.org/10.1016/j.%20euroecorev.2004.10.005" TargetMode="External"/><Relationship Id="rId3" Type="http://schemas.openxmlformats.org/officeDocument/2006/relationships/settings" Target="settings.xml"/><Relationship Id="rId7" Type="http://schemas.openxmlformats.org/officeDocument/2006/relationships/hyperlink" Target="http://www.jstor.org/stable/10.7758/9781610446082.6" TargetMode="External"/><Relationship Id="rId12" Type="http://schemas.openxmlformats.org/officeDocument/2006/relationships/hyperlink" Target="http://dx.doi.org/10.1016/j.geb.2012.06.0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15570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287/mnsc.1030.0199" TargetMode="External"/><Relationship Id="rId4" Type="http://schemas.openxmlformats.org/officeDocument/2006/relationships/webSettings" Target="webSettings.xml"/><Relationship Id="rId9" Type="http://schemas.openxmlformats.org/officeDocument/2006/relationships/hyperlink" Target="https://doi.org/10.1162/jeea.2005.3.2-3.322" TargetMode="External"/><Relationship Id="rId14" Type="http://schemas.openxmlformats.org/officeDocument/2006/relationships/hyperlink" Target="https://doi.org/10.1016/j.socnet.2012.01.006"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4282</Words>
  <Characters>19655</Characters>
  <Application>Microsoft Office Word</Application>
  <DocSecurity>0</DocSecurity>
  <Lines>503</Lines>
  <Paragraphs>310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T.B. (Thom)</dc:creator>
  <cp:keywords/>
  <dc:description/>
  <cp:lastModifiedBy>Volker, T.B. (Thom)</cp:lastModifiedBy>
  <cp:revision>2</cp:revision>
  <dcterms:created xsi:type="dcterms:W3CDTF">2021-11-19T12:35:00Z</dcterms:created>
  <dcterms:modified xsi:type="dcterms:W3CDTF">2021-11-19T12:35:00Z</dcterms:modified>
</cp:coreProperties>
</file>