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76561" w14:textId="77777777" w:rsidR="00C3570A" w:rsidRDefault="00C3570A" w:rsidP="00C3570A">
      <w:pPr>
        <w:jc w:val="right"/>
        <w:rPr>
          <w:b/>
        </w:rPr>
      </w:pPr>
      <w:r w:rsidRPr="004D6F6B">
        <w:rPr>
          <w:rFonts w:ascii="Verdana" w:hAnsi="Verdana" w:cs="Arial"/>
          <w:noProof/>
          <w:lang w:eastAsia="en-GB"/>
        </w:rPr>
        <w:drawing>
          <wp:inline distT="0" distB="0" distL="0" distR="0" wp14:anchorId="74B948E5" wp14:editId="032E671E">
            <wp:extent cx="1323975" cy="704850"/>
            <wp:effectExtent l="0" t="0" r="9525" b="0"/>
            <wp:docPr id="1" name="Picture 1" descr="GW Logo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W Logo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0A43" w14:textId="22ECF5A7" w:rsidR="007E67BB" w:rsidRPr="00C3570A" w:rsidRDefault="00C3570A">
      <w:pPr>
        <w:rPr>
          <w:b/>
          <w:sz w:val="24"/>
          <w:szCs w:val="24"/>
        </w:rPr>
      </w:pPr>
      <w:r w:rsidRPr="00C3570A">
        <w:rPr>
          <w:b/>
          <w:sz w:val="24"/>
          <w:szCs w:val="24"/>
        </w:rPr>
        <w:t>Job Description</w:t>
      </w:r>
    </w:p>
    <w:p w14:paraId="603B85E1" w14:textId="59BD7EE7" w:rsidR="00C3570A" w:rsidRDefault="00C3570A" w:rsidP="00C3570A">
      <w:pPr>
        <w:spacing w:line="360" w:lineRule="auto"/>
      </w:pPr>
      <w:r>
        <w:rPr>
          <w:b/>
        </w:rPr>
        <w:t xml:space="preserve">Job title: </w:t>
      </w:r>
      <w:r w:rsidR="00095F28">
        <w:rPr>
          <w:b/>
        </w:rPr>
        <w:tab/>
      </w:r>
      <w:r>
        <w:t>Campaigner</w:t>
      </w:r>
    </w:p>
    <w:p w14:paraId="668BE4E6" w14:textId="55BA531C" w:rsidR="00C3570A" w:rsidRDefault="00C3570A" w:rsidP="00C3570A">
      <w:pPr>
        <w:spacing w:line="360" w:lineRule="auto"/>
      </w:pPr>
      <w:r>
        <w:rPr>
          <w:b/>
        </w:rPr>
        <w:t xml:space="preserve">Reports to: </w:t>
      </w:r>
      <w:r w:rsidR="00095F28">
        <w:rPr>
          <w:b/>
        </w:rPr>
        <w:tab/>
      </w:r>
      <w:r w:rsidR="00A715BA">
        <w:t>Senior Campaigner, Land and Environmental Defenders Team</w:t>
      </w:r>
    </w:p>
    <w:p w14:paraId="1FD9356E" w14:textId="6813484A" w:rsidR="00C3570A" w:rsidRDefault="00C3570A" w:rsidP="00C3570A">
      <w:pPr>
        <w:spacing w:line="360" w:lineRule="auto"/>
      </w:pPr>
      <w:r>
        <w:rPr>
          <w:b/>
        </w:rPr>
        <w:t>Location</w:t>
      </w:r>
      <w:r>
        <w:t xml:space="preserve">: </w:t>
      </w:r>
      <w:r w:rsidR="00095F28">
        <w:tab/>
      </w:r>
      <w:r>
        <w:t>London with overseas travel as required</w:t>
      </w:r>
      <w:r w:rsidR="00834D8B">
        <w:t>, including to high risk environments</w:t>
      </w:r>
    </w:p>
    <w:p w14:paraId="5B2C1C69" w14:textId="7434A6B9" w:rsidR="00402529" w:rsidRPr="00162F3E" w:rsidRDefault="00834D8B" w:rsidP="00402529">
      <w:pPr>
        <w:spacing w:after="60" w:line="360" w:lineRule="auto"/>
        <w:jc w:val="both"/>
      </w:pPr>
      <w:r>
        <w:t>This role could be offered</w:t>
      </w:r>
      <w:r w:rsidR="00402529" w:rsidRPr="00162F3E">
        <w:t xml:space="preserve"> as a job share or on a part time basis.</w:t>
      </w:r>
    </w:p>
    <w:p w14:paraId="6AE389AF" w14:textId="77777777" w:rsidR="00C3570A" w:rsidRDefault="00C3570A" w:rsidP="00C3570A">
      <w:pPr>
        <w:spacing w:line="360" w:lineRule="auto"/>
      </w:pPr>
      <w:r>
        <w:rPr>
          <w:b/>
        </w:rPr>
        <w:t>Role Purpose</w:t>
      </w:r>
    </w:p>
    <w:p w14:paraId="052DCFAB" w14:textId="1D6866B8" w:rsidR="00402529" w:rsidRPr="00A715BA" w:rsidRDefault="00402529" w:rsidP="00402529">
      <w:pPr>
        <w:spacing w:line="360" w:lineRule="auto"/>
        <w:jc w:val="both"/>
      </w:pPr>
      <w:r w:rsidRPr="00A715BA">
        <w:t>As a Campaigner in the new, enlarged Land and Environmental Defenders campaign, y</w:t>
      </w:r>
      <w:bookmarkStart w:id="0" w:name="_GoBack"/>
      <w:bookmarkEnd w:id="0"/>
      <w:r w:rsidRPr="00A715BA">
        <w:t>ou will investigate</w:t>
      </w:r>
      <w:r w:rsidR="005B005E">
        <w:t xml:space="preserve">, </w:t>
      </w:r>
      <w:r w:rsidRPr="00A715BA">
        <w:t>gather and consolidate information relating to attacks on land and environmental defenders</w:t>
      </w:r>
      <w:r w:rsidR="00834D8B">
        <w:t xml:space="preserve"> and the communities they represent</w:t>
      </w:r>
      <w:r w:rsidRPr="00A715BA">
        <w:t xml:space="preserve">, and uses this to </w:t>
      </w:r>
      <w:r w:rsidR="00A715BA" w:rsidRPr="00A715BA">
        <w:t xml:space="preserve">publish high quality investigations and communications material to </w:t>
      </w:r>
      <w:r w:rsidRPr="00A715BA">
        <w:t>influence companies, investors, governments and other key advocacy targets to change their behaviour.</w:t>
      </w:r>
    </w:p>
    <w:p w14:paraId="6AABEA0A" w14:textId="77777777" w:rsidR="00C3570A" w:rsidRDefault="00C3570A" w:rsidP="00C3570A">
      <w:pPr>
        <w:spacing w:line="360" w:lineRule="auto"/>
        <w:rPr>
          <w:b/>
        </w:rPr>
      </w:pPr>
      <w:r>
        <w:rPr>
          <w:b/>
        </w:rPr>
        <w:t>Key responsibilities and accountabilities</w:t>
      </w:r>
    </w:p>
    <w:p w14:paraId="603E61FD" w14:textId="77777777" w:rsidR="00C3570A" w:rsidRDefault="00C3570A" w:rsidP="00C3570A">
      <w:pPr>
        <w:spacing w:line="360" w:lineRule="auto"/>
      </w:pPr>
      <w:r>
        <w:rPr>
          <w:b/>
        </w:rPr>
        <w:t>Campaigns and Advocacy</w:t>
      </w:r>
    </w:p>
    <w:p w14:paraId="1410A2A1" w14:textId="6CA0D675" w:rsidR="00394CE0" w:rsidRDefault="00A715BA" w:rsidP="00C3570A">
      <w:pPr>
        <w:pStyle w:val="ListParagraph"/>
        <w:numPr>
          <w:ilvl w:val="0"/>
          <w:numId w:val="2"/>
        </w:numPr>
        <w:spacing w:line="360" w:lineRule="auto"/>
      </w:pPr>
      <w:r>
        <w:t xml:space="preserve">Supports the </w:t>
      </w:r>
      <w:r w:rsidR="00394CE0">
        <w:t xml:space="preserve">development of the </w:t>
      </w:r>
      <w:r>
        <w:t xml:space="preserve">team </w:t>
      </w:r>
      <w:r w:rsidR="00394CE0">
        <w:t>strategy; develops tactics to respond to campaign issues and opportunities that arise</w:t>
      </w:r>
    </w:p>
    <w:p w14:paraId="65C7ED96" w14:textId="28E5EAB6" w:rsidR="00834D8B" w:rsidRDefault="00C3570A" w:rsidP="00C3570A">
      <w:pPr>
        <w:pStyle w:val="ListParagraph"/>
        <w:numPr>
          <w:ilvl w:val="0"/>
          <w:numId w:val="2"/>
        </w:numPr>
        <w:spacing w:line="360" w:lineRule="auto"/>
      </w:pPr>
      <w:r>
        <w:t>Plan</w:t>
      </w:r>
      <w:r w:rsidR="00A715BA">
        <w:t>s</w:t>
      </w:r>
      <w:r>
        <w:t xml:space="preserve"> and carry out high quality desk and field-based investigations</w:t>
      </w:r>
      <w:r w:rsidR="00834D8B">
        <w:t xml:space="preserve"> into attacks on land and environmental defenders and the causes of the underlying conflicts</w:t>
      </w:r>
      <w:r>
        <w:t xml:space="preserve"> and uses findings</w:t>
      </w:r>
      <w:r w:rsidR="00834D8B">
        <w:t xml:space="preserve"> to influence companies, governments and investors behaviour.</w:t>
      </w:r>
    </w:p>
    <w:p w14:paraId="54421760" w14:textId="5B38A19C" w:rsidR="00C3570A" w:rsidRDefault="00834D8B" w:rsidP="00C3570A">
      <w:pPr>
        <w:pStyle w:val="ListParagraph"/>
        <w:numPr>
          <w:ilvl w:val="0"/>
          <w:numId w:val="2"/>
        </w:numPr>
        <w:spacing w:line="360" w:lineRule="auto"/>
      </w:pPr>
      <w:r>
        <w:t>C</w:t>
      </w:r>
      <w:r w:rsidR="00C3570A">
        <w:t xml:space="preserve">ontributes to the development of an annual reporting </w:t>
      </w:r>
      <w:r>
        <w:t>output</w:t>
      </w:r>
      <w:r w:rsidR="00C3570A">
        <w:t xml:space="preserve"> </w:t>
      </w:r>
      <w:r w:rsidR="00A715BA">
        <w:t xml:space="preserve">and other campaign material </w:t>
      </w:r>
      <w:r w:rsidR="00C3570A">
        <w:t xml:space="preserve">which covers attacks on environmental and land activists </w:t>
      </w:r>
    </w:p>
    <w:p w14:paraId="0687B05F" w14:textId="53EDD329" w:rsidR="00C3570A" w:rsidRDefault="00A715BA" w:rsidP="00C3570A">
      <w:pPr>
        <w:pStyle w:val="ListParagraph"/>
        <w:numPr>
          <w:ilvl w:val="0"/>
          <w:numId w:val="2"/>
        </w:numPr>
        <w:spacing w:line="360" w:lineRule="auto"/>
      </w:pPr>
      <w:r>
        <w:t>Uses this data</w:t>
      </w:r>
      <w:r w:rsidR="00C3570A">
        <w:t xml:space="preserve"> to influence, for example, companies and investors </w:t>
      </w:r>
      <w:r>
        <w:t>within</w:t>
      </w:r>
      <w:r w:rsidR="00C3570A">
        <w:t xml:space="preserve"> their decision making</w:t>
      </w:r>
    </w:p>
    <w:p w14:paraId="1E85CE9B" w14:textId="77777777" w:rsidR="00C3570A" w:rsidRDefault="00C3570A" w:rsidP="00C3570A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Conducts relevant advocacy with industry, government, NGOs and other campaign targets</w:t>
      </w:r>
    </w:p>
    <w:p w14:paraId="42423CE2" w14:textId="77777777" w:rsidR="00C3570A" w:rsidRDefault="00C3570A" w:rsidP="00C3570A">
      <w:pPr>
        <w:pStyle w:val="ListParagraph"/>
        <w:numPr>
          <w:ilvl w:val="0"/>
          <w:numId w:val="2"/>
        </w:numPr>
        <w:spacing w:line="360" w:lineRule="auto"/>
      </w:pPr>
      <w:r>
        <w:t>Contributes to cross-campaign efforts, for example, climate change, by exposing the association between a company and/or industry and attacks on environmental and land activists</w:t>
      </w:r>
    </w:p>
    <w:p w14:paraId="02269481" w14:textId="6629E4C7" w:rsidR="00023043" w:rsidRDefault="00023043" w:rsidP="00023043">
      <w:pPr>
        <w:numPr>
          <w:ilvl w:val="0"/>
          <w:numId w:val="2"/>
        </w:numPr>
        <w:tabs>
          <w:tab w:val="left" w:pos="360"/>
        </w:tabs>
        <w:suppressAutoHyphens/>
        <w:spacing w:before="0" w:beforeAutospacing="0" w:line="360" w:lineRule="auto"/>
        <w:contextualSpacing/>
        <w:jc w:val="both"/>
        <w:rPr>
          <w:rFonts w:eastAsia="Calibri" w:cs="Calibri"/>
        </w:rPr>
      </w:pPr>
      <w:r w:rsidRPr="00E82F40">
        <w:rPr>
          <w:rFonts w:eastAsia="Calibri" w:cs="Calibri"/>
        </w:rPr>
        <w:t>Monitors key developments and attends relevant meetings and events related to Global Witness’ earth and land rights work</w:t>
      </w:r>
    </w:p>
    <w:p w14:paraId="703A9316" w14:textId="77777777" w:rsidR="006F1662" w:rsidRPr="00E82F40" w:rsidRDefault="006F1662" w:rsidP="006F1662">
      <w:pPr>
        <w:tabs>
          <w:tab w:val="left" w:pos="360"/>
        </w:tabs>
        <w:suppressAutoHyphens/>
        <w:spacing w:before="0" w:beforeAutospacing="0" w:line="360" w:lineRule="auto"/>
        <w:contextualSpacing/>
        <w:jc w:val="both"/>
        <w:rPr>
          <w:rFonts w:eastAsia="Calibri" w:cs="Calibri"/>
        </w:rPr>
      </w:pPr>
    </w:p>
    <w:p w14:paraId="1D1BC9A5" w14:textId="77777777" w:rsidR="00C3570A" w:rsidRDefault="00C3570A" w:rsidP="00C3570A">
      <w:pPr>
        <w:spacing w:line="360" w:lineRule="auto"/>
      </w:pPr>
      <w:r>
        <w:rPr>
          <w:b/>
        </w:rPr>
        <w:t>Communications</w:t>
      </w:r>
    </w:p>
    <w:p w14:paraId="4E137BEF" w14:textId="77777777" w:rsidR="00C3570A" w:rsidRDefault="00C3570A" w:rsidP="00C3570A">
      <w:pPr>
        <w:pStyle w:val="ListParagraph"/>
        <w:numPr>
          <w:ilvl w:val="0"/>
          <w:numId w:val="3"/>
        </w:numPr>
        <w:spacing w:line="360" w:lineRule="auto"/>
      </w:pPr>
      <w:r>
        <w:t>Works in partnership with the communications team to develop and produce high quality communication products for a diverse range of external audiences</w:t>
      </w:r>
    </w:p>
    <w:p w14:paraId="5C866B1F" w14:textId="23939538" w:rsidR="00C3570A" w:rsidRDefault="006B6715" w:rsidP="00C3570A">
      <w:pPr>
        <w:pStyle w:val="ListParagraph"/>
        <w:numPr>
          <w:ilvl w:val="0"/>
          <w:numId w:val="3"/>
        </w:numPr>
        <w:spacing w:line="360" w:lineRule="auto"/>
      </w:pPr>
      <w:r>
        <w:t xml:space="preserve">Develops and maintains </w:t>
      </w:r>
      <w:r w:rsidR="00C3570A">
        <w:t>good relationships with the media and proactively looks for new and innovative ways to communicate campaign messages</w:t>
      </w:r>
    </w:p>
    <w:p w14:paraId="2BC8624C" w14:textId="05C3418E" w:rsidR="00C3570A" w:rsidRDefault="00C3570A" w:rsidP="00C3570A">
      <w:pPr>
        <w:pStyle w:val="ListParagraph"/>
        <w:numPr>
          <w:ilvl w:val="0"/>
          <w:numId w:val="3"/>
        </w:numPr>
        <w:spacing w:line="360" w:lineRule="auto"/>
      </w:pPr>
      <w:r>
        <w:t>Represents Global Witness at a national and international level</w:t>
      </w:r>
    </w:p>
    <w:p w14:paraId="2EB6A566" w14:textId="3706F3B0" w:rsidR="00394CE0" w:rsidRDefault="00394CE0" w:rsidP="00C3570A">
      <w:pPr>
        <w:pStyle w:val="ListParagraph"/>
        <w:numPr>
          <w:ilvl w:val="0"/>
          <w:numId w:val="3"/>
        </w:numPr>
        <w:spacing w:line="360" w:lineRule="auto"/>
      </w:pPr>
      <w:r>
        <w:t>Carries out media interviews at a national and international level</w:t>
      </w:r>
    </w:p>
    <w:p w14:paraId="416FD5E0" w14:textId="77777777" w:rsidR="00C3570A" w:rsidRDefault="00C3570A" w:rsidP="00C3570A">
      <w:pPr>
        <w:pStyle w:val="ListParagraph"/>
        <w:numPr>
          <w:ilvl w:val="0"/>
          <w:numId w:val="3"/>
        </w:numPr>
        <w:spacing w:line="360" w:lineRule="auto"/>
      </w:pPr>
      <w:r>
        <w:t>Prepares materials for Global Witness’ website, social media, blog posts and talking points</w:t>
      </w:r>
    </w:p>
    <w:p w14:paraId="7A6CCB29" w14:textId="77777777" w:rsidR="00C3570A" w:rsidRDefault="00C3570A" w:rsidP="00C3570A">
      <w:pPr>
        <w:pStyle w:val="ListParagraph"/>
        <w:spacing w:line="360" w:lineRule="auto"/>
      </w:pPr>
    </w:p>
    <w:p w14:paraId="3ABAED77" w14:textId="77777777" w:rsidR="00C3570A" w:rsidRDefault="00C3570A" w:rsidP="00C3570A">
      <w:pPr>
        <w:pStyle w:val="ListParagraph"/>
        <w:spacing w:line="360" w:lineRule="auto"/>
        <w:ind w:left="0"/>
      </w:pPr>
      <w:r>
        <w:rPr>
          <w:b/>
        </w:rPr>
        <w:t>Ways of working and collaborating</w:t>
      </w:r>
    </w:p>
    <w:p w14:paraId="7543F515" w14:textId="1A25E683" w:rsidR="00DA0806" w:rsidRDefault="00C3570A" w:rsidP="00DA0806">
      <w:pPr>
        <w:pStyle w:val="ListParagraph"/>
        <w:numPr>
          <w:ilvl w:val="0"/>
          <w:numId w:val="5"/>
        </w:numPr>
        <w:spacing w:line="360" w:lineRule="auto"/>
      </w:pPr>
      <w:r>
        <w:t>Proactively supports fundraising and development activities by providing campaign information when requested and building relationships with key funders as appropriate</w:t>
      </w:r>
    </w:p>
    <w:p w14:paraId="4D1EC5CA" w14:textId="77777777" w:rsidR="00DA0806" w:rsidRDefault="00DA0806" w:rsidP="00DA0806">
      <w:pPr>
        <w:pStyle w:val="ListParagraph"/>
        <w:numPr>
          <w:ilvl w:val="0"/>
          <w:numId w:val="5"/>
        </w:numPr>
        <w:spacing w:line="360" w:lineRule="auto"/>
      </w:pPr>
      <w:r w:rsidRPr="00DA0806">
        <w:t>Work collaboratively with colleagues across Global Witness to collectively deliver our mission, vision and aims</w:t>
      </w:r>
    </w:p>
    <w:p w14:paraId="68D7BF4E" w14:textId="77777777" w:rsidR="00C3570A" w:rsidRDefault="00C3570A" w:rsidP="00DA0806">
      <w:pPr>
        <w:pStyle w:val="ListParagraph"/>
        <w:numPr>
          <w:ilvl w:val="0"/>
          <w:numId w:val="5"/>
        </w:numPr>
        <w:spacing w:line="360" w:lineRule="auto"/>
      </w:pPr>
      <w:r>
        <w:t>Makes a positive contribution to the strand and the wider organisation by playing an active role in campaign and organisation wide working groups and meetings</w:t>
      </w:r>
    </w:p>
    <w:p w14:paraId="7B16DAAF" w14:textId="0C95729D" w:rsidR="00DA0806" w:rsidRPr="00DA0806" w:rsidRDefault="00DA0806" w:rsidP="00DA0806">
      <w:pPr>
        <w:pStyle w:val="ListParagraph"/>
        <w:numPr>
          <w:ilvl w:val="0"/>
          <w:numId w:val="5"/>
        </w:numPr>
        <w:spacing w:line="360" w:lineRule="auto"/>
      </w:pPr>
      <w:r w:rsidRPr="00DA0806">
        <w:t>Demonstrate a strong commitment to creating an inclusive, equal and diverse workplace</w:t>
      </w:r>
    </w:p>
    <w:p w14:paraId="5D574B3A" w14:textId="77777777" w:rsidR="00DA0806" w:rsidRPr="00DA0806" w:rsidRDefault="00DA0806" w:rsidP="00DA0806">
      <w:pPr>
        <w:pStyle w:val="ListParagraph"/>
        <w:numPr>
          <w:ilvl w:val="0"/>
          <w:numId w:val="5"/>
        </w:numPr>
        <w:spacing w:line="360" w:lineRule="auto"/>
      </w:pPr>
      <w:r w:rsidRPr="00DA0806">
        <w:t>Work within Global Witness policies and procedures at all times, including confidentiality, source protection and security, legal and contractual requirements and general office procedures</w:t>
      </w:r>
    </w:p>
    <w:p w14:paraId="6162D74C" w14:textId="5BF23D82" w:rsidR="005B005E" w:rsidRDefault="005B005E" w:rsidP="00DA0806">
      <w:pPr>
        <w:pStyle w:val="ListParagraph"/>
        <w:numPr>
          <w:ilvl w:val="0"/>
          <w:numId w:val="5"/>
        </w:numPr>
        <w:spacing w:line="360" w:lineRule="auto"/>
      </w:pPr>
      <w:r>
        <w:t>Works with</w:t>
      </w:r>
      <w:r w:rsidR="00834D8B">
        <w:t xml:space="preserve"> and helps foster</w:t>
      </w:r>
      <w:r>
        <w:t xml:space="preserve"> a global network of civil society organisations and defenders</w:t>
      </w:r>
    </w:p>
    <w:p w14:paraId="35CCDBE3" w14:textId="77777777" w:rsidR="00411B36" w:rsidRDefault="00411B36" w:rsidP="00411B36">
      <w:pPr>
        <w:spacing w:line="360" w:lineRule="auto"/>
      </w:pPr>
      <w:r>
        <w:rPr>
          <w:b/>
        </w:rPr>
        <w:lastRenderedPageBreak/>
        <w:t>Other</w:t>
      </w:r>
    </w:p>
    <w:p w14:paraId="0F1C5A0D" w14:textId="66FD83B6" w:rsidR="00411B36" w:rsidRDefault="00411B36" w:rsidP="00411B36">
      <w:pPr>
        <w:pStyle w:val="ListParagraph"/>
        <w:numPr>
          <w:ilvl w:val="0"/>
          <w:numId w:val="5"/>
        </w:numPr>
        <w:spacing w:line="360" w:lineRule="auto"/>
      </w:pPr>
      <w:r>
        <w:t xml:space="preserve">Any other duties equal to the skills and responsibilities required for this role as directed by the </w:t>
      </w:r>
      <w:r w:rsidR="00424CBB">
        <w:t xml:space="preserve">Team </w:t>
      </w:r>
      <w:r>
        <w:t xml:space="preserve">Leader </w:t>
      </w:r>
      <w:r w:rsidR="006B6715">
        <w:t>or Senior Campaigner</w:t>
      </w:r>
    </w:p>
    <w:p w14:paraId="4DB75C3E" w14:textId="77777777" w:rsidR="00411B36" w:rsidRDefault="00411B36" w:rsidP="00411B36">
      <w:pPr>
        <w:pStyle w:val="ListParagraph"/>
        <w:numPr>
          <w:ilvl w:val="0"/>
          <w:numId w:val="5"/>
        </w:numPr>
        <w:spacing w:line="360" w:lineRule="auto"/>
      </w:pPr>
      <w:r>
        <w:t>This role is based in London with regular travel overseas to high risk environments</w:t>
      </w:r>
    </w:p>
    <w:p w14:paraId="0E5AA738" w14:textId="77777777" w:rsidR="00BF38CF" w:rsidRDefault="00BF38CF">
      <w:pPr>
        <w:spacing w:after="160" w:line="360" w:lineRule="auto"/>
      </w:pPr>
      <w:r>
        <w:br w:type="page"/>
      </w:r>
    </w:p>
    <w:p w14:paraId="46CDCA03" w14:textId="77777777" w:rsidR="00411B36" w:rsidRDefault="00BF38CF" w:rsidP="00411B36">
      <w:pPr>
        <w:spacing w:line="360" w:lineRule="auto"/>
      </w:pPr>
      <w:r>
        <w:rPr>
          <w:b/>
        </w:rPr>
        <w:lastRenderedPageBreak/>
        <w:t>Person Specification</w:t>
      </w:r>
    </w:p>
    <w:p w14:paraId="5FCBB78B" w14:textId="77777777" w:rsidR="00BF38CF" w:rsidRDefault="00BF38CF" w:rsidP="00411B36">
      <w:pPr>
        <w:spacing w:line="360" w:lineRule="auto"/>
        <w:rPr>
          <w:b/>
        </w:rPr>
      </w:pPr>
      <w:r>
        <w:rPr>
          <w:b/>
        </w:rPr>
        <w:t>Essential</w:t>
      </w:r>
    </w:p>
    <w:p w14:paraId="19EA487D" w14:textId="77777777" w:rsidR="003D59EB" w:rsidRPr="00E22CB6" w:rsidRDefault="003D59EB" w:rsidP="003D59EB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E22CB6">
        <w:t>Fluency in other languages</w:t>
      </w:r>
      <w:r>
        <w:t>, for example, Portuguese, Spanish or Arabic</w:t>
      </w:r>
    </w:p>
    <w:p w14:paraId="254D4343" w14:textId="77777777" w:rsidR="007A1512" w:rsidRDefault="007A1512" w:rsidP="007A1512">
      <w:pPr>
        <w:pStyle w:val="ListParagraph"/>
        <w:numPr>
          <w:ilvl w:val="0"/>
          <w:numId w:val="11"/>
        </w:numPr>
        <w:spacing w:line="360" w:lineRule="auto"/>
      </w:pPr>
      <w:r>
        <w:t>Proven ability to conduct advocacy with a broad range of stakeholders from industry through to governments</w:t>
      </w:r>
    </w:p>
    <w:p w14:paraId="0A094F4D" w14:textId="77777777" w:rsidR="006B6715" w:rsidRDefault="006B6715" w:rsidP="006B6715">
      <w:pPr>
        <w:pStyle w:val="ListParagraph"/>
        <w:numPr>
          <w:ilvl w:val="0"/>
          <w:numId w:val="11"/>
        </w:numPr>
        <w:spacing w:line="360" w:lineRule="auto"/>
      </w:pPr>
      <w:r>
        <w:t>Proven track record of writing, editing and producing written materials to a high standard for a variety of audiences</w:t>
      </w:r>
    </w:p>
    <w:p w14:paraId="164E60A1" w14:textId="57DDAF64" w:rsidR="006B6715" w:rsidRDefault="006B6715" w:rsidP="006B6715">
      <w:pPr>
        <w:pStyle w:val="ListParagraph"/>
        <w:numPr>
          <w:ilvl w:val="0"/>
          <w:numId w:val="11"/>
        </w:numPr>
        <w:spacing w:line="360" w:lineRule="auto"/>
      </w:pPr>
      <w:r>
        <w:t xml:space="preserve">Demonstrable track record in influencing decision makers </w:t>
      </w:r>
    </w:p>
    <w:p w14:paraId="201A2D2B" w14:textId="2233EDE7" w:rsidR="007A1512" w:rsidRDefault="007A1512" w:rsidP="007A1512">
      <w:pPr>
        <w:pStyle w:val="ListParagraph"/>
        <w:numPr>
          <w:ilvl w:val="0"/>
          <w:numId w:val="11"/>
        </w:numPr>
        <w:spacing w:line="360" w:lineRule="auto"/>
      </w:pPr>
      <w:r>
        <w:t>Previous track record in delivering to agreed deliverables and timescales</w:t>
      </w:r>
    </w:p>
    <w:p w14:paraId="16DBD7A3" w14:textId="77777777" w:rsidR="00486212" w:rsidRDefault="00486212" w:rsidP="00486212">
      <w:pPr>
        <w:pStyle w:val="ListParagraph"/>
        <w:numPr>
          <w:ilvl w:val="0"/>
          <w:numId w:val="11"/>
        </w:numPr>
        <w:spacing w:line="360" w:lineRule="auto"/>
      </w:pPr>
      <w:r>
        <w:t>Demonstrates excellent written and verbal communication skills; communicates with diverse audiences effectively</w:t>
      </w:r>
    </w:p>
    <w:p w14:paraId="6800A06F" w14:textId="1525C7E1" w:rsidR="007A1512" w:rsidRDefault="007A1512" w:rsidP="007A1512">
      <w:pPr>
        <w:pStyle w:val="ListParagraph"/>
        <w:numPr>
          <w:ilvl w:val="0"/>
          <w:numId w:val="11"/>
        </w:numPr>
        <w:spacing w:line="360" w:lineRule="auto"/>
      </w:pPr>
      <w:r>
        <w:t xml:space="preserve">Experience of conducting research, </w:t>
      </w:r>
      <w:r w:rsidR="006B6715">
        <w:t xml:space="preserve">and </w:t>
      </w:r>
      <w:r>
        <w:t>data analysis</w:t>
      </w:r>
    </w:p>
    <w:p w14:paraId="7B17BD94" w14:textId="186D60D5" w:rsidR="007A1512" w:rsidRDefault="007A1512" w:rsidP="007A1512">
      <w:pPr>
        <w:pStyle w:val="ListParagraph"/>
        <w:numPr>
          <w:ilvl w:val="0"/>
          <w:numId w:val="11"/>
        </w:numPr>
        <w:spacing w:line="360" w:lineRule="auto"/>
      </w:pPr>
      <w:r>
        <w:t>Working experience in one of more of the following areas:</w:t>
      </w:r>
      <w:r w:rsidR="006B6715">
        <w:t xml:space="preserve"> </w:t>
      </w:r>
      <w:r>
        <w:t>Human Rights, Environmental Issues, Anti-Corruption or International Development</w:t>
      </w:r>
    </w:p>
    <w:p w14:paraId="55F52174" w14:textId="77777777" w:rsidR="006B6715" w:rsidRDefault="00301DC6" w:rsidP="007A1512">
      <w:pPr>
        <w:pStyle w:val="ListParagraph"/>
        <w:numPr>
          <w:ilvl w:val="0"/>
          <w:numId w:val="11"/>
        </w:numPr>
        <w:spacing w:line="360" w:lineRule="auto"/>
      </w:pPr>
      <w:r>
        <w:t>Experience of</w:t>
      </w:r>
      <w:r w:rsidR="006B6715">
        <w:t xml:space="preserve"> working with the media </w:t>
      </w:r>
      <w:r>
        <w:t xml:space="preserve"> </w:t>
      </w:r>
    </w:p>
    <w:p w14:paraId="34E6E98F" w14:textId="25CA1E32" w:rsidR="00301DC6" w:rsidRDefault="00301DC6" w:rsidP="007A1512">
      <w:pPr>
        <w:pStyle w:val="ListParagraph"/>
        <w:numPr>
          <w:ilvl w:val="0"/>
          <w:numId w:val="11"/>
        </w:numPr>
        <w:spacing w:line="360" w:lineRule="auto"/>
      </w:pPr>
      <w:r>
        <w:t>Displays a strong commitment to and genuine enjoyment of team work</w:t>
      </w:r>
    </w:p>
    <w:p w14:paraId="67FC2D3C" w14:textId="77777777" w:rsidR="00301DC6" w:rsidRDefault="00301DC6" w:rsidP="007A1512">
      <w:pPr>
        <w:pStyle w:val="ListParagraph"/>
        <w:numPr>
          <w:ilvl w:val="0"/>
          <w:numId w:val="11"/>
        </w:numPr>
        <w:spacing w:line="360" w:lineRule="auto"/>
      </w:pPr>
      <w:r>
        <w:t>Skilled at adapting influencing approaches and communication style to meet the differing needs of diverse stakeholders</w:t>
      </w:r>
    </w:p>
    <w:p w14:paraId="5060368E" w14:textId="77777777" w:rsidR="00301DC6" w:rsidRDefault="00301DC6" w:rsidP="007A1512">
      <w:pPr>
        <w:pStyle w:val="ListParagraph"/>
        <w:numPr>
          <w:ilvl w:val="0"/>
          <w:numId w:val="11"/>
        </w:numPr>
        <w:spacing w:line="360" w:lineRule="auto"/>
      </w:pPr>
      <w:r>
        <w:t>Demonstrates the ability to be flexible, responds positively to change; works well under pressure and deals with multiple priorities</w:t>
      </w:r>
    </w:p>
    <w:p w14:paraId="759AC137" w14:textId="1E5408E8" w:rsidR="00301DC6" w:rsidRDefault="00301DC6" w:rsidP="007A1512">
      <w:pPr>
        <w:pStyle w:val="ListParagraph"/>
        <w:numPr>
          <w:ilvl w:val="0"/>
          <w:numId w:val="11"/>
        </w:numPr>
        <w:spacing w:line="360" w:lineRule="auto"/>
      </w:pPr>
      <w:r>
        <w:t>Willingness and ability to travel frequently, sometimes at short notice, including to high risk environments</w:t>
      </w:r>
    </w:p>
    <w:p w14:paraId="18E65C3D" w14:textId="30E2D2E0" w:rsidR="00F967A8" w:rsidRDefault="00F967A8" w:rsidP="007A1512">
      <w:pPr>
        <w:pStyle w:val="ListParagraph"/>
        <w:numPr>
          <w:ilvl w:val="0"/>
          <w:numId w:val="11"/>
        </w:numPr>
        <w:spacing w:line="360" w:lineRule="auto"/>
      </w:pPr>
      <w:r>
        <w:t>Experience of working with human rights or environmental activists and NGOs.</w:t>
      </w:r>
    </w:p>
    <w:p w14:paraId="4CF346CD" w14:textId="77777777" w:rsidR="00301DC6" w:rsidRDefault="00301DC6">
      <w:pPr>
        <w:spacing w:after="160" w:line="360" w:lineRule="auto"/>
        <w:rPr>
          <w:b/>
        </w:rPr>
      </w:pPr>
      <w:r>
        <w:rPr>
          <w:b/>
        </w:rPr>
        <w:br w:type="page"/>
      </w:r>
    </w:p>
    <w:p w14:paraId="2BF00F00" w14:textId="711310AA" w:rsidR="00BF38CF" w:rsidRDefault="00EE3A6A" w:rsidP="00BF38CF">
      <w:pPr>
        <w:spacing w:line="360" w:lineRule="auto"/>
        <w:rPr>
          <w:b/>
        </w:rPr>
      </w:pPr>
      <w:r>
        <w:rPr>
          <w:b/>
        </w:rPr>
        <w:lastRenderedPageBreak/>
        <w:t xml:space="preserve">Highly </w:t>
      </w:r>
      <w:r w:rsidR="00BF38CF">
        <w:rPr>
          <w:b/>
        </w:rPr>
        <w:t>Desirable</w:t>
      </w:r>
    </w:p>
    <w:p w14:paraId="5245F97A" w14:textId="77777777" w:rsidR="006B6715" w:rsidRDefault="006B6715" w:rsidP="006B6715">
      <w:pPr>
        <w:pStyle w:val="ListParagraph"/>
        <w:numPr>
          <w:ilvl w:val="0"/>
          <w:numId w:val="8"/>
        </w:numPr>
        <w:spacing w:line="360" w:lineRule="auto"/>
      </w:pPr>
      <w:r>
        <w:t>Experience in carrying out investigations</w:t>
      </w:r>
    </w:p>
    <w:p w14:paraId="337C3563" w14:textId="3728970F" w:rsidR="00BF38CF" w:rsidRPr="006B6715" w:rsidRDefault="00301DC6" w:rsidP="00BF38C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t>Direct experience of working on human rights issues relating to extractives, agribusiness and fossil fuels</w:t>
      </w:r>
    </w:p>
    <w:p w14:paraId="2B37DF76" w14:textId="2B38BB63" w:rsidR="006B6715" w:rsidRPr="00301DC6" w:rsidRDefault="006B6715" w:rsidP="00BF38C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t>Direct advocacy experience lobbying in China, the EU or the US</w:t>
      </w:r>
    </w:p>
    <w:p w14:paraId="3F18EE42" w14:textId="77777777" w:rsidR="00301DC6" w:rsidRPr="00BF38CF" w:rsidRDefault="00301DC6" w:rsidP="00BF38C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t>Knowledge or understanding of media law, including UK law on libel</w:t>
      </w:r>
    </w:p>
    <w:p w14:paraId="5489A455" w14:textId="77777777" w:rsidR="00301DC6" w:rsidRPr="00A41FE6" w:rsidRDefault="00301DC6" w:rsidP="00BF38C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t>Journalistic background</w:t>
      </w:r>
    </w:p>
    <w:p w14:paraId="1BF72E56" w14:textId="77777777" w:rsidR="00A41FE6" w:rsidRPr="00A41FE6" w:rsidRDefault="00A41FE6" w:rsidP="00A41FE6">
      <w:pPr>
        <w:spacing w:line="360" w:lineRule="auto"/>
        <w:ind w:left="360"/>
        <w:rPr>
          <w:b/>
        </w:rPr>
      </w:pPr>
    </w:p>
    <w:sectPr w:rsidR="00A41FE6" w:rsidRPr="00A41FE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B0801" w14:textId="77777777" w:rsidR="00F56C48" w:rsidRDefault="00F56C48" w:rsidP="00F56C48">
      <w:pPr>
        <w:spacing w:before="0" w:after="0" w:line="240" w:lineRule="auto"/>
      </w:pPr>
      <w:r>
        <w:separator/>
      </w:r>
    </w:p>
  </w:endnote>
  <w:endnote w:type="continuationSeparator" w:id="0">
    <w:p w14:paraId="67B8A302" w14:textId="77777777" w:rsidR="00F56C48" w:rsidRDefault="00F56C48" w:rsidP="00F56C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Courier New"/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310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E835A" w14:textId="468194C2" w:rsidR="00492AB3" w:rsidRDefault="00492AB3">
        <w:pPr>
          <w:pStyle w:val="Footer"/>
        </w:pPr>
        <w:r>
          <w:t>March 19</w:t>
        </w:r>
      </w:p>
    </w:sdtContent>
  </w:sdt>
  <w:p w14:paraId="2D94E050" w14:textId="77777777" w:rsidR="00F56C48" w:rsidRDefault="00F56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0DA90" w14:textId="77777777" w:rsidR="00F56C48" w:rsidRDefault="00F56C48" w:rsidP="00F56C48">
      <w:pPr>
        <w:spacing w:before="0" w:after="0" w:line="240" w:lineRule="auto"/>
      </w:pPr>
      <w:r>
        <w:separator/>
      </w:r>
    </w:p>
  </w:footnote>
  <w:footnote w:type="continuationSeparator" w:id="0">
    <w:p w14:paraId="4248EFFA" w14:textId="77777777" w:rsidR="00F56C48" w:rsidRDefault="00F56C48" w:rsidP="00F56C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  <w:sz w:val="20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  <w:sz w:val="20"/>
        <w:szCs w:val="22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  <w:szCs w:val="22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000000"/>
        <w:sz w:val="20"/>
        <w:szCs w:val="22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olor w:val="000000"/>
        <w:sz w:val="20"/>
        <w:szCs w:val="22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color w:val="000000"/>
        <w:sz w:val="20"/>
        <w:szCs w:val="22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color w:val="000000"/>
        <w:sz w:val="20"/>
        <w:szCs w:val="22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color w:val="000000"/>
        <w:sz w:val="20"/>
        <w:szCs w:val="22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color w:val="000000"/>
        <w:sz w:val="20"/>
        <w:szCs w:val="22"/>
      </w:rPr>
    </w:lvl>
  </w:abstractNum>
  <w:abstractNum w:abstractNumId="1" w15:restartNumberingAfterBreak="0">
    <w:nsid w:val="06F81188"/>
    <w:multiLevelType w:val="hybridMultilevel"/>
    <w:tmpl w:val="7B68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33A21"/>
    <w:multiLevelType w:val="hybridMultilevel"/>
    <w:tmpl w:val="92E01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B708C"/>
    <w:multiLevelType w:val="hybridMultilevel"/>
    <w:tmpl w:val="D72C4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AF1"/>
    <w:multiLevelType w:val="hybridMultilevel"/>
    <w:tmpl w:val="C5F86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407C5"/>
    <w:multiLevelType w:val="hybridMultilevel"/>
    <w:tmpl w:val="99B63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231DD"/>
    <w:multiLevelType w:val="hybridMultilevel"/>
    <w:tmpl w:val="AD6ECB6C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 w15:restartNumberingAfterBreak="0">
    <w:nsid w:val="30962299"/>
    <w:multiLevelType w:val="hybridMultilevel"/>
    <w:tmpl w:val="F95C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C6080"/>
    <w:multiLevelType w:val="hybridMultilevel"/>
    <w:tmpl w:val="B4165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C0004"/>
    <w:multiLevelType w:val="hybridMultilevel"/>
    <w:tmpl w:val="92067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77E9B"/>
    <w:multiLevelType w:val="hybridMultilevel"/>
    <w:tmpl w:val="89309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A1935"/>
    <w:multiLevelType w:val="hybridMultilevel"/>
    <w:tmpl w:val="800E3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0A"/>
    <w:rsid w:val="000201EE"/>
    <w:rsid w:val="00023043"/>
    <w:rsid w:val="00095F28"/>
    <w:rsid w:val="00107307"/>
    <w:rsid w:val="001A408A"/>
    <w:rsid w:val="00301DC6"/>
    <w:rsid w:val="00394CE0"/>
    <w:rsid w:val="003D59EB"/>
    <w:rsid w:val="00402529"/>
    <w:rsid w:val="00411B36"/>
    <w:rsid w:val="00424CBB"/>
    <w:rsid w:val="00486212"/>
    <w:rsid w:val="00492AB3"/>
    <w:rsid w:val="00493DFA"/>
    <w:rsid w:val="004B4D1F"/>
    <w:rsid w:val="005526EB"/>
    <w:rsid w:val="005B005E"/>
    <w:rsid w:val="006B6715"/>
    <w:rsid w:val="006C43F2"/>
    <w:rsid w:val="006F1662"/>
    <w:rsid w:val="007A1512"/>
    <w:rsid w:val="007E67BB"/>
    <w:rsid w:val="00834D8B"/>
    <w:rsid w:val="00883F40"/>
    <w:rsid w:val="00A41FE6"/>
    <w:rsid w:val="00A715BA"/>
    <w:rsid w:val="00AA2826"/>
    <w:rsid w:val="00AD190C"/>
    <w:rsid w:val="00BF38CF"/>
    <w:rsid w:val="00C3570A"/>
    <w:rsid w:val="00DA0806"/>
    <w:rsid w:val="00EE3A6A"/>
    <w:rsid w:val="00F56C48"/>
    <w:rsid w:val="00F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242A2"/>
  <w15:docId w15:val="{6F5D0352-A067-5946-A95B-8D01A7FF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tillium" w:eastAsiaTheme="minorHAnsi" w:hAnsi="Titillium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35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08A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08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A40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08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08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0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08A"/>
    <w:rPr>
      <w:b/>
      <w:bCs/>
      <w:sz w:val="20"/>
      <w:szCs w:val="20"/>
    </w:rPr>
  </w:style>
  <w:style w:type="paragraph" w:styleId="NoSpacing">
    <w:name w:val="No Spacing"/>
    <w:uiPriority w:val="1"/>
    <w:qFormat/>
    <w:rsid w:val="00DA0806"/>
    <w:pPr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6C4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48"/>
  </w:style>
  <w:style w:type="paragraph" w:styleId="Footer">
    <w:name w:val="footer"/>
    <w:basedOn w:val="Normal"/>
    <w:link w:val="FooterChar"/>
    <w:uiPriority w:val="99"/>
    <w:unhideWhenUsed/>
    <w:rsid w:val="00F56C4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76A35-26EE-445A-92EF-477CE683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GW-SCCM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Bunyan</dc:creator>
  <cp:keywords/>
  <dc:description/>
  <cp:lastModifiedBy>Louise Carmichael</cp:lastModifiedBy>
  <cp:revision>4</cp:revision>
  <dcterms:created xsi:type="dcterms:W3CDTF">2019-03-01T13:48:00Z</dcterms:created>
  <dcterms:modified xsi:type="dcterms:W3CDTF">2019-03-01T13:50:00Z</dcterms:modified>
</cp:coreProperties>
</file>