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F3A5F"/>
          <w:sz w:val="40"/>
        </w:rPr>
        <w:t>HƯỚNG DẪN SỬ DỤNG PHÂN HỆ PHÒNG BAN, LƯƠNG VÀ THU MUA</w:t>
      </w:r>
    </w:p>
    <w:p>
      <w:pPr>
        <w:spacing w:after="240"/>
        <w:jc w:val="center"/>
      </w:pPr>
      <w:r>
        <w:rPr>
          <w:rFonts w:ascii="Calibri" w:hAnsi="Calibri"/>
          <w:color w:val="4A5568"/>
          <w:sz w:val="22"/>
        </w:rPr>
        <w:t>Tài liệu này mô tả chức năng, công dụng, trạng thái, vai trò và cách vận hành của 3 phân hệ Phòng ban, Lương và Thu mua theo hệ thống hiện tại.</w:t>
      </w:r>
    </w:p>
    <w:tbl>
      <w:tblPr>
        <w:tblStyle w:val="TableGrid"/>
        <w:tblW w:type="auto" w:w="0"/>
        <w:jc w:val="center"/>
        <w:tblLayout w:type="fixed"/>
        <w:tblLook w:firstColumn="1" w:firstRow="1" w:lastColumn="0" w:lastRow="0" w:noHBand="0" w:noVBand="1" w:val="04A0"/>
      </w:tblPr>
      <w:tblGrid>
        <w:gridCol w:w="4680"/>
        <w:gridCol w:w="4680"/>
      </w:tblGrid>
      <w:tr>
        <w:tc>
          <w:tcPr>
            <w:tcW w:type="dxa" w:w="1928"/>
            <w:vAlign w:val="center"/>
            <w:shd w:fill="F2F4F7"/>
          </w:tcPr>
          <w:p>
            <w:pPr>
              <w:spacing w:after="0"/>
              <w:jc w:val="left"/>
            </w:pPr>
            <w:r/>
            <w:r>
              <w:rPr>
                <w:rFonts w:ascii="Calibri" w:hAnsi="Calibri"/>
                <w:b/>
                <w:color w:val="222222"/>
                <w:sz w:val="21"/>
              </w:rPr>
              <w:t>Phạm vi</w:t>
            </w:r>
          </w:p>
        </w:tc>
        <w:tc>
          <w:tcPr>
            <w:tcW w:type="dxa" w:w="6803"/>
            <w:vAlign w:val="center"/>
          </w:tcPr>
          <w:p>
            <w:pPr>
              <w:spacing w:after="0"/>
              <w:jc w:val="left"/>
            </w:pPr>
            <w:r/>
            <w:r>
              <w:rPr>
                <w:rFonts w:ascii="Calibri" w:hAnsi="Calibri"/>
                <w:b w:val="0"/>
                <w:color w:val="222222"/>
                <w:sz w:val="21"/>
              </w:rPr>
              <w:t>Phân hệ Phòng ban, phân hệ Lương và phân hệ Thu mua</w:t>
            </w:r>
          </w:p>
        </w:tc>
      </w:tr>
      <w:tr>
        <w:tc>
          <w:tcPr>
            <w:tcW w:type="dxa" w:w="1928"/>
            <w:vAlign w:val="center"/>
            <w:shd w:fill="F2F4F7"/>
          </w:tcPr>
          <w:p>
            <w:pPr>
              <w:spacing w:after="0"/>
              <w:jc w:val="left"/>
            </w:pPr>
            <w:r/>
            <w:r>
              <w:rPr>
                <w:rFonts w:ascii="Calibri" w:hAnsi="Calibri"/>
                <w:b/>
                <w:color w:val="222222"/>
                <w:sz w:val="21"/>
              </w:rPr>
              <w:t>Mục tiêu</w:t>
            </w:r>
          </w:p>
        </w:tc>
        <w:tc>
          <w:tcPr>
            <w:tcW w:type="dxa" w:w="6803"/>
            <w:vAlign w:val="center"/>
          </w:tcPr>
          <w:p>
            <w:pPr>
              <w:spacing w:after="0"/>
              <w:jc w:val="left"/>
            </w:pPr>
            <w:r/>
            <w:r>
              <w:rPr>
                <w:rFonts w:ascii="Calibri" w:hAnsi="Calibri"/>
                <w:b w:val="0"/>
                <w:color w:val="222222"/>
                <w:sz w:val="21"/>
              </w:rPr>
              <w:t>Giúp quản trị, HCNS, kế toán, Thu mua và nhân viên hiểu đúng cách dùng hệ thống hiện tại</w:t>
            </w:r>
          </w:p>
        </w:tc>
      </w:tr>
    </w:tbl>
    <w:p>
      <w:pPr>
        <w:pStyle w:val="Heading1"/>
        <w:spacing w:before="320" w:after="120"/>
      </w:pPr>
      <w:r>
        <w:rPr>
          <w:rFonts w:ascii="Calibri" w:hAnsi="Calibri"/>
          <w:b/>
          <w:color w:val="2E74B5"/>
          <w:sz w:val="32"/>
        </w:rPr>
        <w:t>1. Mục đích tài liệu</w:t>
      </w:r>
    </w:p>
    <w:p>
      <w:pPr>
        <w:spacing w:after="120" w:line="276" w:lineRule="auto"/>
      </w:pPr>
      <w:r>
        <w:rPr>
          <w:rFonts w:ascii="Calibri" w:hAnsi="Calibri"/>
          <w:i w:val="0"/>
          <w:color w:val="222222"/>
          <w:sz w:val="22"/>
        </w:rPr>
        <w:t>Tài liệu này giải thích rõ chức năng, công dụng, trạng thái, vai trò và cách vận hành của ba phân hệ Phòng ban, Lương và Thu mua theo đúng luồng hiện có trong hệ thống.</w:t>
      </w:r>
    </w:p>
    <w:p>
      <w:pPr>
        <w:spacing w:after="120" w:line="276" w:lineRule="auto"/>
      </w:pPr>
      <w:r>
        <w:rPr>
          <w:rFonts w:ascii="Calibri" w:hAnsi="Calibri"/>
          <w:i w:val="0"/>
          <w:color w:val="222222"/>
          <w:sz w:val="22"/>
        </w:rPr>
        <w:t>Nội dung ưu tiên cách dùng thực tế cho quản trị hệ thống, HCNS, kế toán, Thu mua, trưởng bộ phận và nhân viên.</w:t>
      </w:r>
    </w:p>
    <w:p>
      <w:pPr>
        <w:pStyle w:val="Heading1"/>
        <w:spacing w:before="320" w:after="120"/>
      </w:pPr>
      <w:r>
        <w:rPr>
          <w:rFonts w:ascii="Calibri" w:hAnsi="Calibri"/>
          <w:b/>
          <w:color w:val="2E74B5"/>
          <w:sz w:val="32"/>
        </w:rPr>
        <w:t>2. Phân hệ Phòng ban</w:t>
      </w:r>
    </w:p>
    <w:p>
      <w:pPr>
        <w:pStyle w:val="Heading2"/>
        <w:spacing w:before="200" w:after="80"/>
      </w:pPr>
      <w:r>
        <w:rPr>
          <w:rFonts w:ascii="Calibri" w:hAnsi="Calibri"/>
          <w:b/>
          <w:color w:val="2E74B5"/>
          <w:sz w:val="26"/>
        </w:rPr>
        <w:t>2.1. Mục đích</w:t>
      </w:r>
    </w:p>
    <w:p>
      <w:pPr>
        <w:spacing w:after="120" w:line="276" w:lineRule="auto"/>
      </w:pPr>
      <w:r>
        <w:rPr>
          <w:rFonts w:ascii="Calibri" w:hAnsi="Calibri"/>
          <w:i w:val="0"/>
          <w:color w:val="222222"/>
          <w:sz w:val="22"/>
        </w:rPr>
        <w:t>Phân hệ Phòng ban dùng để quản lý cơ cấu tổ chức của công ty. Đây là nơi giữ bộ khung tổ chức, đầu mối quản lý nhân sự theo phòng, vai trò và quyền hạn của từng nhóm người dùng.</w:t>
      </w:r>
    </w:p>
    <w:p>
      <w:pPr>
        <w:pStyle w:val="ListBullet"/>
        <w:spacing w:after="80" w:line="276" w:lineRule="auto"/>
      </w:pPr>
      <w:r>
        <w:rPr>
          <w:rFonts w:ascii="Calibri" w:hAnsi="Calibri"/>
          <w:color w:val="222222"/>
          <w:sz w:val="22"/>
        </w:rPr>
        <w:t>Tạo phòng ban gốc và phòng ban con.</w:t>
      </w:r>
    </w:p>
    <w:p>
      <w:pPr>
        <w:pStyle w:val="ListBullet"/>
        <w:spacing w:after="80" w:line="276" w:lineRule="auto"/>
      </w:pPr>
      <w:r>
        <w:rPr>
          <w:rFonts w:ascii="Calibri" w:hAnsi="Calibri"/>
          <w:color w:val="222222"/>
          <w:sz w:val="22"/>
        </w:rPr>
        <w:t>Quản lý cây tổ chức của công ty.</w:t>
      </w:r>
    </w:p>
    <w:p>
      <w:pPr>
        <w:pStyle w:val="ListBullet"/>
        <w:spacing w:after="80" w:line="276" w:lineRule="auto"/>
      </w:pPr>
      <w:r>
        <w:rPr>
          <w:rFonts w:ascii="Calibri" w:hAnsi="Calibri"/>
          <w:color w:val="222222"/>
          <w:sz w:val="22"/>
        </w:rPr>
        <w:t>Gán trưởng phòng hoặc người đứng đầu đơn vị.</w:t>
      </w:r>
    </w:p>
    <w:p>
      <w:pPr>
        <w:pStyle w:val="ListBullet"/>
        <w:spacing w:after="80" w:line="276" w:lineRule="auto"/>
      </w:pPr>
      <w:r>
        <w:rPr>
          <w:rFonts w:ascii="Calibri" w:hAnsi="Calibri"/>
          <w:color w:val="222222"/>
          <w:sz w:val="22"/>
        </w:rPr>
        <w:t>Theo dõi nhân sự trong từng phòng.</w:t>
      </w:r>
    </w:p>
    <w:p>
      <w:pPr>
        <w:pStyle w:val="ListBullet"/>
        <w:spacing w:after="80" w:line="276" w:lineRule="auto"/>
      </w:pPr>
      <w:r>
        <w:rPr>
          <w:rFonts w:ascii="Calibri" w:hAnsi="Calibri"/>
          <w:color w:val="222222"/>
          <w:sz w:val="22"/>
        </w:rPr>
        <w:t>Tạo vai trò và gán phân quyền theo từng phòng.</w:t>
      </w:r>
    </w:p>
    <w:p>
      <w:pPr>
        <w:pStyle w:val="ListBullet"/>
        <w:spacing w:after="80" w:line="276" w:lineRule="auto"/>
      </w:pPr>
      <w:r>
        <w:rPr>
          <w:rFonts w:ascii="Calibri" w:hAnsi="Calibri"/>
          <w:color w:val="222222"/>
          <w:sz w:val="22"/>
        </w:rPr>
        <w:t>Điều chuyển nhân sự giữa các phòng ban.</w:t>
      </w:r>
    </w:p>
    <w:p>
      <w:pPr>
        <w:pStyle w:val="Heading2"/>
        <w:spacing w:before="200" w:after="80"/>
      </w:pPr>
      <w:r>
        <w:rPr>
          <w:rFonts w:ascii="Calibri" w:hAnsi="Calibri"/>
          <w:b/>
          <w:color w:val="2E74B5"/>
          <w:sz w:val="26"/>
        </w:rPr>
        <w:t>2.2. Các khu vực chính trên màn hình</w:t>
      </w:r>
    </w:p>
    <w:p>
      <w:pPr>
        <w:spacing w:after="120" w:line="276" w:lineRule="auto"/>
      </w:pPr>
      <w:r>
        <w:rPr>
          <w:rFonts w:ascii="Calibri" w:hAnsi="Calibri"/>
          <w:i w:val="0"/>
          <w:color w:val="222222"/>
          <w:sz w:val="22"/>
        </w:rPr>
        <w:t>Màn hình Phòng ban hiện được tổ chức thành các khu vực chính sau:</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Khu vực</w:t>
            </w:r>
          </w:p>
        </w:tc>
        <w:tc>
          <w:tcPr>
            <w:tcW w:type="dxa" w:w="6973"/>
            <w:vAlign w:val="center"/>
            <w:shd w:fill="E8EEF5"/>
          </w:tcPr>
          <w:p>
            <w:pPr>
              <w:spacing w:after="40" w:before="0"/>
              <w:jc w:val="left"/>
            </w:pPr>
            <w:r/>
            <w:r>
              <w:rPr>
                <w:rFonts w:ascii="Calibri" w:hAnsi="Calibri"/>
                <w:b/>
                <w:color w:val="222222"/>
                <w:sz w:val="21"/>
              </w:rPr>
              <w:t>Công dụng</w:t>
            </w:r>
          </w:p>
        </w:tc>
      </w:tr>
      <w:tr>
        <w:tc>
          <w:tcPr>
            <w:tcW w:type="dxa" w:w="2381"/>
            <w:vAlign w:val="center"/>
          </w:tcPr>
          <w:p>
            <w:pPr>
              <w:spacing w:after="40" w:before="0"/>
              <w:jc w:val="left"/>
            </w:pPr>
            <w:r/>
            <w:r>
              <w:rPr>
                <w:rFonts w:ascii="Calibri" w:hAnsi="Calibri"/>
                <w:b w:val="0"/>
                <w:color w:val="222222"/>
                <w:sz w:val="21"/>
              </w:rPr>
              <w:t>Tổng quan</w:t>
            </w:r>
          </w:p>
        </w:tc>
        <w:tc>
          <w:tcPr>
            <w:tcW w:type="dxa" w:w="6973"/>
            <w:vAlign w:val="center"/>
          </w:tcPr>
          <w:p>
            <w:pPr>
              <w:spacing w:after="40" w:before="0"/>
              <w:jc w:val="left"/>
            </w:pPr>
            <w:r/>
            <w:r>
              <w:rPr>
                <w:rFonts w:ascii="Calibri" w:hAnsi="Calibri"/>
                <w:b w:val="0"/>
                <w:color w:val="222222"/>
                <w:sz w:val="21"/>
              </w:rPr>
              <w:t>Nhìn nhanh toàn bộ cơ cấu, số lượng phòng, nhân sự, tình trạng trưởng phòng.</w:t>
            </w:r>
          </w:p>
        </w:tc>
      </w:tr>
      <w:tr>
        <w:tc>
          <w:tcPr>
            <w:tcW w:type="dxa" w:w="2381"/>
            <w:vAlign w:val="center"/>
          </w:tcPr>
          <w:p>
            <w:pPr>
              <w:spacing w:after="40" w:before="0"/>
              <w:jc w:val="left"/>
            </w:pPr>
            <w:r/>
            <w:r>
              <w:rPr>
                <w:rFonts w:ascii="Calibri" w:hAnsi="Calibri"/>
                <w:b w:val="0"/>
                <w:color w:val="222222"/>
                <w:sz w:val="21"/>
              </w:rPr>
              <w:t>Nhân sự</w:t>
            </w:r>
          </w:p>
        </w:tc>
        <w:tc>
          <w:tcPr>
            <w:tcW w:type="dxa" w:w="6973"/>
            <w:vAlign w:val="center"/>
          </w:tcPr>
          <w:p>
            <w:pPr>
              <w:spacing w:after="40" w:before="0"/>
              <w:jc w:val="left"/>
            </w:pPr>
            <w:r/>
            <w:r>
              <w:rPr>
                <w:rFonts w:ascii="Calibri" w:hAnsi="Calibri"/>
                <w:b w:val="0"/>
                <w:color w:val="222222"/>
                <w:sz w:val="21"/>
              </w:rPr>
              <w:t>Xem người trong phòng, thêm nhân viên, gán vai trò hàng loạt, điều chuyển phòng.</w:t>
            </w:r>
          </w:p>
        </w:tc>
      </w:tr>
      <w:tr>
        <w:tc>
          <w:tcPr>
            <w:tcW w:type="dxa" w:w="2381"/>
            <w:vAlign w:val="center"/>
          </w:tcPr>
          <w:p>
            <w:pPr>
              <w:spacing w:after="40" w:before="0"/>
              <w:jc w:val="left"/>
            </w:pPr>
            <w:r/>
            <w:r>
              <w:rPr>
                <w:rFonts w:ascii="Calibri" w:hAnsi="Calibri"/>
                <w:b w:val="0"/>
                <w:color w:val="222222"/>
                <w:sz w:val="21"/>
              </w:rPr>
              <w:t>Vai trò &amp; Quyền</w:t>
            </w:r>
          </w:p>
        </w:tc>
        <w:tc>
          <w:tcPr>
            <w:tcW w:type="dxa" w:w="6973"/>
            <w:vAlign w:val="center"/>
          </w:tcPr>
          <w:p>
            <w:pPr>
              <w:spacing w:after="40" w:before="0"/>
              <w:jc w:val="left"/>
            </w:pPr>
            <w:r/>
            <w:r>
              <w:rPr>
                <w:rFonts w:ascii="Calibri" w:hAnsi="Calibri"/>
                <w:b w:val="0"/>
                <w:color w:val="222222"/>
                <w:sz w:val="21"/>
              </w:rPr>
              <w:t>Tạo vai trò của từng phòng và gán ma trận phân quyền chi tiết.</w:t>
            </w:r>
          </w:p>
        </w:tc>
      </w:tr>
    </w:tbl>
    <w:p>
      <w:pPr>
        <w:pStyle w:val="Heading2"/>
        <w:spacing w:before="200" w:after="80"/>
      </w:pPr>
      <w:r>
        <w:rPr>
          <w:rFonts w:ascii="Calibri" w:hAnsi="Calibri"/>
          <w:b/>
          <w:color w:val="2E74B5"/>
          <w:sz w:val="26"/>
        </w:rPr>
        <w:t>2.3. Chức năng Tổng quan</w:t>
      </w:r>
    </w:p>
    <w:p>
      <w:pPr>
        <w:spacing w:after="120" w:line="276" w:lineRule="auto"/>
      </w:pPr>
      <w:r>
        <w:rPr>
          <w:rFonts w:ascii="Calibri" w:hAnsi="Calibri"/>
          <w:i w:val="0"/>
          <w:color w:val="222222"/>
          <w:sz w:val="22"/>
        </w:rPr>
        <w:t>Khu vực Tổng quan giúp người dùng nắm nhanh bức tranh tổ chức toàn công ty mà không cần mở từng phòng.</w:t>
      </w:r>
    </w:p>
    <w:p>
      <w:pPr>
        <w:pStyle w:val="ListBullet"/>
        <w:spacing w:after="80" w:line="276" w:lineRule="auto"/>
      </w:pPr>
      <w:r>
        <w:rPr>
          <w:rFonts w:ascii="Calibri" w:hAnsi="Calibri"/>
          <w:color w:val="222222"/>
          <w:sz w:val="22"/>
        </w:rPr>
        <w:t>Hiển thị tổng số phòng ban.</w:t>
      </w:r>
    </w:p>
    <w:p>
      <w:pPr>
        <w:pStyle w:val="ListBullet"/>
        <w:spacing w:after="80" w:line="276" w:lineRule="auto"/>
      </w:pPr>
      <w:r>
        <w:rPr>
          <w:rFonts w:ascii="Calibri" w:hAnsi="Calibri"/>
          <w:color w:val="222222"/>
          <w:sz w:val="22"/>
        </w:rPr>
        <w:t>Hiển thị tổng số nhân sự toàn công ty.</w:t>
      </w:r>
    </w:p>
    <w:p>
      <w:pPr>
        <w:pStyle w:val="ListBullet"/>
        <w:spacing w:after="80" w:line="276" w:lineRule="auto"/>
      </w:pPr>
      <w:r>
        <w:rPr>
          <w:rFonts w:ascii="Calibri" w:hAnsi="Calibri"/>
          <w:color w:val="222222"/>
          <w:sz w:val="22"/>
        </w:rPr>
        <w:t>Hiển thị số phòng đã có trưởng phòng và số phòng còn thiếu trưởng phòng.</w:t>
      </w:r>
    </w:p>
    <w:p>
      <w:pPr>
        <w:pStyle w:val="ListBullet"/>
        <w:spacing w:after="80" w:line="276" w:lineRule="auto"/>
      </w:pPr>
      <w:r>
        <w:rPr>
          <w:rFonts w:ascii="Calibri" w:hAnsi="Calibri"/>
          <w:color w:val="222222"/>
          <w:sz w:val="22"/>
        </w:rPr>
        <w:t>Hiển thị phân bố giữa khối sản xuất và khối văn phòng.</w:t>
      </w:r>
    </w:p>
    <w:p>
      <w:pPr>
        <w:pStyle w:val="ListBullet"/>
        <w:spacing w:after="80" w:line="276" w:lineRule="auto"/>
      </w:pPr>
      <w:r>
        <w:rPr>
          <w:rFonts w:ascii="Calibri" w:hAnsi="Calibri"/>
          <w:color w:val="222222"/>
          <w:sz w:val="22"/>
        </w:rPr>
        <w:t>Cho phép tìm theo tên hoặc mã phòng ban.</w:t>
      </w:r>
    </w:p>
    <w:p>
      <w:pPr>
        <w:pStyle w:val="ListBullet"/>
        <w:spacing w:after="80" w:line="276" w:lineRule="auto"/>
      </w:pPr>
      <w:r>
        <w:rPr>
          <w:rFonts w:ascii="Calibri" w:hAnsi="Calibri"/>
          <w:color w:val="222222"/>
          <w:sz w:val="22"/>
        </w:rPr>
        <w:t>Có thể lọc nhanh các phòng thiếu trưởng phòng hoặc chưa có nhân sự.</w:t>
      </w:r>
    </w:p>
    <w:p>
      <w:pPr>
        <w:pStyle w:val="ListBullet"/>
        <w:spacing w:after="80" w:line="276" w:lineRule="auto"/>
      </w:pPr>
      <w:r>
        <w:rPr>
          <w:rFonts w:ascii="Calibri" w:hAnsi="Calibri"/>
          <w:color w:val="222222"/>
          <w:sz w:val="22"/>
        </w:rPr>
        <w:t>Có thể đổi giữa chế độ danh sách và sơ đồ cây.</w:t>
      </w:r>
    </w:p>
    <w:p>
      <w:pPr>
        <w:pStyle w:val="Heading2"/>
        <w:spacing w:before="200" w:after="80"/>
      </w:pPr>
      <w:r>
        <w:rPr>
          <w:rFonts w:ascii="Calibri" w:hAnsi="Calibri"/>
          <w:b/>
          <w:color w:val="2E74B5"/>
          <w:sz w:val="26"/>
        </w:rPr>
        <w:t>2.4. Quản lý phòng ban</w:t>
      </w:r>
    </w:p>
    <w:p>
      <w:pPr>
        <w:spacing w:after="120" w:line="276" w:lineRule="auto"/>
      </w:pPr>
      <w:r>
        <w:rPr>
          <w:rFonts w:ascii="Calibri" w:hAnsi="Calibri"/>
          <w:i w:val="0"/>
          <w:color w:val="222222"/>
          <w:sz w:val="22"/>
        </w:rPr>
        <w:t>Người có quyền phù hợp có thể thực hiện các nghiệp vụ chính sau:</w:t>
      </w:r>
    </w:p>
    <w:p>
      <w:pPr>
        <w:pStyle w:val="ListNumber"/>
        <w:spacing w:after="80" w:line="276" w:lineRule="auto"/>
      </w:pPr>
      <w:r>
        <w:rPr>
          <w:rFonts w:ascii="Calibri" w:hAnsi="Calibri"/>
          <w:color w:val="222222"/>
          <w:sz w:val="22"/>
        </w:rPr>
        <w:t>Tạo mới phòng ban gốc hoặc phòng ban con.</w:t>
      </w:r>
    </w:p>
    <w:p>
      <w:pPr>
        <w:pStyle w:val="ListNumber"/>
        <w:spacing w:after="80" w:line="276" w:lineRule="auto"/>
      </w:pPr>
      <w:r>
        <w:rPr>
          <w:rFonts w:ascii="Calibri" w:hAnsi="Calibri"/>
          <w:color w:val="222222"/>
          <w:sz w:val="22"/>
        </w:rPr>
        <w:t>Sửa thông tin phòng ban.</w:t>
      </w:r>
    </w:p>
    <w:p>
      <w:pPr>
        <w:pStyle w:val="ListNumber"/>
        <w:spacing w:after="80" w:line="276" w:lineRule="auto"/>
      </w:pPr>
      <w:r>
        <w:rPr>
          <w:rFonts w:ascii="Calibri" w:hAnsi="Calibri"/>
          <w:color w:val="222222"/>
          <w:sz w:val="22"/>
        </w:rPr>
        <w:t>Xóa phòng ban khi không còn phù hợp.</w:t>
      </w:r>
    </w:p>
    <w:p>
      <w:pPr>
        <w:pStyle w:val="ListNumber"/>
        <w:spacing w:after="80" w:line="276" w:lineRule="auto"/>
      </w:pPr>
      <w:r>
        <w:rPr>
          <w:rFonts w:ascii="Calibri" w:hAnsi="Calibri"/>
          <w:color w:val="222222"/>
          <w:sz w:val="22"/>
        </w:rPr>
        <w:t>Đổi cấp trên trong cây tổ chức.</w:t>
      </w:r>
    </w:p>
    <w:p>
      <w:pPr>
        <w:pStyle w:val="ListNumber"/>
        <w:spacing w:after="80" w:line="276" w:lineRule="auto"/>
      </w:pPr>
      <w:r>
        <w:rPr>
          <w:rFonts w:ascii="Calibri" w:hAnsi="Calibri"/>
          <w:color w:val="222222"/>
          <w:sz w:val="22"/>
        </w:rPr>
        <w:t>Chỉ định trưởng phòng.</w:t>
      </w:r>
    </w:p>
    <w:p>
      <w:pPr>
        <w:spacing w:after="120" w:line="276" w:lineRule="auto"/>
      </w:pPr>
      <w:r>
        <w:rPr>
          <w:rFonts w:ascii="Calibri" w:hAnsi="Calibri"/>
          <w:i w:val="0"/>
          <w:color w:val="222222"/>
          <w:sz w:val="22"/>
        </w:rPr>
        <w:t>Nếu một phòng đã có người nhưng chưa có trưởng phòng, hệ thống hiển thị cảnh báo riêng để dễ xử lý. Phòng chưa có nhân sự được đánh dấu riêng, không bị coi là lỗi dữ liệu.</w:t>
      </w:r>
    </w:p>
    <w:p>
      <w:pPr>
        <w:pStyle w:val="Heading2"/>
        <w:spacing w:before="200" w:after="80"/>
      </w:pPr>
      <w:r>
        <w:rPr>
          <w:rFonts w:ascii="Calibri" w:hAnsi="Calibri"/>
          <w:b/>
          <w:color w:val="2E74B5"/>
          <w:sz w:val="26"/>
        </w:rPr>
        <w:t>2.5. Quản lý nhân sự trong phòng</w:t>
      </w:r>
    </w:p>
    <w:p>
      <w:pPr>
        <w:spacing w:after="120" w:line="276" w:lineRule="auto"/>
      </w:pPr>
      <w:r>
        <w:rPr>
          <w:rFonts w:ascii="Calibri" w:hAnsi="Calibri"/>
          <w:i w:val="0"/>
          <w:color w:val="222222"/>
          <w:sz w:val="22"/>
        </w:rPr>
        <w:t>Tab Nhân sự trong Phòng ban là nơi xử lý nhân sự theo góc nhìn tổ chức, không phải góc nhìn lương.</w:t>
      </w:r>
    </w:p>
    <w:p>
      <w:pPr>
        <w:pStyle w:val="ListBullet"/>
        <w:spacing w:after="80" w:line="276" w:lineRule="auto"/>
      </w:pPr>
      <w:r>
        <w:rPr>
          <w:rFonts w:ascii="Calibri" w:hAnsi="Calibri"/>
          <w:color w:val="222222"/>
          <w:sz w:val="22"/>
        </w:rPr>
        <w:t>Xem danh sách người thuộc phòng.</w:t>
      </w:r>
    </w:p>
    <w:p>
      <w:pPr>
        <w:pStyle w:val="ListBullet"/>
        <w:spacing w:after="80" w:line="276" w:lineRule="auto"/>
      </w:pPr>
      <w:r>
        <w:rPr>
          <w:rFonts w:ascii="Calibri" w:hAnsi="Calibri"/>
          <w:color w:val="222222"/>
          <w:sz w:val="22"/>
        </w:rPr>
        <w:t>Lọc theo trạng thái nhân sự.</w:t>
      </w:r>
    </w:p>
    <w:p>
      <w:pPr>
        <w:pStyle w:val="ListBullet"/>
        <w:spacing w:after="80" w:line="276" w:lineRule="auto"/>
      </w:pPr>
      <w:r>
        <w:rPr>
          <w:rFonts w:ascii="Calibri" w:hAnsi="Calibri"/>
          <w:color w:val="222222"/>
          <w:sz w:val="22"/>
        </w:rPr>
        <w:t>Chọn nhiều người để gán vai trò hàng loạt.</w:t>
      </w:r>
    </w:p>
    <w:p>
      <w:pPr>
        <w:pStyle w:val="ListBullet"/>
        <w:spacing w:after="80" w:line="276" w:lineRule="auto"/>
      </w:pPr>
      <w:r>
        <w:rPr>
          <w:rFonts w:ascii="Calibri" w:hAnsi="Calibri"/>
          <w:color w:val="222222"/>
          <w:sz w:val="22"/>
        </w:rPr>
        <w:t>Chuyển nhiều người sang phòng khác.</w:t>
      </w:r>
    </w:p>
    <w:p>
      <w:pPr>
        <w:pStyle w:val="ListBullet"/>
        <w:spacing w:after="80" w:line="276" w:lineRule="auto"/>
      </w:pPr>
      <w:r>
        <w:rPr>
          <w:rFonts w:ascii="Calibri" w:hAnsi="Calibri"/>
          <w:color w:val="222222"/>
          <w:sz w:val="22"/>
        </w:rPr>
        <w:t>Thêm nhân viên mới ngay trong màn hình Phòng ban.</w:t>
      </w:r>
    </w:p>
    <w:p>
      <w:pPr>
        <w:spacing w:after="120" w:line="276" w:lineRule="auto"/>
      </w:pPr>
      <w:r>
        <w:rPr>
          <w:rFonts w:ascii="Calibri" w:hAnsi="Calibri"/>
          <w:i w:val="0"/>
          <w:color w:val="222222"/>
          <w:sz w:val="22"/>
        </w:rPr>
        <w:t>Khi chuyển phòng, vai trò cũ có thể bị gỡ vì vai trò luôn thuộc về đúng phòng ban. Nếu người được chuyển đang là trưởng phòng cũ thì hệ thống cũng bỏ gán trưởng phòng ở đơn vị cũ.</w:t>
      </w:r>
    </w:p>
    <w:p>
      <w:pPr>
        <w:pStyle w:val="Heading2"/>
        <w:spacing w:before="200" w:after="80"/>
      </w:pPr>
      <w:r>
        <w:rPr>
          <w:rFonts w:ascii="Calibri" w:hAnsi="Calibri"/>
          <w:b/>
          <w:color w:val="2E74B5"/>
          <w:sz w:val="26"/>
        </w:rPr>
        <w:t>2.6. Tab Vai trò &amp; Quyền</w:t>
      </w:r>
    </w:p>
    <w:p>
      <w:pPr>
        <w:spacing w:after="120" w:line="276" w:lineRule="auto"/>
      </w:pPr>
      <w:r>
        <w:rPr>
          <w:rFonts w:ascii="Calibri" w:hAnsi="Calibri"/>
          <w:i w:val="0"/>
          <w:color w:val="222222"/>
          <w:sz w:val="22"/>
        </w:rPr>
        <w:t>Vai trò trong hệ thống là bó quyền gắn với từng phòng ban cụ thể. Một vai trò không dùng chung cho toàn công ty.</w:t>
      </w:r>
    </w:p>
    <w:p>
      <w:pPr>
        <w:pStyle w:val="ListBullet"/>
        <w:spacing w:after="80" w:line="276" w:lineRule="auto"/>
      </w:pPr>
      <w:r>
        <w:rPr>
          <w:rFonts w:ascii="Calibri" w:hAnsi="Calibri"/>
          <w:color w:val="222222"/>
          <w:sz w:val="22"/>
        </w:rPr>
        <w:t>Tạo vai trò mới trong phòng.</w:t>
      </w:r>
    </w:p>
    <w:p>
      <w:pPr>
        <w:pStyle w:val="ListBullet"/>
        <w:spacing w:after="80" w:line="276" w:lineRule="auto"/>
      </w:pPr>
      <w:r>
        <w:rPr>
          <w:rFonts w:ascii="Calibri" w:hAnsi="Calibri"/>
          <w:color w:val="222222"/>
          <w:sz w:val="22"/>
        </w:rPr>
        <w:t>Đổi tên vai trò.</w:t>
      </w:r>
    </w:p>
    <w:p>
      <w:pPr>
        <w:pStyle w:val="ListBullet"/>
        <w:spacing w:after="80" w:line="276" w:lineRule="auto"/>
      </w:pPr>
      <w:r>
        <w:rPr>
          <w:rFonts w:ascii="Calibri" w:hAnsi="Calibri"/>
          <w:color w:val="222222"/>
          <w:sz w:val="22"/>
        </w:rPr>
        <w:t>Xóa vai trò.</w:t>
      </w:r>
    </w:p>
    <w:p>
      <w:pPr>
        <w:pStyle w:val="ListBullet"/>
        <w:spacing w:after="80" w:line="276" w:lineRule="auto"/>
      </w:pPr>
      <w:r>
        <w:rPr>
          <w:rFonts w:ascii="Calibri" w:hAnsi="Calibri"/>
          <w:color w:val="222222"/>
          <w:sz w:val="22"/>
        </w:rPr>
        <w:t>Gán ma trận phân quyền cho vai trò.</w:t>
      </w:r>
    </w:p>
    <w:p>
      <w:pPr>
        <w:spacing w:after="120" w:line="276" w:lineRule="auto"/>
      </w:pPr>
      <w:r>
        <w:rPr>
          <w:rFonts w:ascii="Calibri" w:hAnsi="Calibri"/>
          <w:i w:val="0"/>
          <w:color w:val="222222"/>
          <w:sz w:val="22"/>
        </w:rPr>
        <w:t>Mỗi tài khoản chỉ giữ một vai trò tại một thời điểm, và vai trò đó phải thuộc đúng phòng của người dùng.</w:t>
      </w:r>
    </w:p>
    <w:p>
      <w:pPr>
        <w:pStyle w:val="Heading2"/>
        <w:spacing w:before="200" w:after="80"/>
      </w:pPr>
      <w:r>
        <w:rPr>
          <w:rFonts w:ascii="Calibri" w:hAnsi="Calibri"/>
          <w:b/>
          <w:color w:val="2E74B5"/>
          <w:sz w:val="26"/>
        </w:rPr>
        <w:t>2.7. Logic phân quyền</w:t>
      </w:r>
    </w:p>
    <w:p>
      <w:pPr>
        <w:spacing w:after="120" w:line="276" w:lineRule="auto"/>
      </w:pPr>
      <w:r>
        <w:rPr>
          <w:rFonts w:ascii="Calibri" w:hAnsi="Calibri"/>
          <w:i w:val="0"/>
          <w:color w:val="222222"/>
          <w:sz w:val="22"/>
        </w:rPr>
        <w:t>Ma trận phân quyền hiện vận hành theo 3 lớp chính:</w:t>
      </w:r>
    </w:p>
    <w:p>
      <w:pPr>
        <w:pStyle w:val="ListBullet"/>
        <w:spacing w:after="80" w:line="276" w:lineRule="auto"/>
      </w:pPr>
      <w:r>
        <w:rPr>
          <w:rFonts w:ascii="Calibri" w:hAnsi="Calibri"/>
          <w:color w:val="222222"/>
          <w:sz w:val="22"/>
        </w:rPr>
        <w:t>Xem: được vào module và đọc dữ liệu.</w:t>
      </w:r>
    </w:p>
    <w:p>
      <w:pPr>
        <w:pStyle w:val="ListBullet"/>
        <w:spacing w:after="80" w:line="276" w:lineRule="auto"/>
      </w:pPr>
      <w:r>
        <w:rPr>
          <w:rFonts w:ascii="Calibri" w:hAnsi="Calibri"/>
          <w:color w:val="222222"/>
          <w:sz w:val="22"/>
        </w:rPr>
        <w:t>Thao tác: được thêm, sửa, xóa.</w:t>
      </w:r>
    </w:p>
    <w:p>
      <w:pPr>
        <w:pStyle w:val="ListBullet"/>
        <w:spacing w:after="80" w:line="276" w:lineRule="auto"/>
      </w:pPr>
      <w:r>
        <w:rPr>
          <w:rFonts w:ascii="Calibri" w:hAnsi="Calibri"/>
          <w:color w:val="222222"/>
          <w:sz w:val="22"/>
        </w:rPr>
        <w:t>Phạm vi: quy định được đụng tới dữ liệu của ai.</w:t>
      </w:r>
    </w:p>
    <w:p>
      <w:pPr>
        <w:spacing w:after="120" w:line="276" w:lineRule="auto"/>
      </w:pPr>
      <w:r>
        <w:rPr>
          <w:rFonts w:ascii="Calibri" w:hAnsi="Calibri"/>
          <w:i w:val="0"/>
          <w:color w:val="222222"/>
          <w:sz w:val="22"/>
        </w:rPr>
        <w:t>Các mức phạm vi hiện có như sau:</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Phạm vi</w:t>
            </w:r>
          </w:p>
        </w:tc>
        <w:tc>
          <w:tcPr>
            <w:tcW w:type="dxa" w:w="6973"/>
            <w:vAlign w:val="center"/>
            <w:shd w:fill="E8EEF5"/>
          </w:tcPr>
          <w:p>
            <w:pPr>
              <w:spacing w:after="40" w:before="0"/>
              <w:jc w:val="left"/>
            </w:pPr>
            <w:r/>
            <w:r>
              <w:rPr>
                <w:rFonts w:ascii="Calibri" w:hAnsi="Calibri"/>
                <w:b/>
                <w:color w:val="222222"/>
                <w:sz w:val="21"/>
              </w:rPr>
              <w:t>Ý nghĩa</w:t>
            </w:r>
          </w:p>
        </w:tc>
      </w:tr>
      <w:tr>
        <w:tc>
          <w:tcPr>
            <w:tcW w:type="dxa" w:w="2381"/>
            <w:vAlign w:val="center"/>
          </w:tcPr>
          <w:p>
            <w:pPr>
              <w:spacing w:after="40" w:before="0"/>
              <w:jc w:val="left"/>
            </w:pPr>
            <w:r/>
            <w:r>
              <w:rPr>
                <w:rFonts w:ascii="Calibri" w:hAnsi="Calibri"/>
                <w:b w:val="0"/>
                <w:color w:val="222222"/>
                <w:sz w:val="21"/>
              </w:rPr>
              <w:t>Của tôi</w:t>
            </w:r>
          </w:p>
        </w:tc>
        <w:tc>
          <w:tcPr>
            <w:tcW w:type="dxa" w:w="6973"/>
            <w:vAlign w:val="center"/>
          </w:tcPr>
          <w:p>
            <w:pPr>
              <w:spacing w:after="40" w:before="0"/>
              <w:jc w:val="left"/>
            </w:pPr>
            <w:r/>
            <w:r>
              <w:rPr>
                <w:rFonts w:ascii="Calibri" w:hAnsi="Calibri"/>
                <w:b w:val="0"/>
                <w:color w:val="222222"/>
                <w:sz w:val="21"/>
              </w:rPr>
              <w:t>Chỉ đụng tới dữ liệu của chính người dùng.</w:t>
            </w:r>
          </w:p>
        </w:tc>
      </w:tr>
      <w:tr>
        <w:tc>
          <w:tcPr>
            <w:tcW w:type="dxa" w:w="2381"/>
            <w:vAlign w:val="center"/>
          </w:tcPr>
          <w:p>
            <w:pPr>
              <w:spacing w:after="40" w:before="0"/>
              <w:jc w:val="left"/>
            </w:pPr>
            <w:r/>
            <w:r>
              <w:rPr>
                <w:rFonts w:ascii="Calibri" w:hAnsi="Calibri"/>
                <w:b w:val="0"/>
                <w:color w:val="222222"/>
                <w:sz w:val="21"/>
              </w:rPr>
              <w:t>Cả phòng</w:t>
            </w:r>
          </w:p>
        </w:tc>
        <w:tc>
          <w:tcPr>
            <w:tcW w:type="dxa" w:w="6973"/>
            <w:vAlign w:val="center"/>
          </w:tcPr>
          <w:p>
            <w:pPr>
              <w:spacing w:after="40" w:before="0"/>
              <w:jc w:val="left"/>
            </w:pPr>
            <w:r/>
            <w:r>
              <w:rPr>
                <w:rFonts w:ascii="Calibri" w:hAnsi="Calibri"/>
                <w:b w:val="0"/>
                <w:color w:val="222222"/>
                <w:sz w:val="21"/>
              </w:rPr>
              <w:t>Đụng tới dữ liệu thuộc phòng hoặc tổ của mình và các tổ con.</w:t>
            </w:r>
          </w:p>
        </w:tc>
      </w:tr>
      <w:tr>
        <w:tc>
          <w:tcPr>
            <w:tcW w:type="dxa" w:w="2381"/>
            <w:vAlign w:val="center"/>
          </w:tcPr>
          <w:p>
            <w:pPr>
              <w:spacing w:after="40" w:before="0"/>
              <w:jc w:val="left"/>
            </w:pPr>
            <w:r/>
            <w:r>
              <w:rPr>
                <w:rFonts w:ascii="Calibri" w:hAnsi="Calibri"/>
                <w:b w:val="0"/>
                <w:color w:val="222222"/>
                <w:sz w:val="21"/>
              </w:rPr>
              <w:t>Tất cả</w:t>
            </w:r>
          </w:p>
        </w:tc>
        <w:tc>
          <w:tcPr>
            <w:tcW w:type="dxa" w:w="6973"/>
            <w:vAlign w:val="center"/>
          </w:tcPr>
          <w:p>
            <w:pPr>
              <w:spacing w:after="40" w:before="0"/>
              <w:jc w:val="left"/>
            </w:pPr>
            <w:r/>
            <w:r>
              <w:rPr>
                <w:rFonts w:ascii="Calibri" w:hAnsi="Calibri"/>
                <w:b w:val="0"/>
                <w:color w:val="222222"/>
                <w:sz w:val="21"/>
              </w:rPr>
              <w:t>Đụng tới dữ liệu toàn công ty.</w:t>
            </w:r>
          </w:p>
        </w:tc>
      </w:tr>
    </w:tbl>
    <w:p>
      <w:pPr>
        <w:spacing w:after="120" w:line="276" w:lineRule="auto"/>
      </w:pPr>
      <w:r>
        <w:rPr>
          <w:rFonts w:ascii="Calibri" w:hAnsi="Calibri"/>
          <w:i w:val="0"/>
          <w:color w:val="222222"/>
          <w:sz w:val="22"/>
        </w:rPr>
        <w:t>Nguyên tắc đang áp dụng là: nếu đã có quyền thao tác thì hệ thống tự hiểu phải có quyền xem; nếu tắt quyền xem thì các quyền thao tác liên quan cũng bị tắt theo. Mục đích là tránh cấp quyền nửa chừng.</w:t>
      </w:r>
    </w:p>
    <w:p>
      <w:pPr>
        <w:pStyle w:val="Heading2"/>
        <w:spacing w:before="200" w:after="80"/>
      </w:pPr>
      <w:r>
        <w:rPr>
          <w:rFonts w:ascii="Calibri" w:hAnsi="Calibri"/>
          <w:b/>
          <w:color w:val="2E74B5"/>
          <w:sz w:val="26"/>
        </w:rPr>
        <w:t>2.8. Các quyền chi tiết quan trọng</w:t>
      </w:r>
    </w:p>
    <w:p>
      <w:pPr>
        <w:spacing w:after="120" w:line="276" w:lineRule="auto"/>
      </w:pPr>
      <w:r>
        <w:rPr>
          <w:rFonts w:ascii="Calibri" w:hAnsi="Calibri"/>
          <w:i w:val="0"/>
          <w:color w:val="222222"/>
          <w:sz w:val="22"/>
        </w:rPr>
        <w:t>Ngoài CRUD cơ bản, phân hệ hiện dùng nhiều quyền chi tiết để kiểm soát các thao tác nhạy cảm.</w:t>
      </w:r>
    </w:p>
    <w:p>
      <w:pPr>
        <w:pStyle w:val="ListBullet"/>
        <w:spacing w:after="80" w:line="276" w:lineRule="auto"/>
      </w:pPr>
      <w:r>
        <w:rPr>
          <w:rFonts w:ascii="Calibri" w:hAnsi="Calibri"/>
          <w:color w:val="222222"/>
          <w:sz w:val="22"/>
        </w:rPr>
        <w:t>Đặt trưởng phòng.</w:t>
      </w:r>
    </w:p>
    <w:p>
      <w:pPr>
        <w:pStyle w:val="ListBullet"/>
        <w:spacing w:after="80" w:line="276" w:lineRule="auto"/>
      </w:pPr>
      <w:r>
        <w:rPr>
          <w:rFonts w:ascii="Calibri" w:hAnsi="Calibri"/>
          <w:color w:val="222222"/>
          <w:sz w:val="22"/>
        </w:rPr>
        <w:t>Đổi cấp trên trong cây tổ chức.</w:t>
      </w:r>
    </w:p>
    <w:p>
      <w:pPr>
        <w:pStyle w:val="ListBullet"/>
        <w:spacing w:after="80" w:line="276" w:lineRule="auto"/>
      </w:pPr>
      <w:r>
        <w:rPr>
          <w:rFonts w:ascii="Calibri" w:hAnsi="Calibri"/>
          <w:color w:val="222222"/>
          <w:sz w:val="22"/>
        </w:rPr>
        <w:t>Gán vai trò.</w:t>
      </w:r>
    </w:p>
    <w:p>
      <w:pPr>
        <w:pStyle w:val="ListBullet"/>
        <w:spacing w:after="80" w:line="276" w:lineRule="auto"/>
      </w:pPr>
      <w:r>
        <w:rPr>
          <w:rFonts w:ascii="Calibri" w:hAnsi="Calibri"/>
          <w:color w:val="222222"/>
          <w:sz w:val="22"/>
        </w:rPr>
        <w:t>Chuyển phòng ban.</w:t>
      </w:r>
    </w:p>
    <w:p>
      <w:pPr>
        <w:pStyle w:val="ListBullet"/>
        <w:spacing w:after="80" w:line="276" w:lineRule="auto"/>
      </w:pPr>
      <w:r>
        <w:rPr>
          <w:rFonts w:ascii="Calibri" w:hAnsi="Calibri"/>
          <w:color w:val="222222"/>
          <w:sz w:val="22"/>
        </w:rPr>
        <w:t>Sửa ma trận phân quyền.</w:t>
      </w:r>
    </w:p>
    <w:p>
      <w:pPr>
        <w:pStyle w:val="ListBullet"/>
        <w:spacing w:after="80" w:line="276" w:lineRule="auto"/>
      </w:pPr>
      <w:r>
        <w:rPr>
          <w:rFonts w:ascii="Calibri" w:hAnsi="Calibri"/>
          <w:color w:val="222222"/>
          <w:sz w:val="22"/>
        </w:rPr>
        <w:t>Khóa hoặc mở khóa tài khoản.</w:t>
      </w:r>
    </w:p>
    <w:p>
      <w:pPr>
        <w:pStyle w:val="ListBullet"/>
        <w:spacing w:after="80" w:line="276" w:lineRule="auto"/>
      </w:pPr>
      <w:r>
        <w:rPr>
          <w:rFonts w:ascii="Calibri" w:hAnsi="Calibri"/>
          <w:color w:val="222222"/>
          <w:sz w:val="22"/>
        </w:rPr>
        <w:t>Đặt lại mật khẩu và thu hồi phiên đăng nhập.</w:t>
      </w:r>
    </w:p>
    <w:p>
      <w:pPr>
        <w:pStyle w:val="ListBullet"/>
        <w:spacing w:after="80" w:line="276" w:lineRule="auto"/>
      </w:pPr>
      <w:r>
        <w:rPr>
          <w:rFonts w:ascii="Calibri" w:hAnsi="Calibri"/>
          <w:color w:val="222222"/>
          <w:sz w:val="22"/>
        </w:rPr>
        <w:t>Xem lương &amp; BHXH khi được cấp quyền nhạy cảm.</w:t>
      </w:r>
    </w:p>
    <w:p>
      <w:pPr>
        <w:pStyle w:val="Heading2"/>
        <w:spacing w:before="200" w:after="80"/>
      </w:pPr>
      <w:r>
        <w:rPr>
          <w:rFonts w:ascii="Calibri" w:hAnsi="Calibri"/>
          <w:b/>
          <w:color w:val="2E74B5"/>
          <w:sz w:val="26"/>
        </w:rPr>
        <w:t>2.9. Những điều cần nhớ ở phân hệ Phòng ban</w:t>
      </w:r>
    </w:p>
    <w:p>
      <w:pPr>
        <w:pStyle w:val="ListBullet"/>
        <w:spacing w:after="80" w:line="276" w:lineRule="auto"/>
      </w:pPr>
      <w:r>
        <w:rPr>
          <w:rFonts w:ascii="Calibri" w:hAnsi="Calibri"/>
          <w:color w:val="222222"/>
          <w:sz w:val="22"/>
        </w:rPr>
        <w:t>Một tài khoản chỉ thuộc một phòng ban tại một thời điểm.</w:t>
      </w:r>
    </w:p>
    <w:p>
      <w:pPr>
        <w:pStyle w:val="ListBullet"/>
        <w:spacing w:after="80" w:line="276" w:lineRule="auto"/>
      </w:pPr>
      <w:r>
        <w:rPr>
          <w:rFonts w:ascii="Calibri" w:hAnsi="Calibri"/>
          <w:color w:val="222222"/>
          <w:sz w:val="22"/>
        </w:rPr>
        <w:t>Một tài khoản chỉ giữ một vai trò tại một thời điểm.</w:t>
      </w:r>
    </w:p>
    <w:p>
      <w:pPr>
        <w:pStyle w:val="ListBullet"/>
        <w:spacing w:after="80" w:line="276" w:lineRule="auto"/>
      </w:pPr>
      <w:r>
        <w:rPr>
          <w:rFonts w:ascii="Calibri" w:hAnsi="Calibri"/>
          <w:color w:val="222222"/>
          <w:sz w:val="22"/>
        </w:rPr>
        <w:t>Vai trò phải thuộc đúng phòng của người đó.</w:t>
      </w:r>
    </w:p>
    <w:p>
      <w:pPr>
        <w:pStyle w:val="ListBullet"/>
        <w:spacing w:after="80" w:line="276" w:lineRule="auto"/>
      </w:pPr>
      <w:r>
        <w:rPr>
          <w:rFonts w:ascii="Calibri" w:hAnsi="Calibri"/>
          <w:color w:val="222222"/>
          <w:sz w:val="22"/>
        </w:rPr>
        <w:t>Chuyển phòng xong nên kiểm tra lại vai trò.</w:t>
      </w:r>
    </w:p>
    <w:p>
      <w:pPr>
        <w:pStyle w:val="ListBullet"/>
        <w:spacing w:after="80" w:line="276" w:lineRule="auto"/>
      </w:pPr>
      <w:r>
        <w:rPr>
          <w:rFonts w:ascii="Calibri" w:hAnsi="Calibri"/>
          <w:color w:val="222222"/>
          <w:sz w:val="22"/>
        </w:rPr>
        <w:t>Phòng ban là nơi quản lý cơ cấu, không phải nơi khai chính sách lương.</w:t>
      </w:r>
    </w:p>
    <w:p>
      <w:pPr>
        <w:pStyle w:val="Heading1"/>
        <w:spacing w:before="320" w:after="120"/>
      </w:pPr>
      <w:r>
        <w:rPr>
          <w:rFonts w:ascii="Calibri" w:hAnsi="Calibri"/>
          <w:b/>
          <w:color w:val="2E74B5"/>
          <w:sz w:val="32"/>
        </w:rPr>
        <w:t>3. Phân hệ Lương</w:t>
      </w:r>
    </w:p>
    <w:p>
      <w:pPr>
        <w:pStyle w:val="Heading2"/>
        <w:spacing w:before="200" w:after="80"/>
      </w:pPr>
      <w:r>
        <w:rPr>
          <w:rFonts w:ascii="Calibri" w:hAnsi="Calibri"/>
          <w:b/>
          <w:color w:val="2E74B5"/>
          <w:sz w:val="26"/>
        </w:rPr>
        <w:t>3.1. Mục đích</w:t>
      </w:r>
    </w:p>
    <w:p>
      <w:pPr>
        <w:spacing w:after="120" w:line="276" w:lineRule="auto"/>
      </w:pPr>
      <w:r>
        <w:rPr>
          <w:rFonts w:ascii="Calibri" w:hAnsi="Calibri"/>
          <w:i w:val="0"/>
          <w:color w:val="222222"/>
          <w:sz w:val="22"/>
        </w:rPr>
        <w:t>Phân hệ Lương là trung tâm xử lý lương thời gian của hệ thống. Phân hệ này quản lý dữ liệu lương, cấu hình tính lương, bảng lương tháng, tạm ứng và phiếu lương cá nhân.</w:t>
      </w:r>
    </w:p>
    <w:p>
      <w:pPr>
        <w:pStyle w:val="Heading2"/>
        <w:spacing w:before="200" w:after="80"/>
      </w:pPr>
      <w:r>
        <w:rPr>
          <w:rFonts w:ascii="Calibri" w:hAnsi="Calibri"/>
          <w:b/>
          <w:color w:val="2E74B5"/>
          <w:sz w:val="26"/>
        </w:rPr>
        <w:t>3.2. Các tab chính</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Tab</w:t>
            </w:r>
          </w:p>
        </w:tc>
        <w:tc>
          <w:tcPr>
            <w:tcW w:type="dxa" w:w="6973"/>
            <w:vAlign w:val="center"/>
            <w:shd w:fill="E8EEF5"/>
          </w:tcPr>
          <w:p>
            <w:pPr>
              <w:spacing w:after="40" w:before="0"/>
              <w:jc w:val="left"/>
            </w:pPr>
            <w:r/>
            <w:r>
              <w:rPr>
                <w:rFonts w:ascii="Calibri" w:hAnsi="Calibri"/>
                <w:b/>
                <w:color w:val="222222"/>
                <w:sz w:val="21"/>
              </w:rPr>
              <w:t>Công dụng</w:t>
            </w:r>
          </w:p>
        </w:tc>
      </w:tr>
      <w:tr>
        <w:tc>
          <w:tcPr>
            <w:tcW w:type="dxa" w:w="2381"/>
            <w:vAlign w:val="center"/>
          </w:tcPr>
          <w:p>
            <w:pPr>
              <w:spacing w:after="40" w:before="0"/>
              <w:jc w:val="left"/>
            </w:pPr>
            <w:r/>
            <w:r>
              <w:rPr>
                <w:rFonts w:ascii="Calibri" w:hAnsi="Calibri"/>
                <w:b w:val="0"/>
                <w:color w:val="222222"/>
                <w:sz w:val="21"/>
              </w:rPr>
              <w:t>Bảng lương tháng</w:t>
            </w:r>
          </w:p>
        </w:tc>
        <w:tc>
          <w:tcPr>
            <w:tcW w:type="dxa" w:w="6973"/>
            <w:vAlign w:val="center"/>
          </w:tcPr>
          <w:p>
            <w:pPr>
              <w:spacing w:after="40" w:before="0"/>
              <w:jc w:val="left"/>
            </w:pPr>
            <w:r/>
            <w:r>
              <w:rPr>
                <w:rFonts w:ascii="Calibri" w:hAnsi="Calibri"/>
                <w:b w:val="0"/>
                <w:color w:val="222222"/>
                <w:sz w:val="21"/>
              </w:rPr>
              <w:t>Tạo bảng lương, soát số, chốt kỳ, xuất file, in phiếu.</w:t>
            </w:r>
          </w:p>
        </w:tc>
      </w:tr>
      <w:tr>
        <w:tc>
          <w:tcPr>
            <w:tcW w:type="dxa" w:w="2381"/>
            <w:vAlign w:val="center"/>
          </w:tcPr>
          <w:p>
            <w:pPr>
              <w:spacing w:after="40" w:before="0"/>
              <w:jc w:val="left"/>
            </w:pPr>
            <w:r/>
            <w:r>
              <w:rPr>
                <w:rFonts w:ascii="Calibri" w:hAnsi="Calibri"/>
                <w:b w:val="0"/>
                <w:color w:val="222222"/>
                <w:sz w:val="21"/>
              </w:rPr>
              <w:t>Lương nhân viên</w:t>
            </w:r>
          </w:p>
        </w:tc>
        <w:tc>
          <w:tcPr>
            <w:tcW w:type="dxa" w:w="6973"/>
            <w:vAlign w:val="center"/>
          </w:tcPr>
          <w:p>
            <w:pPr>
              <w:spacing w:after="40" w:before="0"/>
              <w:jc w:val="left"/>
            </w:pPr>
            <w:r/>
            <w:r>
              <w:rPr>
                <w:rFonts w:ascii="Calibri" w:hAnsi="Calibri"/>
                <w:b w:val="0"/>
                <w:color w:val="222222"/>
                <w:sz w:val="21"/>
              </w:rPr>
              <w:t>Khai mức lương và các khoản cố định của từng nhân viên.</w:t>
            </w:r>
          </w:p>
        </w:tc>
      </w:tr>
      <w:tr>
        <w:tc>
          <w:tcPr>
            <w:tcW w:type="dxa" w:w="2381"/>
            <w:vAlign w:val="center"/>
          </w:tcPr>
          <w:p>
            <w:pPr>
              <w:spacing w:after="40" w:before="0"/>
              <w:jc w:val="left"/>
            </w:pPr>
            <w:r/>
            <w:r>
              <w:rPr>
                <w:rFonts w:ascii="Calibri" w:hAnsi="Calibri"/>
                <w:b w:val="0"/>
                <w:color w:val="222222"/>
                <w:sz w:val="21"/>
              </w:rPr>
              <w:t>Lương khoán</w:t>
            </w:r>
          </w:p>
        </w:tc>
        <w:tc>
          <w:tcPr>
            <w:tcW w:type="dxa" w:w="6973"/>
            <w:vAlign w:val="center"/>
          </w:tcPr>
          <w:p>
            <w:pPr>
              <w:spacing w:after="40" w:before="0"/>
              <w:jc w:val="left"/>
            </w:pPr>
            <w:r/>
            <w:r>
              <w:rPr>
                <w:rFonts w:ascii="Calibri" w:hAnsi="Calibri"/>
                <w:b w:val="0"/>
                <w:color w:val="222222"/>
                <w:sz w:val="21"/>
              </w:rPr>
              <w:t>Khu vực dành cho luồng lương khoán khi doanh nghiệp áp dụng.</w:t>
            </w:r>
          </w:p>
        </w:tc>
      </w:tr>
      <w:tr>
        <w:tc>
          <w:tcPr>
            <w:tcW w:type="dxa" w:w="2381"/>
            <w:vAlign w:val="center"/>
          </w:tcPr>
          <w:p>
            <w:pPr>
              <w:spacing w:after="40" w:before="0"/>
              <w:jc w:val="left"/>
            </w:pPr>
            <w:r/>
            <w:r>
              <w:rPr>
                <w:rFonts w:ascii="Calibri" w:hAnsi="Calibri"/>
                <w:b w:val="0"/>
                <w:color w:val="222222"/>
                <w:sz w:val="21"/>
              </w:rPr>
              <w:t>Tạm ứng</w:t>
            </w:r>
          </w:p>
        </w:tc>
        <w:tc>
          <w:tcPr>
            <w:tcW w:type="dxa" w:w="6973"/>
            <w:vAlign w:val="center"/>
          </w:tcPr>
          <w:p>
            <w:pPr>
              <w:spacing w:after="40" w:before="0"/>
              <w:jc w:val="left"/>
            </w:pPr>
            <w:r/>
            <w:r>
              <w:rPr>
                <w:rFonts w:ascii="Calibri" w:hAnsi="Calibri"/>
                <w:b w:val="0"/>
                <w:color w:val="222222"/>
                <w:sz w:val="21"/>
              </w:rPr>
              <w:t>Quản lý phiếu tạm ứng và phiếu lương đợt 1.</w:t>
            </w:r>
          </w:p>
        </w:tc>
      </w:tr>
      <w:tr>
        <w:tc>
          <w:tcPr>
            <w:tcW w:type="dxa" w:w="2381"/>
            <w:vAlign w:val="center"/>
          </w:tcPr>
          <w:p>
            <w:pPr>
              <w:spacing w:after="40" w:before="0"/>
              <w:jc w:val="left"/>
            </w:pPr>
            <w:r/>
            <w:r>
              <w:rPr>
                <w:rFonts w:ascii="Calibri" w:hAnsi="Calibri"/>
                <w:b w:val="0"/>
                <w:color w:val="222222"/>
                <w:sz w:val="21"/>
              </w:rPr>
              <w:t>Cấu hình lương</w:t>
            </w:r>
          </w:p>
        </w:tc>
        <w:tc>
          <w:tcPr>
            <w:tcW w:type="dxa" w:w="6973"/>
            <w:vAlign w:val="center"/>
          </w:tcPr>
          <w:p>
            <w:pPr>
              <w:spacing w:after="40" w:before="0"/>
              <w:jc w:val="left"/>
            </w:pPr>
            <w:r/>
            <w:r>
              <w:rPr>
                <w:rFonts w:ascii="Calibri" w:hAnsi="Calibri"/>
                <w:b w:val="0"/>
                <w:color w:val="222222"/>
                <w:sz w:val="21"/>
              </w:rPr>
              <w:t>Quản lý tham số chung, cấu hình theo bộ phận, bảo hiểm, thuế, phụ cấp.</w:t>
            </w:r>
          </w:p>
        </w:tc>
      </w:tr>
      <w:tr>
        <w:tc>
          <w:tcPr>
            <w:tcW w:type="dxa" w:w="2381"/>
            <w:vAlign w:val="center"/>
          </w:tcPr>
          <w:p>
            <w:pPr>
              <w:spacing w:after="40" w:before="0"/>
              <w:jc w:val="left"/>
            </w:pPr>
            <w:r/>
            <w:r>
              <w:rPr>
                <w:rFonts w:ascii="Calibri" w:hAnsi="Calibri"/>
                <w:b w:val="0"/>
                <w:color w:val="222222"/>
                <w:sz w:val="21"/>
              </w:rPr>
              <w:t>Phiếu lương của tôi</w:t>
            </w:r>
          </w:p>
        </w:tc>
        <w:tc>
          <w:tcPr>
            <w:tcW w:type="dxa" w:w="6973"/>
            <w:vAlign w:val="center"/>
          </w:tcPr>
          <w:p>
            <w:pPr>
              <w:spacing w:after="40" w:before="0"/>
              <w:jc w:val="left"/>
            </w:pPr>
            <w:r/>
            <w:r>
              <w:rPr>
                <w:rFonts w:ascii="Calibri" w:hAnsi="Calibri"/>
                <w:b w:val="0"/>
                <w:color w:val="222222"/>
                <w:sz w:val="21"/>
              </w:rPr>
              <w:t>Nhân viên tự xem phiếu lương cá nhân.</w:t>
            </w:r>
          </w:p>
        </w:tc>
      </w:tr>
      <w:tr>
        <w:tc>
          <w:tcPr>
            <w:tcW w:type="dxa" w:w="2381"/>
            <w:vAlign w:val="center"/>
          </w:tcPr>
          <w:p>
            <w:pPr>
              <w:spacing w:after="40" w:before="0"/>
              <w:jc w:val="left"/>
            </w:pPr>
            <w:r/>
            <w:r>
              <w:rPr>
                <w:rFonts w:ascii="Calibri" w:hAnsi="Calibri"/>
                <w:b w:val="0"/>
                <w:color w:val="222222"/>
                <w:sz w:val="21"/>
              </w:rPr>
              <w:t>Tạm ứng của tôi</w:t>
            </w:r>
          </w:p>
        </w:tc>
        <w:tc>
          <w:tcPr>
            <w:tcW w:type="dxa" w:w="6973"/>
            <w:vAlign w:val="center"/>
          </w:tcPr>
          <w:p>
            <w:pPr>
              <w:spacing w:after="40" w:before="0"/>
              <w:jc w:val="left"/>
            </w:pPr>
            <w:r/>
            <w:r>
              <w:rPr>
                <w:rFonts w:ascii="Calibri" w:hAnsi="Calibri"/>
                <w:b w:val="0"/>
                <w:color w:val="222222"/>
                <w:sz w:val="21"/>
              </w:rPr>
              <w:t>Nhân viên tự tạo và theo dõi đề nghị tạm ứng của chính mình.</w:t>
            </w:r>
          </w:p>
        </w:tc>
      </w:tr>
    </w:tbl>
    <w:p>
      <w:pPr>
        <w:pStyle w:val="Heading2"/>
        <w:spacing w:before="200" w:after="80"/>
      </w:pPr>
      <w:r>
        <w:rPr>
          <w:rFonts w:ascii="Calibri" w:hAnsi="Calibri"/>
          <w:b/>
          <w:color w:val="2E74B5"/>
          <w:sz w:val="26"/>
        </w:rPr>
        <w:t>3.3. Tab Bảng lương tháng</w:t>
      </w:r>
    </w:p>
    <w:p>
      <w:pPr>
        <w:spacing w:after="120" w:line="276" w:lineRule="auto"/>
      </w:pPr>
      <w:r>
        <w:rPr>
          <w:rFonts w:ascii="Calibri" w:hAnsi="Calibri"/>
          <w:i w:val="0"/>
          <w:color w:val="222222"/>
          <w:sz w:val="22"/>
        </w:rPr>
        <w:t>Đây là nơi người có quyền quản lý lương vận hành kỳ lương theo từng tháng.</w:t>
      </w:r>
    </w:p>
    <w:p>
      <w:pPr>
        <w:pStyle w:val="ListNumber"/>
        <w:spacing w:after="80" w:line="276" w:lineRule="auto"/>
      </w:pPr>
      <w:r>
        <w:rPr>
          <w:rFonts w:ascii="Calibri" w:hAnsi="Calibri"/>
          <w:color w:val="222222"/>
          <w:sz w:val="22"/>
        </w:rPr>
        <w:t>Chọn tháng cần xử lý.</w:t>
      </w:r>
    </w:p>
    <w:p>
      <w:pPr>
        <w:pStyle w:val="ListNumber"/>
        <w:spacing w:after="80" w:line="276" w:lineRule="auto"/>
      </w:pPr>
      <w:r>
        <w:rPr>
          <w:rFonts w:ascii="Calibri" w:hAnsi="Calibri"/>
          <w:color w:val="222222"/>
          <w:sz w:val="22"/>
        </w:rPr>
        <w:t>Sinh bảng lương từ dữ liệu chấm công, hồ sơ lương và cấu hình lương.</w:t>
      </w:r>
    </w:p>
    <w:p>
      <w:pPr>
        <w:pStyle w:val="ListNumber"/>
        <w:spacing w:after="80" w:line="276" w:lineRule="auto"/>
      </w:pPr>
      <w:r>
        <w:rPr>
          <w:rFonts w:ascii="Calibri" w:hAnsi="Calibri"/>
          <w:color w:val="222222"/>
          <w:sz w:val="22"/>
        </w:rPr>
        <w:t>Soát từng dòng lương theo nhân viên.</w:t>
      </w:r>
    </w:p>
    <w:p>
      <w:pPr>
        <w:pStyle w:val="ListNumber"/>
        <w:spacing w:after="80" w:line="276" w:lineRule="auto"/>
      </w:pPr>
      <w:r>
        <w:rPr>
          <w:rFonts w:ascii="Calibri" w:hAnsi="Calibri"/>
          <w:color w:val="222222"/>
          <w:sz w:val="22"/>
        </w:rPr>
        <w:t>Sửa các ô tay khi kỳ còn ở trạng thái nháp.</w:t>
      </w:r>
    </w:p>
    <w:p>
      <w:pPr>
        <w:pStyle w:val="ListNumber"/>
        <w:spacing w:after="80" w:line="276" w:lineRule="auto"/>
      </w:pPr>
      <w:r>
        <w:rPr>
          <w:rFonts w:ascii="Calibri" w:hAnsi="Calibri"/>
          <w:color w:val="222222"/>
          <w:sz w:val="22"/>
        </w:rPr>
        <w:t>Chốt kỳ lương.</w:t>
      </w:r>
    </w:p>
    <w:p>
      <w:pPr>
        <w:pStyle w:val="ListNumber"/>
        <w:spacing w:after="80" w:line="276" w:lineRule="auto"/>
      </w:pPr>
      <w:r>
        <w:rPr>
          <w:rFonts w:ascii="Calibri" w:hAnsi="Calibri"/>
          <w:color w:val="222222"/>
          <w:sz w:val="22"/>
        </w:rPr>
        <w:t>Đánh dấu đã chi trả.</w:t>
      </w:r>
    </w:p>
    <w:p>
      <w:pPr>
        <w:pStyle w:val="ListNumber"/>
        <w:spacing w:after="80" w:line="276" w:lineRule="auto"/>
      </w:pPr>
      <w:r>
        <w:rPr>
          <w:rFonts w:ascii="Calibri" w:hAnsi="Calibri"/>
          <w:color w:val="222222"/>
          <w:sz w:val="22"/>
        </w:rPr>
        <w:t>Xuất bảng lương Excel hoặc file chuyển khoản ngân hàng.</w:t>
      </w:r>
    </w:p>
    <w:p>
      <w:pPr>
        <w:pStyle w:val="ListNumber"/>
        <w:spacing w:after="80" w:line="276" w:lineRule="auto"/>
      </w:pPr>
      <w:r>
        <w:rPr>
          <w:rFonts w:ascii="Calibri" w:hAnsi="Calibri"/>
          <w:color w:val="222222"/>
          <w:sz w:val="22"/>
        </w:rPr>
        <w:t>In phiếu lương từng người.</w:t>
      </w:r>
    </w:p>
    <w:p>
      <w:pPr>
        <w:pStyle w:val="Heading2"/>
        <w:spacing w:before="200" w:after="80"/>
      </w:pPr>
      <w:r>
        <w:rPr>
          <w:rFonts w:ascii="Calibri" w:hAnsi="Calibri"/>
          <w:b/>
          <w:color w:val="2E74B5"/>
          <w:sz w:val="26"/>
        </w:rPr>
        <w:t>3.4. Trạng thái kỳ lương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shd w:fill="E8EEF5"/>
          </w:tcPr>
          <w:p>
            <w:pPr>
              <w:spacing w:after="40" w:before="0"/>
              <w:jc w:val="left"/>
            </w:pPr>
            <w:r/>
            <w:r>
              <w:rPr>
                <w:rFonts w:ascii="Calibri" w:hAnsi="Calibri"/>
                <w:b/>
                <w:color w:val="222222"/>
                <w:sz w:val="21"/>
              </w:rPr>
              <w:t>Tên hiển thị</w:t>
            </w:r>
          </w:p>
        </w:tc>
        <w:tc>
          <w:tcPr>
            <w:tcW w:type="dxa" w:w="1814"/>
            <w:vAlign w:val="center"/>
            <w:shd w:fill="E8EEF5"/>
          </w:tcPr>
          <w:p>
            <w:pPr>
              <w:spacing w:after="40" w:before="0"/>
              <w:jc w:val="left"/>
            </w:pPr>
            <w:r/>
            <w:r>
              <w:rPr>
                <w:rFonts w:ascii="Calibri" w:hAnsi="Calibri"/>
                <w:b/>
                <w:color w:val="222222"/>
                <w:sz w:val="21"/>
              </w:rPr>
              <w:t>Mã trạng thái</w:t>
            </w:r>
          </w:p>
        </w:tc>
        <w:tc>
          <w:tcPr>
            <w:tcW w:type="dxa" w:w="5556"/>
            <w:vAlign w:val="center"/>
            <w:shd w:fill="E8EEF5"/>
          </w:tcPr>
          <w:p>
            <w:pPr>
              <w:spacing w:after="40" w:before="0"/>
              <w:jc w:val="left"/>
            </w:pPr>
            <w:r/>
            <w:r>
              <w:rPr>
                <w:rFonts w:ascii="Calibri" w:hAnsi="Calibri"/>
                <w:b/>
                <w:color w:val="222222"/>
                <w:sz w:val="21"/>
              </w:rPr>
              <w:t>Ý nghĩa</w:t>
            </w:r>
          </w:p>
        </w:tc>
      </w:tr>
      <w:tr>
        <w:tc>
          <w:tcPr>
            <w:tcW w:type="dxa" w:w="1984"/>
            <w:vAlign w:val="center"/>
          </w:tcPr>
          <w:p>
            <w:pPr>
              <w:spacing w:after="40" w:before="0"/>
              <w:jc w:val="left"/>
            </w:pPr>
            <w:r/>
            <w:r>
              <w:rPr>
                <w:rFonts w:ascii="Calibri" w:hAnsi="Calibri"/>
                <w:b w:val="0"/>
                <w:color w:val="222222"/>
                <w:sz w:val="21"/>
              </w:rPr>
              <w:t>Nháp</w:t>
            </w:r>
          </w:p>
        </w:tc>
        <w:tc>
          <w:tcPr>
            <w:tcW w:type="dxa" w:w="1814"/>
            <w:vAlign w:val="center"/>
          </w:tcPr>
          <w:p>
            <w:pPr>
              <w:spacing w:after="40" w:before="0"/>
              <w:jc w:val="left"/>
            </w:pPr>
            <w:r/>
            <w:r>
              <w:rPr>
                <w:rFonts w:ascii="Calibri" w:hAnsi="Calibri"/>
                <w:b w:val="0"/>
                <w:color w:val="222222"/>
                <w:sz w:val="21"/>
              </w:rPr>
              <w:t>draft</w:t>
            </w:r>
          </w:p>
        </w:tc>
        <w:tc>
          <w:tcPr>
            <w:tcW w:type="dxa" w:w="5556"/>
            <w:vAlign w:val="center"/>
          </w:tcPr>
          <w:p>
            <w:pPr>
              <w:spacing w:after="40" w:before="0"/>
              <w:jc w:val="left"/>
            </w:pPr>
            <w:r/>
            <w:r>
              <w:rPr>
                <w:rFonts w:ascii="Calibri" w:hAnsi="Calibri"/>
                <w:b w:val="0"/>
                <w:color w:val="222222"/>
                <w:sz w:val="21"/>
              </w:rPr>
              <w:t>Kỳ lương đang soạn, còn được tính lại và sửa số.</w:t>
            </w:r>
          </w:p>
        </w:tc>
      </w:tr>
      <w:tr>
        <w:tc>
          <w:tcPr>
            <w:tcW w:type="dxa" w:w="1984"/>
            <w:vAlign w:val="center"/>
          </w:tcPr>
          <w:p>
            <w:pPr>
              <w:spacing w:after="40" w:before="0"/>
              <w:jc w:val="left"/>
            </w:pPr>
            <w:r/>
            <w:r>
              <w:rPr>
                <w:rFonts w:ascii="Calibri" w:hAnsi="Calibri"/>
                <w:b w:val="0"/>
                <w:color w:val="222222"/>
                <w:sz w:val="21"/>
              </w:rPr>
              <w:t>Đã chốt</w:t>
            </w:r>
          </w:p>
        </w:tc>
        <w:tc>
          <w:tcPr>
            <w:tcW w:type="dxa" w:w="1814"/>
            <w:vAlign w:val="center"/>
          </w:tcPr>
          <w:p>
            <w:pPr>
              <w:spacing w:after="40" w:before="0"/>
              <w:jc w:val="left"/>
            </w:pPr>
            <w:r/>
            <w:r>
              <w:rPr>
                <w:rFonts w:ascii="Calibri" w:hAnsi="Calibri"/>
                <w:b w:val="0"/>
                <w:color w:val="222222"/>
                <w:sz w:val="21"/>
              </w:rPr>
              <w:t>locked</w:t>
            </w:r>
          </w:p>
        </w:tc>
        <w:tc>
          <w:tcPr>
            <w:tcW w:type="dxa" w:w="5556"/>
            <w:vAlign w:val="center"/>
          </w:tcPr>
          <w:p>
            <w:pPr>
              <w:spacing w:after="40" w:before="0"/>
              <w:jc w:val="left"/>
            </w:pPr>
            <w:r/>
            <w:r>
              <w:rPr>
                <w:rFonts w:ascii="Calibri" w:hAnsi="Calibri"/>
                <w:b w:val="0"/>
                <w:color w:val="222222"/>
                <w:sz w:val="21"/>
              </w:rPr>
              <w:t>Đã khóa số liệu, không cho sửa trực tiếp nữa.</w:t>
            </w:r>
          </w:p>
        </w:tc>
      </w:tr>
      <w:tr>
        <w:tc>
          <w:tcPr>
            <w:tcW w:type="dxa" w:w="1984"/>
            <w:vAlign w:val="center"/>
          </w:tcPr>
          <w:p>
            <w:pPr>
              <w:spacing w:after="40" w:before="0"/>
              <w:jc w:val="left"/>
            </w:pPr>
            <w:r/>
            <w:r>
              <w:rPr>
                <w:rFonts w:ascii="Calibri" w:hAnsi="Calibri"/>
                <w:b w:val="0"/>
                <w:color w:val="222222"/>
                <w:sz w:val="21"/>
              </w:rPr>
              <w:t>Đã chi</w:t>
            </w:r>
          </w:p>
        </w:tc>
        <w:tc>
          <w:tcPr>
            <w:tcW w:type="dxa" w:w="1814"/>
            <w:vAlign w:val="center"/>
          </w:tcPr>
          <w:p>
            <w:pPr>
              <w:spacing w:after="40" w:before="0"/>
              <w:jc w:val="left"/>
            </w:pPr>
            <w:r/>
            <w:r>
              <w:rPr>
                <w:rFonts w:ascii="Calibri" w:hAnsi="Calibri"/>
                <w:b w:val="0"/>
                <w:color w:val="222222"/>
                <w:sz w:val="21"/>
              </w:rPr>
              <w:t>paid</w:t>
            </w:r>
          </w:p>
        </w:tc>
        <w:tc>
          <w:tcPr>
            <w:tcW w:type="dxa" w:w="5556"/>
            <w:vAlign w:val="center"/>
          </w:tcPr>
          <w:p>
            <w:pPr>
              <w:spacing w:after="40" w:before="0"/>
              <w:jc w:val="left"/>
            </w:pPr>
            <w:r/>
            <w:r>
              <w:rPr>
                <w:rFonts w:ascii="Calibri" w:hAnsi="Calibri"/>
                <w:b w:val="0"/>
                <w:color w:val="222222"/>
                <w:sz w:val="21"/>
              </w:rPr>
              <w:t>Đã xác nhận chi trả, khóa cứng hơn kỳ đã chốt.</w:t>
            </w:r>
          </w:p>
        </w:tc>
      </w:tr>
    </w:tbl>
    <w:p>
      <w:pPr>
        <w:spacing w:after="120" w:line="276" w:lineRule="auto"/>
      </w:pPr>
      <w:r>
        <w:rPr>
          <w:rFonts w:ascii="Calibri" w:hAnsi="Calibri"/>
          <w:i w:val="0"/>
          <w:color w:val="222222"/>
          <w:sz w:val="22"/>
        </w:rPr>
        <w:t>Chỉ kỳ lương ở trạng thái nháp mới được tính lại và sửa trực tiếp. Kỳ đã chốt hoặc đã chi được giữ lại để bảo toàn lịch sử.</w:t>
      </w:r>
    </w:p>
    <w:p>
      <w:pPr>
        <w:pStyle w:val="Heading2"/>
        <w:spacing w:before="200" w:after="80"/>
      </w:pPr>
      <w:r>
        <w:rPr>
          <w:rFonts w:ascii="Calibri" w:hAnsi="Calibri"/>
          <w:b/>
          <w:color w:val="2E74B5"/>
          <w:sz w:val="26"/>
        </w:rPr>
        <w:t>3.5. Tab Lương nhân viên</w:t>
      </w:r>
    </w:p>
    <w:p>
      <w:pPr>
        <w:spacing w:after="120" w:line="276" w:lineRule="auto"/>
      </w:pPr>
      <w:r>
        <w:rPr>
          <w:rFonts w:ascii="Calibri" w:hAnsi="Calibri"/>
          <w:i w:val="0"/>
          <w:color w:val="222222"/>
          <w:sz w:val="22"/>
        </w:rPr>
        <w:t>Tab này giữ dữ liệu gốc của từng nhân viên để phục vụ tính lương. Đây là nơi khai mức lương và các khoản cố định theo từng người, không dùng kiểu cả tổ một mức tiền.</w:t>
      </w:r>
    </w:p>
    <w:p>
      <w:pPr>
        <w:pStyle w:val="ListBullet"/>
        <w:spacing w:after="80" w:line="276" w:lineRule="auto"/>
      </w:pPr>
      <w:r>
        <w:rPr>
          <w:rFonts w:ascii="Calibri" w:hAnsi="Calibri"/>
          <w:color w:val="222222"/>
          <w:sz w:val="22"/>
        </w:rPr>
        <w:t>Lương cơ bản dùng làm mức đóng bảo hiểm.</w:t>
      </w:r>
    </w:p>
    <w:p>
      <w:pPr>
        <w:pStyle w:val="ListBullet"/>
        <w:spacing w:after="80" w:line="276" w:lineRule="auto"/>
      </w:pPr>
      <w:r>
        <w:rPr>
          <w:rFonts w:ascii="Calibri" w:hAnsi="Calibri"/>
          <w:color w:val="222222"/>
          <w:sz w:val="22"/>
        </w:rPr>
        <w:t>Lương trách nhiệm.</w:t>
      </w:r>
    </w:p>
    <w:p>
      <w:pPr>
        <w:pStyle w:val="ListBullet"/>
        <w:spacing w:after="80" w:line="276" w:lineRule="auto"/>
      </w:pPr>
      <w:r>
        <w:rPr>
          <w:rFonts w:ascii="Calibri" w:hAnsi="Calibri"/>
          <w:color w:val="222222"/>
          <w:sz w:val="22"/>
        </w:rPr>
        <w:t>Thưởng chuyên cần.</w:t>
      </w:r>
    </w:p>
    <w:p>
      <w:pPr>
        <w:pStyle w:val="ListBullet"/>
        <w:spacing w:after="80" w:line="276" w:lineRule="auto"/>
      </w:pPr>
      <w:r>
        <w:rPr>
          <w:rFonts w:ascii="Calibri" w:hAnsi="Calibri"/>
          <w:color w:val="222222"/>
          <w:sz w:val="22"/>
        </w:rPr>
        <w:t>Phụ cấp thâm niên.</w:t>
      </w:r>
    </w:p>
    <w:p>
      <w:pPr>
        <w:pStyle w:val="ListBullet"/>
        <w:spacing w:after="80" w:line="276" w:lineRule="auto"/>
      </w:pPr>
      <w:r>
        <w:rPr>
          <w:rFonts w:ascii="Calibri" w:hAnsi="Calibri"/>
          <w:color w:val="222222"/>
          <w:sz w:val="22"/>
        </w:rPr>
        <w:t>Phụ cấp khác.</w:t>
      </w:r>
    </w:p>
    <w:p>
      <w:pPr>
        <w:pStyle w:val="ListBullet"/>
        <w:spacing w:after="80" w:line="276" w:lineRule="auto"/>
      </w:pPr>
      <w:r>
        <w:rPr>
          <w:rFonts w:ascii="Calibri" w:hAnsi="Calibri"/>
          <w:color w:val="222222"/>
          <w:sz w:val="22"/>
        </w:rPr>
        <w:t>Lương trả 1 lần (đợt 1).</w:t>
      </w:r>
    </w:p>
    <w:p>
      <w:pPr>
        <w:pStyle w:val="ListBullet"/>
        <w:spacing w:after="80" w:line="276" w:lineRule="auto"/>
      </w:pPr>
      <w:r>
        <w:rPr>
          <w:rFonts w:ascii="Calibri" w:hAnsi="Calibri"/>
          <w:color w:val="222222"/>
          <w:sz w:val="22"/>
        </w:rPr>
        <w:t>Các khoản cộng hoặc trừ riêng theo từng người.</w:t>
      </w:r>
    </w:p>
    <w:p>
      <w:pPr>
        <w:pStyle w:val="ListBullet"/>
        <w:spacing w:after="80" w:line="276" w:lineRule="auto"/>
      </w:pPr>
      <w:r>
        <w:rPr>
          <w:rFonts w:ascii="Calibri" w:hAnsi="Calibri"/>
          <w:color w:val="222222"/>
          <w:sz w:val="22"/>
        </w:rPr>
        <w:t>Cách tính thuế TNCN khi hồ sơ yêu cầu.</w:t>
      </w:r>
    </w:p>
    <w:p>
      <w:pPr>
        <w:spacing w:after="120" w:line="276" w:lineRule="auto"/>
      </w:pPr>
      <w:r>
        <w:rPr>
          <w:rFonts w:ascii="Calibri" w:hAnsi="Calibri"/>
          <w:i w:val="0"/>
          <w:color w:val="222222"/>
          <w:sz w:val="22"/>
        </w:rPr>
        <w:t>Các thay đổi tại đây sẽ ảnh hưởng tới những kỳ lương còn nháp. Những kỳ đã chốt hoặc đã chi sẽ không tự thay đổi ngược.</w:t>
      </w:r>
    </w:p>
    <w:p>
      <w:pPr>
        <w:pStyle w:val="Heading2"/>
        <w:spacing w:before="200" w:after="80"/>
      </w:pPr>
      <w:r>
        <w:rPr>
          <w:rFonts w:ascii="Calibri" w:hAnsi="Calibri"/>
          <w:b/>
          <w:color w:val="2E74B5"/>
          <w:sz w:val="26"/>
        </w:rPr>
        <w:t>3.6. Tab Cấu hình lương</w:t>
      </w:r>
    </w:p>
    <w:p>
      <w:pPr>
        <w:spacing w:after="120" w:line="276" w:lineRule="auto"/>
      </w:pPr>
      <w:r>
        <w:rPr>
          <w:rFonts w:ascii="Calibri" w:hAnsi="Calibri"/>
          <w:i w:val="0"/>
          <w:color w:val="222222"/>
          <w:sz w:val="22"/>
        </w:rPr>
        <w:t>Đây là khu vực dữ liệu nhạy cảm, không phải ai vào module Lương cũng được xem hoặc sửa.</w:t>
      </w:r>
    </w:p>
    <w:p>
      <w:pPr>
        <w:pStyle w:val="ListBullet"/>
        <w:spacing w:after="80" w:line="276" w:lineRule="auto"/>
      </w:pPr>
      <w:r>
        <w:rPr>
          <w:rFonts w:ascii="Calibri" w:hAnsi="Calibri"/>
          <w:color w:val="222222"/>
          <w:sz w:val="22"/>
        </w:rPr>
        <w:t>Quản lý tham số chung như giờ chuẩn, tỷ lệ thử việc, tăng ca.</w:t>
      </w:r>
    </w:p>
    <w:p>
      <w:pPr>
        <w:pStyle w:val="ListBullet"/>
        <w:spacing w:after="80" w:line="276" w:lineRule="auto"/>
      </w:pPr>
      <w:r>
        <w:rPr>
          <w:rFonts w:ascii="Calibri" w:hAnsi="Calibri"/>
          <w:color w:val="222222"/>
          <w:sz w:val="22"/>
        </w:rPr>
        <w:t>Quản lý cấu hình theo bộ phận.</w:t>
      </w:r>
    </w:p>
    <w:p>
      <w:pPr>
        <w:pStyle w:val="ListBullet"/>
        <w:spacing w:after="80" w:line="276" w:lineRule="auto"/>
      </w:pPr>
      <w:r>
        <w:rPr>
          <w:rFonts w:ascii="Calibri" w:hAnsi="Calibri"/>
          <w:color w:val="222222"/>
          <w:sz w:val="22"/>
        </w:rPr>
        <w:t>Quản lý tỷ lệ bảo hiểm người lao động và doanh nghiệp.</w:t>
      </w:r>
    </w:p>
    <w:p>
      <w:pPr>
        <w:pStyle w:val="ListBullet"/>
        <w:spacing w:after="80" w:line="276" w:lineRule="auto"/>
      </w:pPr>
      <w:r>
        <w:rPr>
          <w:rFonts w:ascii="Calibri" w:hAnsi="Calibri"/>
          <w:color w:val="222222"/>
          <w:sz w:val="22"/>
        </w:rPr>
        <w:t>Quản lý giảm trừ gia cảnh, thuế và các ngưỡng liên quan.</w:t>
      </w:r>
    </w:p>
    <w:p>
      <w:pPr>
        <w:spacing w:after="120" w:line="276" w:lineRule="auto"/>
      </w:pPr>
      <w:r>
        <w:rPr>
          <w:rFonts w:ascii="Calibri" w:hAnsi="Calibri"/>
          <w:i w:val="0"/>
          <w:color w:val="222222"/>
          <w:sz w:val="22"/>
        </w:rPr>
        <w:t>Người có quyền xem cấu hình lương được đọc dữ liệu nhạy cảm; người có quyền cập nhật mới được lưu thay đổi.</w:t>
      </w:r>
    </w:p>
    <w:p>
      <w:pPr>
        <w:pStyle w:val="Heading2"/>
        <w:spacing w:before="200" w:after="80"/>
      </w:pPr>
      <w:r>
        <w:rPr>
          <w:rFonts w:ascii="Calibri" w:hAnsi="Calibri"/>
          <w:b/>
          <w:color w:val="2E74B5"/>
          <w:sz w:val="26"/>
        </w:rPr>
        <w:t>3.7. Tab Tạm ứng</w:t>
      </w:r>
    </w:p>
    <w:p>
      <w:pPr>
        <w:spacing w:after="120" w:line="276" w:lineRule="auto"/>
      </w:pPr>
      <w:r>
        <w:rPr>
          <w:rFonts w:ascii="Calibri" w:hAnsi="Calibri"/>
          <w:i w:val="0"/>
          <w:color w:val="222222"/>
          <w:sz w:val="22"/>
        </w:rPr>
        <w:t>Tab Tạm ứng quản lý cả phiếu tạm ứng thông thường và phiếu lương đợt 1.</w:t>
      </w:r>
    </w:p>
    <w:p>
      <w:pPr>
        <w:pStyle w:val="ListBullet"/>
        <w:spacing w:after="80" w:line="276" w:lineRule="auto"/>
      </w:pPr>
      <w:r>
        <w:rPr>
          <w:rFonts w:ascii="Calibri" w:hAnsi="Calibri"/>
          <w:color w:val="222222"/>
          <w:sz w:val="22"/>
        </w:rPr>
        <w:t>Tạm ứng: khoản ứng trước ngoài lương chính.</w:t>
      </w:r>
    </w:p>
    <w:p>
      <w:pPr>
        <w:pStyle w:val="ListBullet"/>
        <w:spacing w:after="80" w:line="276" w:lineRule="auto"/>
      </w:pPr>
      <w:r>
        <w:rPr>
          <w:rFonts w:ascii="Calibri" w:hAnsi="Calibri"/>
          <w:color w:val="222222"/>
          <w:sz w:val="22"/>
        </w:rPr>
        <w:t>Lương đợt 1: khoản trả trước một phần lương tháng.</w:t>
      </w:r>
    </w:p>
    <w:p>
      <w:pPr>
        <w:spacing w:after="120" w:line="276" w:lineRule="auto"/>
      </w:pPr>
      <w:r>
        <w:rPr>
          <w:rFonts w:ascii="Calibri" w:hAnsi="Calibri"/>
          <w:i w:val="0"/>
          <w:color w:val="222222"/>
          <w:sz w:val="22"/>
        </w:rPr>
        <w:t>Các trạng thái của phiếu tạm ứng hiện có như sau: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shd w:fill="E8EEF5"/>
          </w:tcPr>
          <w:p>
            <w:pPr>
              <w:spacing w:after="40" w:before="0"/>
              <w:jc w:val="left"/>
            </w:pPr>
            <w:r/>
            <w:r>
              <w:rPr>
                <w:rFonts w:ascii="Calibri" w:hAnsi="Calibri"/>
                <w:b/>
                <w:color w:val="222222"/>
                <w:sz w:val="21"/>
              </w:rPr>
              <w:t>Tên hiển thị</w:t>
            </w:r>
          </w:p>
        </w:tc>
        <w:tc>
          <w:tcPr>
            <w:tcW w:type="dxa" w:w="1814"/>
            <w:vAlign w:val="center"/>
            <w:shd w:fill="E8EEF5"/>
          </w:tcPr>
          <w:p>
            <w:pPr>
              <w:spacing w:after="40" w:before="0"/>
              <w:jc w:val="left"/>
            </w:pPr>
            <w:r/>
            <w:r>
              <w:rPr>
                <w:rFonts w:ascii="Calibri" w:hAnsi="Calibri"/>
                <w:b/>
                <w:color w:val="222222"/>
                <w:sz w:val="21"/>
              </w:rPr>
              <w:t>Mã trạng thái</w:t>
            </w:r>
          </w:p>
        </w:tc>
        <w:tc>
          <w:tcPr>
            <w:tcW w:type="dxa" w:w="5556"/>
            <w:vAlign w:val="center"/>
            <w:shd w:fill="E8EEF5"/>
          </w:tcPr>
          <w:p>
            <w:pPr>
              <w:spacing w:after="40" w:before="0"/>
              <w:jc w:val="left"/>
            </w:pPr>
            <w:r/>
            <w:r>
              <w:rPr>
                <w:rFonts w:ascii="Calibri" w:hAnsi="Calibri"/>
                <w:b/>
                <w:color w:val="222222"/>
                <w:sz w:val="21"/>
              </w:rPr>
              <w:t>Ý nghĩa</w:t>
            </w:r>
          </w:p>
        </w:tc>
      </w:tr>
      <w:tr>
        <w:tc>
          <w:tcPr>
            <w:tcW w:type="dxa" w:w="1984"/>
            <w:vAlign w:val="center"/>
          </w:tcPr>
          <w:p>
            <w:pPr>
              <w:spacing w:after="40" w:before="0"/>
              <w:jc w:val="left"/>
            </w:pPr>
            <w:r/>
            <w:r>
              <w:rPr>
                <w:rFonts w:ascii="Calibri" w:hAnsi="Calibri"/>
                <w:b w:val="0"/>
                <w:color w:val="222222"/>
                <w:sz w:val="21"/>
              </w:rPr>
              <w:t>Chờ duyệt</w:t>
            </w:r>
          </w:p>
        </w:tc>
        <w:tc>
          <w:tcPr>
            <w:tcW w:type="dxa" w:w="1814"/>
            <w:vAlign w:val="center"/>
          </w:tcPr>
          <w:p>
            <w:pPr>
              <w:spacing w:after="40" w:before="0"/>
              <w:jc w:val="left"/>
            </w:pPr>
            <w:r/>
            <w:r>
              <w:rPr>
                <w:rFonts w:ascii="Calibri" w:hAnsi="Calibri"/>
                <w:b w:val="0"/>
                <w:color w:val="222222"/>
                <w:sz w:val="21"/>
              </w:rPr>
              <w:t>pending</w:t>
            </w:r>
          </w:p>
        </w:tc>
        <w:tc>
          <w:tcPr>
            <w:tcW w:type="dxa" w:w="5556"/>
            <w:vAlign w:val="center"/>
          </w:tcPr>
          <w:p>
            <w:pPr>
              <w:spacing w:after="40" w:before="0"/>
              <w:jc w:val="left"/>
            </w:pPr>
            <w:r/>
            <w:r>
              <w:rPr>
                <w:rFonts w:ascii="Calibri" w:hAnsi="Calibri"/>
                <w:b w:val="0"/>
                <w:color w:val="222222"/>
                <w:sz w:val="21"/>
              </w:rPr>
              <w:t>Phiếu mới tạo, đang chờ người có quyền duyệt.</w:t>
            </w:r>
          </w:p>
        </w:tc>
      </w:tr>
      <w:tr>
        <w:tc>
          <w:tcPr>
            <w:tcW w:type="dxa" w:w="1984"/>
            <w:vAlign w:val="center"/>
          </w:tcPr>
          <w:p>
            <w:pPr>
              <w:spacing w:after="40" w:before="0"/>
              <w:jc w:val="left"/>
            </w:pPr>
            <w:r/>
            <w:r>
              <w:rPr>
                <w:rFonts w:ascii="Calibri" w:hAnsi="Calibri"/>
                <w:b w:val="0"/>
                <w:color w:val="222222"/>
                <w:sz w:val="21"/>
              </w:rPr>
              <w:t>Đã duyệt</w:t>
            </w:r>
          </w:p>
        </w:tc>
        <w:tc>
          <w:tcPr>
            <w:tcW w:type="dxa" w:w="1814"/>
            <w:vAlign w:val="center"/>
          </w:tcPr>
          <w:p>
            <w:pPr>
              <w:spacing w:after="40" w:before="0"/>
              <w:jc w:val="left"/>
            </w:pPr>
            <w:r/>
            <w:r>
              <w:rPr>
                <w:rFonts w:ascii="Calibri" w:hAnsi="Calibri"/>
                <w:b w:val="0"/>
                <w:color w:val="222222"/>
                <w:sz w:val="21"/>
              </w:rPr>
              <w:t>approved</w:t>
            </w:r>
          </w:p>
        </w:tc>
        <w:tc>
          <w:tcPr>
            <w:tcW w:type="dxa" w:w="5556"/>
            <w:vAlign w:val="center"/>
          </w:tcPr>
          <w:p>
            <w:pPr>
              <w:spacing w:after="40" w:before="0"/>
              <w:jc w:val="left"/>
            </w:pPr>
            <w:r/>
            <w:r>
              <w:rPr>
                <w:rFonts w:ascii="Calibri" w:hAnsi="Calibri"/>
                <w:b w:val="0"/>
                <w:color w:val="222222"/>
                <w:sz w:val="21"/>
              </w:rPr>
              <w:t>Phiếu hợp lệ, số tiền sẽ được tính để trừ vào lương.</w:t>
            </w:r>
          </w:p>
        </w:tc>
      </w:tr>
      <w:tr>
        <w:tc>
          <w:tcPr>
            <w:tcW w:type="dxa" w:w="1984"/>
            <w:vAlign w:val="center"/>
          </w:tcPr>
          <w:p>
            <w:pPr>
              <w:spacing w:after="40" w:before="0"/>
              <w:jc w:val="left"/>
            </w:pPr>
            <w:r/>
            <w:r>
              <w:rPr>
                <w:rFonts w:ascii="Calibri" w:hAnsi="Calibri"/>
                <w:b w:val="0"/>
                <w:color w:val="222222"/>
                <w:sz w:val="21"/>
              </w:rPr>
              <w:t>Từ chối</w:t>
            </w:r>
          </w:p>
        </w:tc>
        <w:tc>
          <w:tcPr>
            <w:tcW w:type="dxa" w:w="1814"/>
            <w:vAlign w:val="center"/>
          </w:tcPr>
          <w:p>
            <w:pPr>
              <w:spacing w:after="40" w:before="0"/>
              <w:jc w:val="left"/>
            </w:pPr>
            <w:r/>
            <w:r>
              <w:rPr>
                <w:rFonts w:ascii="Calibri" w:hAnsi="Calibri"/>
                <w:b w:val="0"/>
                <w:color w:val="222222"/>
                <w:sz w:val="21"/>
              </w:rPr>
              <w:t>rejected</w:t>
            </w:r>
          </w:p>
        </w:tc>
        <w:tc>
          <w:tcPr>
            <w:tcW w:type="dxa" w:w="5556"/>
            <w:vAlign w:val="center"/>
          </w:tcPr>
          <w:p>
            <w:pPr>
              <w:spacing w:after="40" w:before="0"/>
              <w:jc w:val="left"/>
            </w:pPr>
            <w:r/>
            <w:r>
              <w:rPr>
                <w:rFonts w:ascii="Calibri" w:hAnsi="Calibri"/>
                <w:b w:val="0"/>
                <w:color w:val="222222"/>
                <w:sz w:val="21"/>
              </w:rPr>
              <w:t>Phiếu không được duyệt, không đi vào bảng lương.</w:t>
            </w:r>
          </w:p>
        </w:tc>
      </w:tr>
      <w:tr>
        <w:tc>
          <w:tcPr>
            <w:tcW w:type="dxa" w:w="1984"/>
            <w:vAlign w:val="center"/>
          </w:tcPr>
          <w:p>
            <w:pPr>
              <w:spacing w:after="40" w:before="0"/>
              <w:jc w:val="left"/>
            </w:pPr>
            <w:r/>
            <w:r>
              <w:rPr>
                <w:rFonts w:ascii="Calibri" w:hAnsi="Calibri"/>
                <w:b w:val="0"/>
                <w:color w:val="222222"/>
                <w:sz w:val="21"/>
              </w:rPr>
              <w:t>Đã hủy</w:t>
            </w:r>
          </w:p>
        </w:tc>
        <w:tc>
          <w:tcPr>
            <w:tcW w:type="dxa" w:w="1814"/>
            <w:vAlign w:val="center"/>
          </w:tcPr>
          <w:p>
            <w:pPr>
              <w:spacing w:after="40" w:before="0"/>
              <w:jc w:val="left"/>
            </w:pPr>
            <w:r/>
            <w:r>
              <w:rPr>
                <w:rFonts w:ascii="Calibri" w:hAnsi="Calibri"/>
                <w:b w:val="0"/>
                <w:color w:val="222222"/>
                <w:sz w:val="21"/>
              </w:rPr>
              <w:t>cancelled</w:t>
            </w:r>
          </w:p>
        </w:tc>
        <w:tc>
          <w:tcPr>
            <w:tcW w:type="dxa" w:w="5556"/>
            <w:vAlign w:val="center"/>
          </w:tcPr>
          <w:p>
            <w:pPr>
              <w:spacing w:after="40" w:before="0"/>
              <w:jc w:val="left"/>
            </w:pPr>
            <w:r/>
            <w:r>
              <w:rPr>
                <w:rFonts w:ascii="Calibri" w:hAnsi="Calibri"/>
                <w:b w:val="0"/>
                <w:color w:val="222222"/>
                <w:sz w:val="21"/>
              </w:rPr>
              <w:t>Phiếu bị hủy, ngừng hiệu lực.</w:t>
            </w:r>
          </w:p>
        </w:tc>
      </w:tr>
    </w:tbl>
    <w:p>
      <w:pPr>
        <w:spacing w:after="120" w:line="276" w:lineRule="auto"/>
      </w:pPr>
      <w:r>
        <w:rPr>
          <w:rFonts w:ascii="Calibri" w:hAnsi="Calibri"/>
          <w:i w:val="0"/>
          <w:color w:val="222222"/>
          <w:sz w:val="22"/>
        </w:rPr>
        <w:t>Khi phiếu đã duyệt, hệ thống dùng số đó để trừ vào bảng lương. Lương đợt 1 không phải khoản thu nhập cộng thêm, mà là khoản trả trước sẽ khấu trừ lại.</w:t>
      </w:r>
    </w:p>
    <w:p>
      <w:pPr>
        <w:pStyle w:val="Heading2"/>
        <w:spacing w:before="200" w:after="80"/>
      </w:pPr>
      <w:r>
        <w:rPr>
          <w:rFonts w:ascii="Calibri" w:hAnsi="Calibri"/>
          <w:b/>
          <w:color w:val="2E74B5"/>
          <w:sz w:val="26"/>
        </w:rPr>
        <w:t>3.8. Phiếu lương của tôi</w:t>
      </w:r>
    </w:p>
    <w:p>
      <w:pPr>
        <w:spacing w:after="120" w:line="276" w:lineRule="auto"/>
      </w:pPr>
      <w:r>
        <w:rPr>
          <w:rFonts w:ascii="Calibri" w:hAnsi="Calibri"/>
          <w:i w:val="0"/>
          <w:color w:val="222222"/>
          <w:sz w:val="22"/>
        </w:rPr>
        <w:t>Đây là khu vực self-service cho nhân viên, dùng để xem phiếu lương cá nhân mà không cần quyền quản trị.</w:t>
      </w:r>
    </w:p>
    <w:p>
      <w:pPr>
        <w:pStyle w:val="ListBullet"/>
        <w:spacing w:after="80" w:line="276" w:lineRule="auto"/>
      </w:pPr>
      <w:r>
        <w:rPr>
          <w:rFonts w:ascii="Calibri" w:hAnsi="Calibri"/>
          <w:color w:val="222222"/>
          <w:sz w:val="22"/>
        </w:rPr>
        <w:t>Xem lương theo công.</w:t>
      </w:r>
    </w:p>
    <w:p>
      <w:pPr>
        <w:pStyle w:val="ListBullet"/>
        <w:spacing w:after="80" w:line="276" w:lineRule="auto"/>
      </w:pPr>
      <w:r>
        <w:rPr>
          <w:rFonts w:ascii="Calibri" w:hAnsi="Calibri"/>
          <w:color w:val="222222"/>
          <w:sz w:val="22"/>
        </w:rPr>
        <w:t>Xem các khoản cộng.</w:t>
      </w:r>
    </w:p>
    <w:p>
      <w:pPr>
        <w:pStyle w:val="ListBullet"/>
        <w:spacing w:after="80" w:line="276" w:lineRule="auto"/>
      </w:pPr>
      <w:r>
        <w:rPr>
          <w:rFonts w:ascii="Calibri" w:hAnsi="Calibri"/>
          <w:color w:val="222222"/>
          <w:sz w:val="22"/>
        </w:rPr>
        <w:t>Xem các khoản khấu trừ.</w:t>
      </w:r>
    </w:p>
    <w:p>
      <w:pPr>
        <w:pStyle w:val="ListBullet"/>
        <w:spacing w:after="80" w:line="276" w:lineRule="auto"/>
      </w:pPr>
      <w:r>
        <w:rPr>
          <w:rFonts w:ascii="Calibri" w:hAnsi="Calibri"/>
          <w:color w:val="222222"/>
          <w:sz w:val="22"/>
        </w:rPr>
        <w:t>Xem số tạm ứng đã nhận.</w:t>
      </w:r>
    </w:p>
    <w:p>
      <w:pPr>
        <w:pStyle w:val="ListBullet"/>
        <w:spacing w:after="80" w:line="276" w:lineRule="auto"/>
      </w:pPr>
      <w:r>
        <w:rPr>
          <w:rFonts w:ascii="Calibri" w:hAnsi="Calibri"/>
          <w:color w:val="222222"/>
          <w:sz w:val="22"/>
        </w:rPr>
        <w:t>Xem số thực lĩnh.</w:t>
      </w:r>
    </w:p>
    <w:p>
      <w:pPr>
        <w:pStyle w:val="Heading2"/>
        <w:spacing w:before="200" w:after="80"/>
      </w:pPr>
      <w:r>
        <w:rPr>
          <w:rFonts w:ascii="Calibri" w:hAnsi="Calibri"/>
          <w:b/>
          <w:color w:val="2E74B5"/>
          <w:sz w:val="26"/>
        </w:rPr>
        <w:t>3.9. Tạm ứng của tôi</w:t>
      </w:r>
    </w:p>
    <w:p>
      <w:pPr>
        <w:spacing w:after="120" w:line="276" w:lineRule="auto"/>
      </w:pPr>
      <w:r>
        <w:rPr>
          <w:rFonts w:ascii="Calibri" w:hAnsi="Calibri"/>
          <w:i w:val="0"/>
          <w:color w:val="222222"/>
          <w:sz w:val="22"/>
        </w:rPr>
        <w:t>Khu vực này cho phép nhân viên tự tạo và theo dõi đề nghị tạm ứng của chính mình.</w:t>
      </w:r>
    </w:p>
    <w:p>
      <w:pPr>
        <w:pStyle w:val="ListBullet"/>
        <w:spacing w:after="80" w:line="276" w:lineRule="auto"/>
      </w:pPr>
      <w:r>
        <w:rPr>
          <w:rFonts w:ascii="Calibri" w:hAnsi="Calibri"/>
          <w:color w:val="222222"/>
          <w:sz w:val="22"/>
        </w:rPr>
        <w:t>Tạo đề nghị tạm ứng.</w:t>
      </w:r>
    </w:p>
    <w:p>
      <w:pPr>
        <w:pStyle w:val="ListBullet"/>
        <w:spacing w:after="80" w:line="276" w:lineRule="auto"/>
      </w:pPr>
      <w:r>
        <w:rPr>
          <w:rFonts w:ascii="Calibri" w:hAnsi="Calibri"/>
          <w:color w:val="222222"/>
          <w:sz w:val="22"/>
        </w:rPr>
        <w:t>Tạo đề nghị lương đợt 1 nếu doanh nghiệp áp dụng.</w:t>
      </w:r>
    </w:p>
    <w:p>
      <w:pPr>
        <w:pStyle w:val="ListBullet"/>
        <w:spacing w:after="80" w:line="276" w:lineRule="auto"/>
      </w:pPr>
      <w:r>
        <w:rPr>
          <w:rFonts w:ascii="Calibri" w:hAnsi="Calibri"/>
          <w:color w:val="222222"/>
          <w:sz w:val="22"/>
        </w:rPr>
        <w:t>Theo dõi phiếu đang chờ duyệt, đã duyệt, bị từ chối hoặc đã hủy.</w:t>
      </w:r>
    </w:p>
    <w:p>
      <w:pPr>
        <w:pStyle w:val="Heading2"/>
        <w:spacing w:before="200" w:after="80"/>
      </w:pPr>
      <w:r>
        <w:rPr>
          <w:rFonts w:ascii="Calibri" w:hAnsi="Calibri"/>
          <w:b/>
          <w:color w:val="2E74B5"/>
          <w:sz w:val="26"/>
        </w:rPr>
        <w:t>3.10. Logic dữ liệu người dùng cần hiểu</w:t>
      </w:r>
    </w:p>
    <w:p>
      <w:pPr>
        <w:pStyle w:val="ListNumber"/>
        <w:spacing w:after="80" w:line="276" w:lineRule="auto"/>
      </w:pPr>
      <w:r>
        <w:rPr>
          <w:rFonts w:ascii="Calibri" w:hAnsi="Calibri"/>
          <w:color w:val="222222"/>
          <w:sz w:val="22"/>
        </w:rPr>
        <w:t>Bảng lương tháng lấy dữ liệu từ hồ sơ lương, chấm công và cấu hình lương.</w:t>
      </w:r>
    </w:p>
    <w:p>
      <w:pPr>
        <w:pStyle w:val="ListNumber"/>
        <w:spacing w:after="80" w:line="276" w:lineRule="auto"/>
      </w:pPr>
      <w:r>
        <w:rPr>
          <w:rFonts w:ascii="Calibri" w:hAnsi="Calibri"/>
          <w:color w:val="222222"/>
          <w:sz w:val="22"/>
        </w:rPr>
        <w:t>Tạm ứng đã duyệt sẽ tự đi vào phần khấu trừ.</w:t>
      </w:r>
    </w:p>
    <w:p>
      <w:pPr>
        <w:pStyle w:val="ListNumber"/>
        <w:spacing w:after="80" w:line="276" w:lineRule="auto"/>
      </w:pPr>
      <w:r>
        <w:rPr>
          <w:rFonts w:ascii="Calibri" w:hAnsi="Calibri"/>
          <w:color w:val="222222"/>
          <w:sz w:val="22"/>
        </w:rPr>
        <w:t>Kỳ nháp có thể tính lại và sửa tay.</w:t>
      </w:r>
    </w:p>
    <w:p>
      <w:pPr>
        <w:pStyle w:val="ListNumber"/>
        <w:spacing w:after="80" w:line="276" w:lineRule="auto"/>
      </w:pPr>
      <w:r>
        <w:rPr>
          <w:rFonts w:ascii="Calibri" w:hAnsi="Calibri"/>
          <w:color w:val="222222"/>
          <w:sz w:val="22"/>
        </w:rPr>
        <w:t>Kỳ đã chốt hoặc đã chi phải giữ nguyên để bảo toàn lịch sử.</w:t>
      </w:r>
    </w:p>
    <w:p>
      <w:pPr>
        <w:pStyle w:val="ListNumber"/>
        <w:spacing w:after="80" w:line="276" w:lineRule="auto"/>
      </w:pPr>
      <w:r>
        <w:rPr>
          <w:rFonts w:ascii="Calibri" w:hAnsi="Calibri"/>
          <w:color w:val="222222"/>
          <w:sz w:val="22"/>
        </w:rPr>
        <w:t>Phân hệ có cả số liệu tự tính và số liệu sửa tay, nên phải xem đúng trạng thái trước khi thao tác.</w:t>
      </w:r>
    </w:p>
    <w:p>
      <w:pPr>
        <w:pStyle w:val="Heading1"/>
        <w:spacing w:before="320" w:after="120"/>
      </w:pPr>
      <w:r>
        <w:rPr>
          <w:rFonts w:ascii="Calibri" w:hAnsi="Calibri"/>
          <w:b/>
          <w:color w:val="2E74B5"/>
          <w:sz w:val="32"/>
        </w:rPr>
        <w:t>4. Phân hệ Thu mua</w:t>
      </w:r>
    </w:p>
    <w:p>
      <w:pPr>
        <w:pStyle w:val="Heading2"/>
        <w:spacing w:before="200" w:after="80"/>
      </w:pPr>
      <w:r>
        <w:rPr>
          <w:rFonts w:ascii="Calibri" w:hAnsi="Calibri"/>
          <w:b/>
          <w:color w:val="2E74B5"/>
          <w:sz w:val="26"/>
        </w:rPr>
        <w:t>4.1. Mục đích</w:t>
      </w:r>
    </w:p>
    <w:p>
      <w:pPr>
        <w:spacing w:after="120" w:line="276" w:lineRule="auto"/>
      </w:pPr>
      <w:r>
        <w:rPr>
          <w:rFonts w:ascii="Calibri" w:hAnsi="Calibri"/>
          <w:i w:val="0"/>
          <w:color w:val="222222"/>
          <w:sz w:val="22"/>
        </w:rPr>
        <w:t>Phân hệ Thu mua dùng để tiếp nhận nhu cầu mua hàng từ các phòng ban, lập phiếu mua hàng gửi duyệt, theo dõi quá trình đã mua và xác nhận hàng đã nhận.</w:t>
      </w:r>
    </w:p>
    <w:p>
      <w:pPr>
        <w:spacing w:after="120" w:line="276" w:lineRule="auto"/>
      </w:pPr>
      <w:r>
        <w:rPr>
          <w:rFonts w:ascii="Calibri" w:hAnsi="Calibri"/>
          <w:i w:val="0"/>
          <w:color w:val="222222"/>
          <w:sz w:val="22"/>
        </w:rPr>
        <w:t>Luồng hiện tại được tách rõ: phòng ban tạo YCMH, bộ phận Thu mua lập PMH, người có quyền duyệt quyết định duyệt hay từ chối PMH, sau đó mới đi tiếp sang các bước tài chính ở phân hệ kế toán.</w:t>
      </w:r>
    </w:p>
    <w:p>
      <w:pPr>
        <w:pStyle w:val="Heading2"/>
        <w:spacing w:before="200" w:after="80"/>
      </w:pPr>
      <w:r>
        <w:rPr>
          <w:rFonts w:ascii="Calibri" w:hAnsi="Calibri"/>
          <w:b/>
          <w:color w:val="2E74B5"/>
          <w:sz w:val="26"/>
        </w:rPr>
        <w:t>4.2. Các khu vực chính</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Khu vực</w:t>
            </w:r>
          </w:p>
        </w:tc>
        <w:tc>
          <w:tcPr>
            <w:tcW w:type="dxa" w:w="6973"/>
            <w:vAlign w:val="center"/>
            <w:shd w:fill="E8EEF5"/>
          </w:tcPr>
          <w:p>
            <w:pPr>
              <w:spacing w:after="40" w:before="0"/>
              <w:jc w:val="left"/>
            </w:pPr>
            <w:r/>
            <w:r>
              <w:rPr>
                <w:rFonts w:ascii="Calibri" w:hAnsi="Calibri"/>
                <w:b/>
                <w:color w:val="222222"/>
                <w:sz w:val="21"/>
              </w:rPr>
              <w:t>Công dụng</w:t>
            </w:r>
          </w:p>
        </w:tc>
      </w:tr>
      <w:tr>
        <w:tc>
          <w:tcPr>
            <w:tcW w:type="dxa" w:w="2381"/>
            <w:vAlign w:val="center"/>
          </w:tcPr>
          <w:p>
            <w:pPr>
              <w:spacing w:after="40" w:before="0"/>
              <w:jc w:val="left"/>
            </w:pPr>
            <w:r/>
            <w:r>
              <w:rPr>
                <w:rFonts w:ascii="Calibri" w:hAnsi="Calibri"/>
                <w:b w:val="0"/>
                <w:color w:val="222222"/>
                <w:sz w:val="21"/>
              </w:rPr>
              <w:t>Yêu cầu mua hàng</w:t>
            </w:r>
          </w:p>
        </w:tc>
        <w:tc>
          <w:tcPr>
            <w:tcW w:type="dxa" w:w="6973"/>
            <w:vAlign w:val="center"/>
          </w:tcPr>
          <w:p>
            <w:pPr>
              <w:spacing w:after="40" w:before="0"/>
              <w:jc w:val="left"/>
            </w:pPr>
            <w:r/>
            <w:r>
              <w:rPr>
                <w:rFonts w:ascii="Calibri" w:hAnsi="Calibri"/>
                <w:b w:val="0"/>
                <w:color w:val="222222"/>
                <w:sz w:val="21"/>
              </w:rPr>
              <w:t>Nơi các phòng ban tạo YCMH, theo dõi yêu cầu của chính mình và chỉnh sửa khi chưa được Thu mua lập PMH.</w:t>
            </w:r>
          </w:p>
        </w:tc>
      </w:tr>
      <w:tr>
        <w:tc>
          <w:tcPr>
            <w:tcW w:type="dxa" w:w="2381"/>
            <w:vAlign w:val="center"/>
          </w:tcPr>
          <w:p>
            <w:pPr>
              <w:spacing w:after="40" w:before="0"/>
              <w:jc w:val="left"/>
            </w:pPr>
            <w:r/>
            <w:r>
              <w:rPr>
                <w:rFonts w:ascii="Calibri" w:hAnsi="Calibri"/>
                <w:b w:val="0"/>
                <w:color w:val="222222"/>
                <w:sz w:val="21"/>
              </w:rPr>
              <w:t>Mua hàng</w:t>
            </w:r>
          </w:p>
        </w:tc>
        <w:tc>
          <w:tcPr>
            <w:tcW w:type="dxa" w:w="6973"/>
            <w:vAlign w:val="center"/>
          </w:tcPr>
          <w:p>
            <w:pPr>
              <w:spacing w:after="40" w:before="0"/>
              <w:jc w:val="left"/>
            </w:pPr>
            <w:r/>
            <w:r>
              <w:rPr>
                <w:rFonts w:ascii="Calibri" w:hAnsi="Calibri"/>
                <w:b w:val="0"/>
                <w:color w:val="222222"/>
                <w:sz w:val="21"/>
              </w:rPr>
              <w:t>Nơi bộ phận Thu mua nhận YCMH, tạo PMH từ từng yêu cầu, theo dõi trạng thái đã mua và đã nhận.</w:t>
            </w:r>
          </w:p>
        </w:tc>
      </w:tr>
      <w:tr>
        <w:tc>
          <w:tcPr>
            <w:tcW w:type="dxa" w:w="2381"/>
            <w:vAlign w:val="center"/>
          </w:tcPr>
          <w:p>
            <w:pPr>
              <w:spacing w:after="40" w:before="0"/>
              <w:jc w:val="left"/>
            </w:pPr>
            <w:r/>
            <w:r>
              <w:rPr>
                <w:rFonts w:ascii="Calibri" w:hAnsi="Calibri"/>
                <w:b w:val="0"/>
                <w:color w:val="222222"/>
                <w:sz w:val="21"/>
              </w:rPr>
              <w:t>Nhà cung cấp</w:t>
            </w:r>
          </w:p>
        </w:tc>
        <w:tc>
          <w:tcPr>
            <w:tcW w:type="dxa" w:w="6973"/>
            <w:vAlign w:val="center"/>
          </w:tcPr>
          <w:p>
            <w:pPr>
              <w:spacing w:after="40" w:before="0"/>
              <w:jc w:val="left"/>
            </w:pPr>
            <w:r/>
            <w:r>
              <w:rPr>
                <w:rFonts w:ascii="Calibri" w:hAnsi="Calibri"/>
                <w:b w:val="0"/>
                <w:color w:val="222222"/>
                <w:sz w:val="21"/>
              </w:rPr>
              <w:t>Quản lý danh sách nhà cung cấp, thông tin liên hệ và mặt hàng - đơn giá mà từng nhà cung cấp đang bán.</w:t>
            </w:r>
          </w:p>
        </w:tc>
      </w:tr>
    </w:tbl>
    <w:p>
      <w:pPr>
        <w:pStyle w:val="Heading2"/>
        <w:spacing w:before="200" w:after="80"/>
      </w:pPr>
      <w:r>
        <w:rPr>
          <w:rFonts w:ascii="Calibri" w:hAnsi="Calibri"/>
          <w:b/>
          <w:color w:val="2E74B5"/>
          <w:sz w:val="26"/>
        </w:rPr>
        <w:t>4.3. Luồng nghiệp vụ chính</w:t>
      </w:r>
    </w:p>
    <w:p>
      <w:pPr>
        <w:pStyle w:val="ListNumber"/>
        <w:spacing w:after="80" w:line="276" w:lineRule="auto"/>
      </w:pPr>
      <w:r>
        <w:rPr>
          <w:rFonts w:ascii="Calibri" w:hAnsi="Calibri"/>
          <w:color w:val="222222"/>
          <w:sz w:val="22"/>
        </w:rPr>
        <w:t>Phòng ban tạo Yêu cầu mua hàng (YCMH) với ngày cần hàng, mục đích và danh sách vật tư.</w:t>
      </w:r>
    </w:p>
    <w:p>
      <w:pPr>
        <w:pStyle w:val="ListNumber"/>
        <w:spacing w:after="80" w:line="276" w:lineRule="auto"/>
      </w:pPr>
      <w:r>
        <w:rPr>
          <w:rFonts w:ascii="Calibri" w:hAnsi="Calibri"/>
          <w:color w:val="222222"/>
          <w:sz w:val="22"/>
        </w:rPr>
        <w:t>Thu mua vào màn Mua hàng để xem danh sách YCMH chờ xử lý.</w:t>
      </w:r>
    </w:p>
    <w:p>
      <w:pPr>
        <w:pStyle w:val="ListNumber"/>
        <w:spacing w:after="80" w:line="276" w:lineRule="auto"/>
      </w:pPr>
      <w:r>
        <w:rPr>
          <w:rFonts w:ascii="Calibri" w:hAnsi="Calibri"/>
          <w:color w:val="222222"/>
          <w:sz w:val="22"/>
        </w:rPr>
        <w:t>Mỗi Phiếu mua hàng (PMH) hiện tạo từ một YCMH nguồn để dễ truy vết.</w:t>
      </w:r>
    </w:p>
    <w:p>
      <w:pPr>
        <w:pStyle w:val="ListNumber"/>
        <w:spacing w:after="80" w:line="276" w:lineRule="auto"/>
      </w:pPr>
      <w:r>
        <w:rPr>
          <w:rFonts w:ascii="Calibri" w:hAnsi="Calibri"/>
          <w:color w:val="222222"/>
          <w:sz w:val="22"/>
        </w:rPr>
        <w:t>Thu mua chọn nhà cung cấp phù hợp dựa trên dữ liệu mặt hàng và đơn giá đã quản lý.</w:t>
      </w:r>
    </w:p>
    <w:p>
      <w:pPr>
        <w:pStyle w:val="ListNumber"/>
        <w:spacing w:after="80" w:line="276" w:lineRule="auto"/>
      </w:pPr>
      <w:r>
        <w:rPr>
          <w:rFonts w:ascii="Calibri" w:hAnsi="Calibri"/>
          <w:color w:val="222222"/>
          <w:sz w:val="22"/>
        </w:rPr>
        <w:t>Thu mua gửi PMH lên người có quyền duyệt.</w:t>
      </w:r>
    </w:p>
    <w:p>
      <w:pPr>
        <w:pStyle w:val="ListNumber"/>
        <w:spacing w:after="80" w:line="276" w:lineRule="auto"/>
      </w:pPr>
      <w:r>
        <w:rPr>
          <w:rFonts w:ascii="Calibri" w:hAnsi="Calibri"/>
          <w:color w:val="222222"/>
          <w:sz w:val="22"/>
        </w:rPr>
        <w:t>Sau khi PMH được duyệt, Thu mua theo dõi phiếu đã mua và sau đó xác nhận đã nhận hàng.</w:t>
      </w:r>
    </w:p>
    <w:p>
      <w:pPr>
        <w:pStyle w:val="ListNumber"/>
        <w:spacing w:after="80" w:line="276" w:lineRule="auto"/>
      </w:pPr>
      <w:r>
        <w:rPr>
          <w:rFonts w:ascii="Calibri" w:hAnsi="Calibri"/>
          <w:color w:val="222222"/>
          <w:sz w:val="22"/>
        </w:rPr>
        <w:t>Nếu hàng nhận thiếu, hệ thống vẫn ghi số nhận thực tế để làm căn cứ công nợ và thanh toán về sau.</w:t>
      </w:r>
    </w:p>
    <w:p>
      <w:pPr>
        <w:pStyle w:val="Heading2"/>
        <w:spacing w:before="200" w:after="80"/>
      </w:pPr>
      <w:r>
        <w:rPr>
          <w:rFonts w:ascii="Calibri" w:hAnsi="Calibri"/>
          <w:b/>
          <w:color w:val="2E74B5"/>
          <w:sz w:val="26"/>
        </w:rPr>
        <w:t>4.4. Trạng thái phiếu mua hàng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shd w:fill="E8EEF5"/>
          </w:tcPr>
          <w:p>
            <w:pPr>
              <w:spacing w:after="40" w:before="0"/>
              <w:jc w:val="left"/>
            </w:pPr>
            <w:r/>
            <w:r>
              <w:rPr>
                <w:rFonts w:ascii="Calibri" w:hAnsi="Calibri"/>
                <w:b/>
                <w:color w:val="222222"/>
                <w:sz w:val="21"/>
              </w:rPr>
              <w:t>Tên hiển thị</w:t>
            </w:r>
          </w:p>
        </w:tc>
        <w:tc>
          <w:tcPr>
            <w:tcW w:type="dxa" w:w="1814"/>
            <w:vAlign w:val="center"/>
            <w:shd w:fill="E8EEF5"/>
          </w:tcPr>
          <w:p>
            <w:pPr>
              <w:spacing w:after="40" w:before="0"/>
              <w:jc w:val="left"/>
            </w:pPr>
            <w:r/>
            <w:r>
              <w:rPr>
                <w:rFonts w:ascii="Calibri" w:hAnsi="Calibri"/>
                <w:b/>
                <w:color w:val="222222"/>
                <w:sz w:val="21"/>
              </w:rPr>
              <w:t>Mã trạng thái</w:t>
            </w:r>
          </w:p>
        </w:tc>
        <w:tc>
          <w:tcPr>
            <w:tcW w:type="dxa" w:w="5556"/>
            <w:vAlign w:val="center"/>
            <w:shd w:fill="E8EEF5"/>
          </w:tcPr>
          <w:p>
            <w:pPr>
              <w:spacing w:after="40" w:before="0"/>
              <w:jc w:val="left"/>
            </w:pPr>
            <w:r/>
            <w:r>
              <w:rPr>
                <w:rFonts w:ascii="Calibri" w:hAnsi="Calibri"/>
                <w:b/>
                <w:color w:val="222222"/>
                <w:sz w:val="21"/>
              </w:rPr>
              <w:t>Ý nghĩa</w:t>
            </w:r>
          </w:p>
        </w:tc>
      </w:tr>
      <w:tr>
        <w:tc>
          <w:tcPr>
            <w:tcW w:type="dxa" w:w="1984"/>
            <w:vAlign w:val="center"/>
          </w:tcPr>
          <w:p>
            <w:pPr>
              <w:spacing w:after="40" w:before="0"/>
              <w:jc w:val="left"/>
            </w:pPr>
            <w:r/>
            <w:r>
              <w:rPr>
                <w:rFonts w:ascii="Calibri" w:hAnsi="Calibri"/>
                <w:b w:val="0"/>
                <w:color w:val="222222"/>
                <w:sz w:val="21"/>
              </w:rPr>
              <w:t>Nháp</w:t>
            </w:r>
          </w:p>
        </w:tc>
        <w:tc>
          <w:tcPr>
            <w:tcW w:type="dxa" w:w="1814"/>
            <w:vAlign w:val="center"/>
          </w:tcPr>
          <w:p>
            <w:pPr>
              <w:spacing w:after="40" w:before="0"/>
              <w:jc w:val="left"/>
            </w:pPr>
            <w:r/>
            <w:r>
              <w:rPr>
                <w:rFonts w:ascii="Calibri" w:hAnsi="Calibri"/>
                <w:b w:val="0"/>
                <w:color w:val="222222"/>
                <w:sz w:val="21"/>
              </w:rPr>
              <w:t>draft</w:t>
            </w:r>
          </w:p>
        </w:tc>
        <w:tc>
          <w:tcPr>
            <w:tcW w:type="dxa" w:w="5556"/>
            <w:vAlign w:val="center"/>
          </w:tcPr>
          <w:p>
            <w:pPr>
              <w:spacing w:after="40" w:before="0"/>
              <w:jc w:val="left"/>
            </w:pPr>
            <w:r/>
            <w:r>
              <w:rPr>
                <w:rFonts w:ascii="Calibri" w:hAnsi="Calibri"/>
                <w:b w:val="0"/>
                <w:color w:val="222222"/>
                <w:sz w:val="21"/>
              </w:rPr>
              <w:t>Phiếu mua hàng mới tạo, còn chỉnh sửa được.</w:t>
            </w:r>
          </w:p>
        </w:tc>
      </w:tr>
      <w:tr>
        <w:tc>
          <w:tcPr>
            <w:tcW w:type="dxa" w:w="1984"/>
            <w:vAlign w:val="center"/>
          </w:tcPr>
          <w:p>
            <w:pPr>
              <w:spacing w:after="40" w:before="0"/>
              <w:jc w:val="left"/>
            </w:pPr>
            <w:r/>
            <w:r>
              <w:rPr>
                <w:rFonts w:ascii="Calibri" w:hAnsi="Calibri"/>
                <w:b w:val="0"/>
                <w:color w:val="222222"/>
                <w:sz w:val="21"/>
              </w:rPr>
              <w:t>Chờ duyệt</w:t>
            </w:r>
          </w:p>
        </w:tc>
        <w:tc>
          <w:tcPr>
            <w:tcW w:type="dxa" w:w="1814"/>
            <w:vAlign w:val="center"/>
          </w:tcPr>
          <w:p>
            <w:pPr>
              <w:spacing w:after="40" w:before="0"/>
              <w:jc w:val="left"/>
            </w:pPr>
            <w:r/>
            <w:r>
              <w:rPr>
                <w:rFonts w:ascii="Calibri" w:hAnsi="Calibri"/>
                <w:b w:val="0"/>
                <w:color w:val="222222"/>
                <w:sz w:val="21"/>
              </w:rPr>
              <w:t>pending_approval</w:t>
            </w:r>
          </w:p>
        </w:tc>
        <w:tc>
          <w:tcPr>
            <w:tcW w:type="dxa" w:w="5556"/>
            <w:vAlign w:val="center"/>
          </w:tcPr>
          <w:p>
            <w:pPr>
              <w:spacing w:after="40" w:before="0"/>
              <w:jc w:val="left"/>
            </w:pPr>
            <w:r/>
            <w:r>
              <w:rPr>
                <w:rFonts w:ascii="Calibri" w:hAnsi="Calibri"/>
                <w:b w:val="0"/>
                <w:color w:val="222222"/>
                <w:sz w:val="21"/>
              </w:rPr>
              <w:t>Phiếu đã gửi lên người có quyền duyệt, chưa được quyết định.</w:t>
            </w:r>
          </w:p>
        </w:tc>
      </w:tr>
      <w:tr>
        <w:tc>
          <w:tcPr>
            <w:tcW w:type="dxa" w:w="1984"/>
            <w:vAlign w:val="center"/>
          </w:tcPr>
          <w:p>
            <w:pPr>
              <w:spacing w:after="40" w:before="0"/>
              <w:jc w:val="left"/>
            </w:pPr>
            <w:r/>
            <w:r>
              <w:rPr>
                <w:rFonts w:ascii="Calibri" w:hAnsi="Calibri"/>
                <w:b w:val="0"/>
                <w:color w:val="222222"/>
                <w:sz w:val="21"/>
              </w:rPr>
              <w:t>Đã duyệt</w:t>
            </w:r>
          </w:p>
        </w:tc>
        <w:tc>
          <w:tcPr>
            <w:tcW w:type="dxa" w:w="1814"/>
            <w:vAlign w:val="center"/>
          </w:tcPr>
          <w:p>
            <w:pPr>
              <w:spacing w:after="40" w:before="0"/>
              <w:jc w:val="left"/>
            </w:pPr>
            <w:r/>
            <w:r>
              <w:rPr>
                <w:rFonts w:ascii="Calibri" w:hAnsi="Calibri"/>
                <w:b w:val="0"/>
                <w:color w:val="222222"/>
                <w:sz w:val="21"/>
              </w:rPr>
              <w:t>approved</w:t>
            </w:r>
          </w:p>
        </w:tc>
        <w:tc>
          <w:tcPr>
            <w:tcW w:type="dxa" w:w="5556"/>
            <w:vAlign w:val="center"/>
          </w:tcPr>
          <w:p>
            <w:pPr>
              <w:spacing w:after="40" w:before="0"/>
              <w:jc w:val="left"/>
            </w:pPr>
            <w:r/>
            <w:r>
              <w:rPr>
                <w:rFonts w:ascii="Calibri" w:hAnsi="Calibri"/>
                <w:b w:val="0"/>
                <w:color w:val="222222"/>
                <w:sz w:val="21"/>
              </w:rPr>
              <w:t>Phiếu hợp lệ để đi tiếp sang bước mua và/hoặc kế toán.</w:t>
            </w:r>
          </w:p>
        </w:tc>
      </w:tr>
      <w:tr>
        <w:tc>
          <w:tcPr>
            <w:tcW w:type="dxa" w:w="1984"/>
            <w:vAlign w:val="center"/>
          </w:tcPr>
          <w:p>
            <w:pPr>
              <w:spacing w:after="40" w:before="0"/>
              <w:jc w:val="left"/>
            </w:pPr>
            <w:r/>
            <w:r>
              <w:rPr>
                <w:rFonts w:ascii="Calibri" w:hAnsi="Calibri"/>
                <w:b w:val="0"/>
                <w:color w:val="222222"/>
                <w:sz w:val="21"/>
              </w:rPr>
              <w:t>Từ chối</w:t>
            </w:r>
          </w:p>
        </w:tc>
        <w:tc>
          <w:tcPr>
            <w:tcW w:type="dxa" w:w="1814"/>
            <w:vAlign w:val="center"/>
          </w:tcPr>
          <w:p>
            <w:pPr>
              <w:spacing w:after="40" w:before="0"/>
              <w:jc w:val="left"/>
            </w:pPr>
            <w:r/>
            <w:r>
              <w:rPr>
                <w:rFonts w:ascii="Calibri" w:hAnsi="Calibri"/>
                <w:b w:val="0"/>
                <w:color w:val="222222"/>
                <w:sz w:val="21"/>
              </w:rPr>
              <w:t>rejected</w:t>
            </w:r>
          </w:p>
        </w:tc>
        <w:tc>
          <w:tcPr>
            <w:tcW w:type="dxa" w:w="5556"/>
            <w:vAlign w:val="center"/>
          </w:tcPr>
          <w:p>
            <w:pPr>
              <w:spacing w:after="40" w:before="0"/>
              <w:jc w:val="left"/>
            </w:pPr>
            <w:r/>
            <w:r>
              <w:rPr>
                <w:rFonts w:ascii="Calibri" w:hAnsi="Calibri"/>
                <w:b w:val="0"/>
                <w:color w:val="222222"/>
                <w:sz w:val="21"/>
              </w:rPr>
              <w:t>Phiếu không được duyệt, có thể cần sửa lại theo lý do phản hồi.</w:t>
            </w:r>
          </w:p>
        </w:tc>
      </w:tr>
      <w:tr>
        <w:tc>
          <w:tcPr>
            <w:tcW w:type="dxa" w:w="1984"/>
            <w:vAlign w:val="center"/>
          </w:tcPr>
          <w:p>
            <w:pPr>
              <w:spacing w:after="40" w:before="0"/>
              <w:jc w:val="left"/>
            </w:pPr>
            <w:r/>
            <w:r>
              <w:rPr>
                <w:rFonts w:ascii="Calibri" w:hAnsi="Calibri"/>
                <w:b w:val="0"/>
                <w:color w:val="222222"/>
                <w:sz w:val="21"/>
              </w:rPr>
              <w:t>Đã mua</w:t>
            </w:r>
          </w:p>
        </w:tc>
        <w:tc>
          <w:tcPr>
            <w:tcW w:type="dxa" w:w="1814"/>
            <w:vAlign w:val="center"/>
          </w:tcPr>
          <w:p>
            <w:pPr>
              <w:spacing w:after="40" w:before="0"/>
              <w:jc w:val="left"/>
            </w:pPr>
            <w:r/>
            <w:r>
              <w:rPr>
                <w:rFonts w:ascii="Calibri" w:hAnsi="Calibri"/>
                <w:b w:val="0"/>
                <w:color w:val="222222"/>
                <w:sz w:val="21"/>
              </w:rPr>
              <w:t>purchased</w:t>
            </w:r>
          </w:p>
        </w:tc>
        <w:tc>
          <w:tcPr>
            <w:tcW w:type="dxa" w:w="5556"/>
            <w:vAlign w:val="center"/>
          </w:tcPr>
          <w:p>
            <w:pPr>
              <w:spacing w:after="40" w:before="0"/>
              <w:jc w:val="left"/>
            </w:pPr>
            <w:r/>
            <w:r>
              <w:rPr>
                <w:rFonts w:ascii="Calibri" w:hAnsi="Calibri"/>
                <w:b w:val="0"/>
                <w:color w:val="222222"/>
                <w:sz w:val="21"/>
              </w:rPr>
              <w:t>Thu mua xác nhận đã đặt hoặc đã mua xong với nhà cung cấp.</w:t>
            </w:r>
          </w:p>
        </w:tc>
      </w:tr>
      <w:tr>
        <w:tc>
          <w:tcPr>
            <w:tcW w:type="dxa" w:w="1984"/>
            <w:vAlign w:val="center"/>
          </w:tcPr>
          <w:p>
            <w:pPr>
              <w:spacing w:after="40" w:before="0"/>
              <w:jc w:val="left"/>
            </w:pPr>
            <w:r/>
            <w:r>
              <w:rPr>
                <w:rFonts w:ascii="Calibri" w:hAnsi="Calibri"/>
                <w:b w:val="0"/>
                <w:color w:val="222222"/>
                <w:sz w:val="21"/>
              </w:rPr>
              <w:t>Đã nhận</w:t>
            </w:r>
          </w:p>
        </w:tc>
        <w:tc>
          <w:tcPr>
            <w:tcW w:type="dxa" w:w="1814"/>
            <w:vAlign w:val="center"/>
          </w:tcPr>
          <w:p>
            <w:pPr>
              <w:spacing w:after="40" w:before="0"/>
              <w:jc w:val="left"/>
            </w:pPr>
            <w:r/>
            <w:r>
              <w:rPr>
                <w:rFonts w:ascii="Calibri" w:hAnsi="Calibri"/>
                <w:b w:val="0"/>
                <w:color w:val="222222"/>
                <w:sz w:val="21"/>
              </w:rPr>
              <w:t>received</w:t>
            </w:r>
          </w:p>
        </w:tc>
        <w:tc>
          <w:tcPr>
            <w:tcW w:type="dxa" w:w="5556"/>
            <w:vAlign w:val="center"/>
          </w:tcPr>
          <w:p>
            <w:pPr>
              <w:spacing w:after="40" w:before="0"/>
              <w:jc w:val="left"/>
            </w:pPr>
            <w:r/>
            <w:r>
              <w:rPr>
                <w:rFonts w:ascii="Calibri" w:hAnsi="Calibri"/>
                <w:b w:val="0"/>
                <w:color w:val="222222"/>
                <w:sz w:val="21"/>
              </w:rPr>
              <w:t>Hàng đã nhận thực tế, có thể là đủ hoặc có số nhận thực tế khác số đặt.</w:t>
            </w:r>
          </w:p>
        </w:tc>
      </w:tr>
      <w:tr>
        <w:tc>
          <w:tcPr>
            <w:tcW w:type="dxa" w:w="1984"/>
            <w:vAlign w:val="center"/>
          </w:tcPr>
          <w:p>
            <w:pPr>
              <w:spacing w:after="40" w:before="0"/>
              <w:jc w:val="left"/>
            </w:pPr>
            <w:r/>
            <w:r>
              <w:rPr>
                <w:rFonts w:ascii="Calibri" w:hAnsi="Calibri"/>
                <w:b w:val="0"/>
                <w:color w:val="222222"/>
                <w:sz w:val="21"/>
              </w:rPr>
              <w:t>Đã hủy</w:t>
            </w:r>
          </w:p>
        </w:tc>
        <w:tc>
          <w:tcPr>
            <w:tcW w:type="dxa" w:w="1814"/>
            <w:vAlign w:val="center"/>
          </w:tcPr>
          <w:p>
            <w:pPr>
              <w:spacing w:after="40" w:before="0"/>
              <w:jc w:val="left"/>
            </w:pPr>
            <w:r/>
            <w:r>
              <w:rPr>
                <w:rFonts w:ascii="Calibri" w:hAnsi="Calibri"/>
                <w:b w:val="0"/>
                <w:color w:val="222222"/>
                <w:sz w:val="21"/>
              </w:rPr>
              <w:t>cancelled</w:t>
            </w:r>
          </w:p>
        </w:tc>
        <w:tc>
          <w:tcPr>
            <w:tcW w:type="dxa" w:w="5556"/>
            <w:vAlign w:val="center"/>
          </w:tcPr>
          <w:p>
            <w:pPr>
              <w:spacing w:after="40" w:before="0"/>
              <w:jc w:val="left"/>
            </w:pPr>
            <w:r/>
            <w:r>
              <w:rPr>
                <w:rFonts w:ascii="Calibri" w:hAnsi="Calibri"/>
                <w:b w:val="0"/>
                <w:color w:val="222222"/>
                <w:sz w:val="21"/>
              </w:rPr>
              <w:t>Phiếu dừng hẳn, không còn hiệu lực.</w:t>
            </w:r>
          </w:p>
        </w:tc>
      </w:tr>
    </w:tbl>
    <w:p>
      <w:pPr>
        <w:spacing w:after="120" w:line="276" w:lineRule="auto"/>
      </w:pPr>
      <w:r>
        <w:rPr>
          <w:rFonts w:ascii="Calibri" w:hAnsi="Calibri"/>
          <w:i w:val="0"/>
          <w:color w:val="222222"/>
          <w:sz w:val="22"/>
        </w:rPr>
        <w:t>Điểm quan trọng là YCMH và PMH là hai lớp chứng từ khác nhau: YCMH phản ánh nhu cầu từ phòng ban, PMH phản ánh quyết định mua thực tế của bộ phận Thu mua với nhà cung cấp.</w:t>
      </w:r>
    </w:p>
    <w:p>
      <w:pPr>
        <w:pStyle w:val="Heading2"/>
        <w:spacing w:before="200" w:after="80"/>
      </w:pPr>
      <w:r>
        <w:rPr>
          <w:rFonts w:ascii="Calibri" w:hAnsi="Calibri"/>
          <w:b/>
          <w:color w:val="2E74B5"/>
          <w:sz w:val="26"/>
        </w:rPr>
        <w:t>4.5. Nhà cung cấp và mặt hàng</w:t>
      </w:r>
    </w:p>
    <w:p>
      <w:pPr>
        <w:spacing w:after="120" w:line="276" w:lineRule="auto"/>
      </w:pPr>
      <w:r>
        <w:rPr>
          <w:rFonts w:ascii="Calibri" w:hAnsi="Calibri"/>
          <w:i w:val="0"/>
          <w:color w:val="222222"/>
          <w:sz w:val="22"/>
        </w:rPr>
        <w:t>Danh mục Nhà cung cấp không chỉ lưu thông tin liên hệ mà còn lưu các mặt hàng, đơn vị tính, đơn giá và VAT mà từng nhà cung cấp đang bán.</w:t>
      </w:r>
    </w:p>
    <w:p>
      <w:pPr>
        <w:pStyle w:val="ListBullet"/>
        <w:spacing w:after="80" w:line="276" w:lineRule="auto"/>
      </w:pPr>
      <w:r>
        <w:rPr>
          <w:rFonts w:ascii="Calibri" w:hAnsi="Calibri"/>
          <w:color w:val="222222"/>
          <w:sz w:val="22"/>
        </w:rPr>
        <w:t>Thu mua dùng dữ liệu này để so sánh nhanh giá giữa các nhà cung cấp cho cùng một vật tư.</w:t>
      </w:r>
    </w:p>
    <w:p>
      <w:pPr>
        <w:pStyle w:val="ListBullet"/>
        <w:spacing w:after="80" w:line="276" w:lineRule="auto"/>
      </w:pPr>
      <w:r>
        <w:rPr>
          <w:rFonts w:ascii="Calibri" w:hAnsi="Calibri"/>
          <w:color w:val="222222"/>
          <w:sz w:val="22"/>
        </w:rPr>
        <w:t>Khi tạo PMH, hệ thống có thể gợi ý nhà cung cấp phù hợp theo mặt hàng đã quản lý.</w:t>
      </w:r>
    </w:p>
    <w:p>
      <w:pPr>
        <w:pStyle w:val="ListBullet"/>
        <w:spacing w:after="80" w:line="276" w:lineRule="auto"/>
      </w:pPr>
      <w:r>
        <w:rPr>
          <w:rFonts w:ascii="Calibri" w:hAnsi="Calibri"/>
          <w:color w:val="222222"/>
          <w:sz w:val="22"/>
        </w:rPr>
        <w:t>Việc thương lượng thực tế với nhà cung cấp vẫn có thể diễn ra ngoài hệ thống; hệ thống chủ yếu ghi nhận kết quả cuối cùng.</w:t>
      </w:r>
    </w:p>
    <w:p>
      <w:pPr>
        <w:pStyle w:val="Heading2"/>
        <w:spacing w:before="200" w:after="80"/>
      </w:pPr>
      <w:r>
        <w:rPr>
          <w:rFonts w:ascii="Calibri" w:hAnsi="Calibri"/>
          <w:b/>
          <w:color w:val="2E74B5"/>
          <w:sz w:val="26"/>
        </w:rPr>
        <w:t>4.6. Những điều cần nhớ ở phân hệ Thu mua</w:t>
      </w:r>
    </w:p>
    <w:p>
      <w:pPr>
        <w:pStyle w:val="ListBullet"/>
        <w:spacing w:after="80" w:line="276" w:lineRule="auto"/>
      </w:pPr>
      <w:r>
        <w:rPr>
          <w:rFonts w:ascii="Calibri" w:hAnsi="Calibri"/>
          <w:color w:val="222222"/>
          <w:sz w:val="22"/>
        </w:rPr>
        <w:t>YCMH là nhu cầu phát sinh; PMH là phiếu mua thực tế do Thu mua lập.</w:t>
      </w:r>
    </w:p>
    <w:p>
      <w:pPr>
        <w:pStyle w:val="ListBullet"/>
        <w:spacing w:after="80" w:line="276" w:lineRule="auto"/>
      </w:pPr>
      <w:r>
        <w:rPr>
          <w:rFonts w:ascii="Calibri" w:hAnsi="Calibri"/>
          <w:color w:val="222222"/>
          <w:sz w:val="22"/>
        </w:rPr>
        <w:t>Người lập PMH không nhất thiết là người duyệt PMH.</w:t>
      </w:r>
    </w:p>
    <w:p>
      <w:pPr>
        <w:pStyle w:val="ListBullet"/>
        <w:spacing w:after="80" w:line="276" w:lineRule="auto"/>
      </w:pPr>
      <w:r>
        <w:rPr>
          <w:rFonts w:ascii="Calibri" w:hAnsi="Calibri"/>
          <w:color w:val="222222"/>
          <w:sz w:val="22"/>
        </w:rPr>
        <w:t>Đã nhận hàng là mốc quan trọng vì nó làm căn cứ cho đối chiếu công nợ và thanh toán phía sau.</w:t>
      </w:r>
    </w:p>
    <w:p>
      <w:pPr>
        <w:pStyle w:val="ListBullet"/>
        <w:spacing w:after="80" w:line="276" w:lineRule="auto"/>
      </w:pPr>
      <w:r>
        <w:rPr>
          <w:rFonts w:ascii="Calibri" w:hAnsi="Calibri"/>
          <w:color w:val="222222"/>
          <w:sz w:val="22"/>
        </w:rPr>
        <w:t>Nên quản lý tốt danh mục mặt hàng theo nhà cung cấp để việc chọn nhà cung cấp nhanh và ít sai hơn.</w:t>
      </w:r>
    </w:p>
    <w:p>
      <w:pPr>
        <w:pStyle w:val="Heading1"/>
        <w:spacing w:before="320" w:after="120"/>
      </w:pPr>
      <w:r>
        <w:rPr>
          <w:rFonts w:ascii="Calibri" w:hAnsi="Calibri"/>
          <w:b/>
          <w:color w:val="2E74B5"/>
          <w:sz w:val="32"/>
        </w:rPr>
        <w:t>5. Diễn giải quyền chi tiết</w:t>
      </w:r>
    </w:p>
    <w:p>
      <w:pPr>
        <w:spacing w:after="120" w:line="276" w:lineRule="auto"/>
      </w:pPr>
      <w:r>
        <w:rPr>
          <w:rFonts w:ascii="Calibri" w:hAnsi="Calibri"/>
          <w:i w:val="0"/>
          <w:color w:val="222222"/>
          <w:sz w:val="22"/>
        </w:rPr>
        <w:t>Phần này diễn giải theo đúng cách người dùng cuối hay hỏi: bật một quyền lên thì màn nào hiện ra, nút nào xuất hiện, và quyền đó phục vụ việc gì trong vận hành hằng ngày.</w:t>
      </w:r>
    </w:p>
    <w:p>
      <w:pPr>
        <w:pStyle w:val="Heading2"/>
        <w:spacing w:before="200" w:after="80"/>
      </w:pPr>
      <w:r>
        <w:rPr>
          <w:rFonts w:ascii="Calibri" w:hAnsi="Calibri"/>
          <w:b/>
          <w:color w:val="2E74B5"/>
          <w:sz w:val="26"/>
        </w:rPr>
        <w:t>5.1. Cách đọc ma trận quyền</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Thành phần</w:t>
            </w:r>
          </w:p>
        </w:tc>
        <w:tc>
          <w:tcPr>
            <w:tcW w:type="dxa" w:w="6973"/>
            <w:vAlign w:val="center"/>
            <w:shd w:fill="E8EEF5"/>
          </w:tcPr>
          <w:p>
            <w:pPr>
              <w:spacing w:after="40" w:before="0"/>
              <w:jc w:val="left"/>
            </w:pPr>
            <w:r/>
            <w:r>
              <w:rPr>
                <w:rFonts w:ascii="Calibri" w:hAnsi="Calibri"/>
                <w:b/>
                <w:color w:val="222222"/>
                <w:sz w:val="21"/>
              </w:rPr>
              <w:t>Giải thích thực tế</w:t>
            </w:r>
          </w:p>
        </w:tc>
      </w:tr>
      <w:tr>
        <w:tc>
          <w:tcPr>
            <w:tcW w:type="dxa" w:w="2381"/>
            <w:vAlign w:val="center"/>
          </w:tcPr>
          <w:p>
            <w:pPr>
              <w:spacing w:after="40" w:before="0"/>
              <w:jc w:val="left"/>
            </w:pPr>
            <w:r/>
            <w:r>
              <w:rPr>
                <w:rFonts w:ascii="Calibri" w:hAnsi="Calibri"/>
                <w:b w:val="0"/>
                <w:color w:val="222222"/>
                <w:sz w:val="21"/>
              </w:rPr>
              <w:t>Xem</w:t>
            </w:r>
          </w:p>
        </w:tc>
        <w:tc>
          <w:tcPr>
            <w:tcW w:type="dxa" w:w="6973"/>
            <w:vAlign w:val="center"/>
          </w:tcPr>
          <w:p>
            <w:pPr>
              <w:spacing w:after="40" w:before="0"/>
              <w:jc w:val="left"/>
            </w:pPr>
            <w:r/>
            <w:r>
              <w:rPr>
                <w:rFonts w:ascii="Calibri" w:hAnsi="Calibri"/>
                <w:b w:val="0"/>
                <w:color w:val="222222"/>
                <w:sz w:val="21"/>
              </w:rPr>
              <w:t>Khi bật thì module xuất hiện trên menu hoặc cho phép mở màn hình tương ứng, nhìn thấy danh sách, bộ lọc, tab và chi tiết dữ liệu trong phạm vi được cấp.</w:t>
            </w:r>
          </w:p>
        </w:tc>
      </w:tr>
      <w:tr>
        <w:tc>
          <w:tcPr>
            <w:tcW w:type="dxa" w:w="2381"/>
            <w:vAlign w:val="center"/>
          </w:tcPr>
          <w:p>
            <w:pPr>
              <w:spacing w:after="40" w:before="0"/>
              <w:jc w:val="left"/>
            </w:pPr>
            <w:r/>
            <w:r>
              <w:rPr>
                <w:rFonts w:ascii="Calibri" w:hAnsi="Calibri"/>
                <w:b w:val="0"/>
                <w:color w:val="222222"/>
                <w:sz w:val="21"/>
              </w:rPr>
              <w:t>Thao tác</w:t>
            </w:r>
          </w:p>
        </w:tc>
        <w:tc>
          <w:tcPr>
            <w:tcW w:type="dxa" w:w="6973"/>
            <w:vAlign w:val="center"/>
          </w:tcPr>
          <w:p>
            <w:pPr>
              <w:spacing w:after="40" w:before="0"/>
              <w:jc w:val="left"/>
            </w:pPr>
            <w:r/>
            <w:r>
              <w:rPr>
                <w:rFonts w:ascii="Calibri" w:hAnsi="Calibri"/>
                <w:b w:val="0"/>
                <w:color w:val="222222"/>
                <w:sz w:val="21"/>
              </w:rPr>
              <w:t>Khi bật thì người dùng được thêm, sửa, xóa hoặc thực hiện các thao tác nghiệp vụ chính của module đó. Nếu chỉ có Xem mà không có Thao tác thì chỉ đọc được dữ liệu.</w:t>
            </w:r>
          </w:p>
        </w:tc>
      </w:tr>
      <w:tr>
        <w:tc>
          <w:tcPr>
            <w:tcW w:type="dxa" w:w="2381"/>
            <w:vAlign w:val="center"/>
          </w:tcPr>
          <w:p>
            <w:pPr>
              <w:spacing w:after="40" w:before="0"/>
              <w:jc w:val="left"/>
            </w:pPr>
            <w:r/>
            <w:r>
              <w:rPr>
                <w:rFonts w:ascii="Calibri" w:hAnsi="Calibri"/>
                <w:b w:val="0"/>
                <w:color w:val="222222"/>
                <w:sz w:val="21"/>
              </w:rPr>
              <w:t>Phạm vi</w:t>
            </w:r>
          </w:p>
        </w:tc>
        <w:tc>
          <w:tcPr>
            <w:tcW w:type="dxa" w:w="6973"/>
            <w:vAlign w:val="center"/>
          </w:tcPr>
          <w:p>
            <w:pPr>
              <w:spacing w:after="40" w:before="0"/>
              <w:jc w:val="left"/>
            </w:pPr>
            <w:r/>
            <w:r>
              <w:rPr>
                <w:rFonts w:ascii="Calibri" w:hAnsi="Calibri"/>
                <w:b w:val="0"/>
                <w:color w:val="222222"/>
                <w:sz w:val="21"/>
              </w:rPr>
              <w:t>Quy định người dùng được đụng tới dữ liệu của ai: chỉ của chính mình, của cả phòng mình, hay toàn công ty.</w:t>
            </w:r>
          </w:p>
        </w:tc>
      </w:tr>
    </w:tbl>
    <w:p>
      <w:pPr>
        <w:spacing w:after="120" w:line="276" w:lineRule="auto"/>
      </w:pPr>
      <w:r>
        <w:rPr>
          <w:rFonts w:ascii="Calibri" w:hAnsi="Calibri"/>
          <w:i w:val="0"/>
          <w:color w:val="222222"/>
          <w:sz w:val="22"/>
        </w:rPr>
        <w:t>Ví dụ: nếu một vai trò được bật quyền Xem của module Lương nhưng chưa bật Thao tác, người đó vẫn mở được màn Lương để xem bảng lương và tạm ứng, nhưng sẽ không sửa được dòng lương, không tính lại, không chốt kỳ.</w:t>
      </w:r>
    </w:p>
    <w:p>
      <w:pPr>
        <w:pStyle w:val="Heading2"/>
        <w:spacing w:before="200" w:after="80"/>
      </w:pPr>
      <w:r>
        <w:rPr>
          <w:rFonts w:ascii="Calibri" w:hAnsi="Calibri"/>
          <w:b/>
          <w:color w:val="2E74B5"/>
          <w:sz w:val="26"/>
        </w:rPr>
        <w:t>5.2. Quyền chi tiết của nhóm Phòng ban</w:t>
      </w:r>
    </w:p>
    <w:p>
      <w:pPr>
        <w:pStyle w:val="Heading3"/>
        <w:spacing w:before="200" w:after="80"/>
      </w:pPr>
      <w:r>
        <w:rPr>
          <w:rFonts w:ascii="Calibri" w:hAnsi="Calibri"/>
          <w:b/>
          <w:color w:val="1F4D78"/>
          <w:sz w:val="24"/>
        </w:rPr>
        <w:t>5.2.1. Module Phòng ban</w:t>
      </w:r>
    </w:p>
    <w:p>
      <w:pPr>
        <w:spacing w:after="120" w:line="276" w:lineRule="auto"/>
      </w:pPr>
      <w:r>
        <w:rPr>
          <w:rFonts w:ascii="Calibri" w:hAnsi="Calibri"/>
          <w:i w:val="0"/>
          <w:color w:val="222222"/>
          <w:sz w:val="22"/>
        </w:rPr>
        <w:t>Đây là module quản trị cơ cấu tổ chức. Người dùng thường gặp nhất ở đây là Admin và HCNS.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Phòng ban xuất hiện; mở được màn Tổng quan, cây tổ chức, danh sách phòng, tab Nhân sự và tab Vai trò &amp; Quyền của đơn vị nằm trong phạm vi.</w:t>
            </w:r>
          </w:p>
        </w:tc>
        <w:tc>
          <w:tcPr>
            <w:tcW w:type="dxa" w:w="2835"/>
            <w:vAlign w:val="center"/>
          </w:tcPr>
          <w:p>
            <w:pPr>
              <w:spacing w:after="40" w:before="0"/>
              <w:jc w:val="left"/>
            </w:pPr>
            <w:r/>
            <w:r>
              <w:rPr>
                <w:rFonts w:ascii="Calibri" w:hAnsi="Calibri"/>
                <w:b w:val="0"/>
                <w:color w:val="222222"/>
                <w:sz w:val="21"/>
              </w:rPr>
              <w:t>Theo dõi cơ cấu tổ chức, số lượng nhân sự, trạng thái trưởng phòng, xem các phòng con và người thuộc từng phòng.</w:t>
            </w:r>
          </w:p>
        </w:tc>
        <w:tc>
          <w:tcPr>
            <w:tcW w:type="dxa" w:w="1984"/>
            <w:vAlign w:val="center"/>
          </w:tcPr>
          <w:p>
            <w:pPr>
              <w:spacing w:after="40" w:before="0"/>
              <w:jc w:val="left"/>
            </w:pPr>
            <w:r/>
            <w:r>
              <w:rPr>
                <w:rFonts w:ascii="Calibri" w:hAnsi="Calibri"/>
                <w:b w:val="0"/>
                <w:color w:val="222222"/>
                <w:sz w:val="21"/>
              </w:rPr>
              <w:t>Tắt quyền này thì các quyền khác của module Phòng ban cũng không còn giá trị sử dụng.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nút thêm, sửa, xóa phòng ban ở nơi người dùng được phép thao tác.</w:t>
            </w:r>
          </w:p>
        </w:tc>
        <w:tc>
          <w:tcPr>
            <w:tcW w:type="dxa" w:w="2835"/>
            <w:vAlign w:val="center"/>
          </w:tcPr>
          <w:p>
            <w:pPr>
              <w:spacing w:after="40" w:before="0"/>
              <w:jc w:val="left"/>
            </w:pPr>
            <w:r/>
            <w:r>
              <w:rPr>
                <w:rFonts w:ascii="Calibri" w:hAnsi="Calibri"/>
                <w:b w:val="0"/>
                <w:color w:val="222222"/>
                <w:sz w:val="21"/>
              </w:rPr>
              <w:t>Tạo phòng ban mới, chỉnh tên/mã/ghi chú, xóa đơn vị không còn dùng.</w:t>
            </w:r>
          </w:p>
        </w:tc>
        <w:tc>
          <w:tcPr>
            <w:tcW w:type="dxa" w:w="1984"/>
            <w:vAlign w:val="center"/>
          </w:tcPr>
          <w:p>
            <w:pPr>
              <w:spacing w:after="40" w:before="0"/>
              <w:jc w:val="left"/>
            </w:pPr>
            <w:r/>
            <w:r>
              <w:rPr>
                <w:rFonts w:ascii="Calibri" w:hAnsi="Calibri"/>
                <w:b w:val="0"/>
                <w:color w:val="222222"/>
                <w:sz w:val="21"/>
              </w:rPr>
              <w:t>Không tự bao gồm quyền đổi cấp trên hay đặt trưởng phòng nếu chưa bật quyền chi tiết tương ứng.</w:t>
            </w:r>
          </w:p>
        </w:tc>
      </w:tr>
      <w:tr>
        <w:tc>
          <w:tcPr>
            <w:tcW w:type="dxa" w:w="1701"/>
            <w:vAlign w:val="center"/>
          </w:tcPr>
          <w:p>
            <w:pPr>
              <w:spacing w:after="40" w:before="0"/>
              <w:jc w:val="left"/>
            </w:pPr>
            <w:r/>
            <w:r>
              <w:rPr>
                <w:rFonts w:ascii="Calibri" w:hAnsi="Calibri"/>
                <w:b w:val="0"/>
                <w:color w:val="222222"/>
                <w:sz w:val="21"/>
              </w:rPr>
              <w:t>Đặt trưởng phòng</w:t>
            </w:r>
          </w:p>
        </w:tc>
        <w:tc>
          <w:tcPr>
            <w:tcW w:type="dxa" w:w="2835"/>
            <w:vAlign w:val="center"/>
          </w:tcPr>
          <w:p>
            <w:pPr>
              <w:spacing w:after="40" w:before="0"/>
              <w:jc w:val="left"/>
            </w:pPr>
            <w:r/>
            <w:r>
              <w:rPr>
                <w:rFonts w:ascii="Calibri" w:hAnsi="Calibri"/>
                <w:b w:val="0"/>
                <w:color w:val="222222"/>
                <w:sz w:val="21"/>
              </w:rPr>
              <w:t>Hiện phần chọn hoặc thay đổi người đứng đầu đơn vị.</w:t>
            </w:r>
          </w:p>
        </w:tc>
        <w:tc>
          <w:tcPr>
            <w:tcW w:type="dxa" w:w="2835"/>
            <w:vAlign w:val="center"/>
          </w:tcPr>
          <w:p>
            <w:pPr>
              <w:spacing w:after="40" w:before="0"/>
              <w:jc w:val="left"/>
            </w:pPr>
            <w:r/>
            <w:r>
              <w:rPr>
                <w:rFonts w:ascii="Calibri" w:hAnsi="Calibri"/>
                <w:b w:val="0"/>
                <w:color w:val="222222"/>
                <w:sz w:val="21"/>
              </w:rPr>
              <w:t>Gán trưởng phòng, thay trưởng phòng, bỏ gán người đứng đầu cũ.</w:t>
            </w:r>
          </w:p>
        </w:tc>
        <w:tc>
          <w:tcPr>
            <w:tcW w:type="dxa" w:w="1984"/>
            <w:vAlign w:val="center"/>
          </w:tcPr>
          <w:p>
            <w:pPr>
              <w:spacing w:after="40" w:before="0"/>
              <w:jc w:val="left"/>
            </w:pPr>
            <w:r/>
            <w:r>
              <w:rPr>
                <w:rFonts w:ascii="Calibri" w:hAnsi="Calibri"/>
                <w:b w:val="0"/>
                <w:color w:val="222222"/>
                <w:sz w:val="21"/>
              </w:rPr>
              <w:t>Nên cấp cho Admin hoặc HCNS phụ trách cơ cấu tổ chức.</w:t>
            </w:r>
          </w:p>
        </w:tc>
      </w:tr>
      <w:tr>
        <w:tc>
          <w:tcPr>
            <w:tcW w:type="dxa" w:w="1701"/>
            <w:vAlign w:val="center"/>
          </w:tcPr>
          <w:p>
            <w:pPr>
              <w:spacing w:after="40" w:before="0"/>
              <w:jc w:val="left"/>
            </w:pPr>
            <w:r/>
            <w:r>
              <w:rPr>
                <w:rFonts w:ascii="Calibri" w:hAnsi="Calibri"/>
                <w:b w:val="0"/>
                <w:color w:val="222222"/>
                <w:sz w:val="21"/>
              </w:rPr>
              <w:t>Đổi cấp trên</w:t>
            </w:r>
          </w:p>
        </w:tc>
        <w:tc>
          <w:tcPr>
            <w:tcW w:type="dxa" w:w="2835"/>
            <w:vAlign w:val="center"/>
          </w:tcPr>
          <w:p>
            <w:pPr>
              <w:spacing w:after="40" w:before="0"/>
              <w:jc w:val="left"/>
            </w:pPr>
            <w:r/>
            <w:r>
              <w:rPr>
                <w:rFonts w:ascii="Calibri" w:hAnsi="Calibri"/>
                <w:b w:val="0"/>
                <w:color w:val="222222"/>
                <w:sz w:val="21"/>
              </w:rPr>
              <w:t>Hiện thao tác đổi phòng cha trong cây tổ chức.</w:t>
            </w:r>
          </w:p>
        </w:tc>
        <w:tc>
          <w:tcPr>
            <w:tcW w:type="dxa" w:w="2835"/>
            <w:vAlign w:val="center"/>
          </w:tcPr>
          <w:p>
            <w:pPr>
              <w:spacing w:after="40" w:before="0"/>
              <w:jc w:val="left"/>
            </w:pPr>
            <w:r/>
            <w:r>
              <w:rPr>
                <w:rFonts w:ascii="Calibri" w:hAnsi="Calibri"/>
                <w:b w:val="0"/>
                <w:color w:val="222222"/>
                <w:sz w:val="21"/>
              </w:rPr>
              <w:t>Di chuyển một phòng hoặc tổ sang nhánh khác trong sơ đồ công ty.</w:t>
            </w:r>
          </w:p>
        </w:tc>
        <w:tc>
          <w:tcPr>
            <w:tcW w:type="dxa" w:w="1984"/>
            <w:vAlign w:val="center"/>
          </w:tcPr>
          <w:p>
            <w:pPr>
              <w:spacing w:after="40" w:before="0"/>
              <w:jc w:val="left"/>
            </w:pPr>
            <w:r/>
            <w:r>
              <w:rPr>
                <w:rFonts w:ascii="Calibri" w:hAnsi="Calibri"/>
                <w:b w:val="0"/>
                <w:color w:val="222222"/>
                <w:sz w:val="21"/>
              </w:rPr>
              <w:t>Nên dùng cẩn thận vì sẽ ảnh hưởng cách nhìn dữ liệu theo cây phòng ban.</w:t>
            </w:r>
          </w:p>
        </w:tc>
      </w:tr>
    </w:tbl>
    <w:p>
      <w:pPr>
        <w:pStyle w:val="Heading3"/>
        <w:spacing w:before="200" w:after="80"/>
      </w:pPr>
      <w:r>
        <w:rPr>
          <w:rFonts w:ascii="Calibri" w:hAnsi="Calibri"/>
          <w:b/>
          <w:color w:val="1F4D78"/>
          <w:sz w:val="24"/>
        </w:rPr>
        <w:t>5.2.2. Module Vai trò</w:t>
      </w:r>
    </w:p>
    <w:p>
      <w:pPr>
        <w:spacing w:after="120" w:line="276" w:lineRule="auto"/>
      </w:pPr>
      <w:r>
        <w:rPr>
          <w:rFonts w:ascii="Calibri" w:hAnsi="Calibri"/>
          <w:i w:val="0"/>
          <w:color w:val="222222"/>
          <w:sz w:val="22"/>
        </w:rPr>
        <w:t>Module này nằm trong luồng Phòng ban vì vai trò luôn gắn với từng phòng cụ thể.</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Mở được danh sách vai trò của phòng, xem ma trận quyền đã gán cho từng vai trò.</w:t>
            </w:r>
          </w:p>
        </w:tc>
        <w:tc>
          <w:tcPr>
            <w:tcW w:type="dxa" w:w="2835"/>
            <w:vAlign w:val="center"/>
          </w:tcPr>
          <w:p>
            <w:pPr>
              <w:spacing w:after="40" w:before="0"/>
              <w:jc w:val="left"/>
            </w:pPr>
            <w:r/>
            <w:r>
              <w:rPr>
                <w:rFonts w:ascii="Calibri" w:hAnsi="Calibri"/>
                <w:b w:val="0"/>
                <w:color w:val="222222"/>
                <w:sz w:val="21"/>
              </w:rPr>
              <w:t>Dùng khi cần kiểm tra một vai trò hiện có quyền gì mà chưa cần sửa.</w:t>
            </w:r>
          </w:p>
        </w:tc>
        <w:tc>
          <w:tcPr>
            <w:tcW w:type="dxa" w:w="1984"/>
            <w:vAlign w:val="center"/>
          </w:tcPr>
          <w:p>
            <w:pPr>
              <w:spacing w:after="40" w:before="0"/>
              <w:jc w:val="left"/>
            </w:pPr>
            <w:r/>
            <w:r>
              <w:rPr>
                <w:rFonts w:ascii="Calibri" w:hAnsi="Calibri"/>
                <w:b w:val="0"/>
                <w:color w:val="222222"/>
                <w:sz w:val="21"/>
              </w:rPr>
              <w:t>Không có quyền này thì người dùng không thấy cấu trúc vai trò của phòng.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nút thêm, sửa tên, xóa vai trò.</w:t>
            </w:r>
          </w:p>
        </w:tc>
        <w:tc>
          <w:tcPr>
            <w:tcW w:type="dxa" w:w="2835"/>
            <w:vAlign w:val="center"/>
          </w:tcPr>
          <w:p>
            <w:pPr>
              <w:spacing w:after="40" w:before="0"/>
              <w:jc w:val="left"/>
            </w:pPr>
            <w:r/>
            <w:r>
              <w:rPr>
                <w:rFonts w:ascii="Calibri" w:hAnsi="Calibri"/>
                <w:b w:val="0"/>
                <w:color w:val="222222"/>
                <w:sz w:val="21"/>
              </w:rPr>
              <w:t>Tạo chỗ ngồi quyền mới cho từng phòng ban, ví dụ Trưởng nhóm, Kế toán lương, C&amp;B.</w:t>
            </w:r>
          </w:p>
        </w:tc>
        <w:tc>
          <w:tcPr>
            <w:tcW w:type="dxa" w:w="1984"/>
            <w:vAlign w:val="center"/>
          </w:tcPr>
          <w:p>
            <w:pPr>
              <w:spacing w:after="40" w:before="0"/>
              <w:jc w:val="left"/>
            </w:pPr>
            <w:r/>
            <w:r>
              <w:rPr>
                <w:rFonts w:ascii="Calibri" w:hAnsi="Calibri"/>
                <w:b w:val="0"/>
                <w:color w:val="222222"/>
                <w:sz w:val="21"/>
              </w:rPr>
              <w:t>Thao tác này chưa có nghĩa là sửa được ma trận quyền chi tiết bên trong.</w:t>
            </w:r>
          </w:p>
        </w:tc>
      </w:tr>
      <w:tr>
        <w:tc>
          <w:tcPr>
            <w:tcW w:type="dxa" w:w="1701"/>
            <w:vAlign w:val="center"/>
          </w:tcPr>
          <w:p>
            <w:pPr>
              <w:spacing w:after="40" w:before="0"/>
              <w:jc w:val="left"/>
            </w:pPr>
            <w:r/>
            <w:r>
              <w:rPr>
                <w:rFonts w:ascii="Calibri" w:hAnsi="Calibri"/>
                <w:b w:val="0"/>
                <w:color w:val="222222"/>
                <w:sz w:val="21"/>
              </w:rPr>
              <w:t>Sửa ma trận phân quyền</w:t>
            </w:r>
          </w:p>
        </w:tc>
        <w:tc>
          <w:tcPr>
            <w:tcW w:type="dxa" w:w="2835"/>
            <w:vAlign w:val="center"/>
          </w:tcPr>
          <w:p>
            <w:pPr>
              <w:spacing w:after="40" w:before="0"/>
              <w:jc w:val="left"/>
            </w:pPr>
            <w:r/>
            <w:r>
              <w:rPr>
                <w:rFonts w:ascii="Calibri" w:hAnsi="Calibri"/>
                <w:b w:val="0"/>
                <w:color w:val="222222"/>
                <w:sz w:val="21"/>
              </w:rPr>
              <w:t>Cho phép bật/tắt các ô quyền, đổi phạm vi của từng module trong vai trò.</w:t>
            </w:r>
          </w:p>
        </w:tc>
        <w:tc>
          <w:tcPr>
            <w:tcW w:type="dxa" w:w="2835"/>
            <w:vAlign w:val="center"/>
          </w:tcPr>
          <w:p>
            <w:pPr>
              <w:spacing w:after="40" w:before="0"/>
              <w:jc w:val="left"/>
            </w:pPr>
            <w:r/>
            <w:r>
              <w:rPr>
                <w:rFonts w:ascii="Calibri" w:hAnsi="Calibri"/>
                <w:b w:val="0"/>
                <w:color w:val="222222"/>
                <w:sz w:val="21"/>
              </w:rPr>
              <w:t>Đây là quyền mạnh nhất của phần Vai trò vì nó quyết định người khác nhìn thấy và làm được gì trong hệ thống.</w:t>
            </w:r>
          </w:p>
        </w:tc>
        <w:tc>
          <w:tcPr>
            <w:tcW w:type="dxa" w:w="1984"/>
            <w:vAlign w:val="center"/>
          </w:tcPr>
          <w:p>
            <w:pPr>
              <w:spacing w:after="40" w:before="0"/>
              <w:jc w:val="left"/>
            </w:pPr>
            <w:r/>
            <w:r>
              <w:rPr>
                <w:rFonts w:ascii="Calibri" w:hAnsi="Calibri"/>
                <w:b w:val="0"/>
                <w:color w:val="222222"/>
                <w:sz w:val="21"/>
              </w:rPr>
              <w:t>Nên chỉ cấp cho Admin hoặc người được ủy quyền quản trị phân quyền.</w:t>
            </w:r>
          </w:p>
        </w:tc>
      </w:tr>
    </w:tbl>
    <w:p>
      <w:pPr>
        <w:pStyle w:val="Heading3"/>
        <w:spacing w:before="200" w:after="80"/>
      </w:pPr>
      <w:r>
        <w:rPr>
          <w:rFonts w:ascii="Calibri" w:hAnsi="Calibri"/>
          <w:b/>
          <w:color w:val="1F4D78"/>
          <w:sz w:val="24"/>
        </w:rPr>
        <w:t>5.2.3. Module Người dùng</w:t>
      </w:r>
    </w:p>
    <w:p>
      <w:pPr>
        <w:spacing w:after="120" w:line="276" w:lineRule="auto"/>
      </w:pPr>
      <w:r>
        <w:rPr>
          <w:rFonts w:ascii="Calibri" w:hAnsi="Calibri"/>
          <w:i w:val="0"/>
          <w:color w:val="222222"/>
          <w:sz w:val="22"/>
        </w:rPr>
        <w:t>Các quyền này thường được dùng ngay trong tab Tài khoản &amp; Quyền của hồ sơ nhân sự hoặc khi điều phối nhân sự giữa các phòng.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Thấy tab Tài khoản &amp; Quyền trong hồ sơ nhân sự và các thông tin đăng nhập liên quan.</w:t>
            </w:r>
          </w:p>
        </w:tc>
        <w:tc>
          <w:tcPr>
            <w:tcW w:type="dxa" w:w="2835"/>
            <w:vAlign w:val="center"/>
          </w:tcPr>
          <w:p>
            <w:pPr>
              <w:spacing w:after="40" w:before="0"/>
              <w:jc w:val="left"/>
            </w:pPr>
            <w:r/>
            <w:r>
              <w:rPr>
                <w:rFonts w:ascii="Calibri" w:hAnsi="Calibri"/>
                <w:b w:val="0"/>
                <w:color w:val="222222"/>
                <w:sz w:val="21"/>
              </w:rPr>
              <w:t>Kiểm tra nhân viên đã có tài khoản hay chưa, đang giữ vai trò nào.</w:t>
            </w:r>
          </w:p>
        </w:tc>
        <w:tc>
          <w:tcPr>
            <w:tcW w:type="dxa" w:w="1984"/>
            <w:vAlign w:val="center"/>
          </w:tcPr>
          <w:p>
            <w:pPr>
              <w:spacing w:after="40" w:before="0"/>
              <w:jc w:val="left"/>
            </w:pPr>
            <w:r/>
            <w:r>
              <w:rPr>
                <w:rFonts w:ascii="Calibri" w:hAnsi="Calibri"/>
                <w:b w:val="0"/>
                <w:color w:val="222222"/>
                <w:sz w:val="21"/>
              </w:rPr>
              <w:t>Không bao gồm đổi mật khẩu hay đổi vai trò nếu chưa bật quyền chi tiết tương ứng.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nút tạo hoặc cập nhật tài khoản ở nơi hệ thống cho phép.</w:t>
            </w:r>
          </w:p>
        </w:tc>
        <w:tc>
          <w:tcPr>
            <w:tcW w:type="dxa" w:w="2835"/>
            <w:vAlign w:val="center"/>
          </w:tcPr>
          <w:p>
            <w:pPr>
              <w:spacing w:after="40" w:before="0"/>
              <w:jc w:val="left"/>
            </w:pPr>
            <w:r/>
            <w:r>
              <w:rPr>
                <w:rFonts w:ascii="Calibri" w:hAnsi="Calibri"/>
                <w:b w:val="0"/>
                <w:color w:val="222222"/>
                <w:sz w:val="21"/>
              </w:rPr>
              <w:t>Tạo tài khoản đăng nhập, chỉnh thông tin tài khoản cơ bản.</w:t>
            </w:r>
          </w:p>
        </w:tc>
        <w:tc>
          <w:tcPr>
            <w:tcW w:type="dxa" w:w="1984"/>
            <w:vAlign w:val="center"/>
          </w:tcPr>
          <w:p>
            <w:pPr>
              <w:spacing w:after="40" w:before="0"/>
              <w:jc w:val="left"/>
            </w:pPr>
            <w:r/>
            <w:r>
              <w:rPr>
                <w:rFonts w:ascii="Calibri" w:hAnsi="Calibri"/>
                <w:b w:val="0"/>
                <w:color w:val="222222"/>
                <w:sz w:val="21"/>
              </w:rPr>
              <w:t>Các thao tác nhạy cảm vẫn tách riêng bằng quyền chi tiết bên dưới.</w:t>
            </w:r>
          </w:p>
        </w:tc>
      </w:tr>
      <w:tr>
        <w:tc>
          <w:tcPr>
            <w:tcW w:type="dxa" w:w="1701"/>
            <w:vAlign w:val="center"/>
          </w:tcPr>
          <w:p>
            <w:pPr>
              <w:spacing w:after="40" w:before="0"/>
              <w:jc w:val="left"/>
            </w:pPr>
            <w:r/>
            <w:r>
              <w:rPr>
                <w:rFonts w:ascii="Calibri" w:hAnsi="Calibri"/>
                <w:b w:val="0"/>
                <w:color w:val="222222"/>
                <w:sz w:val="21"/>
              </w:rPr>
              <w:t>Gán vai trò</w:t>
            </w:r>
          </w:p>
        </w:tc>
        <w:tc>
          <w:tcPr>
            <w:tcW w:type="dxa" w:w="2835"/>
            <w:vAlign w:val="center"/>
          </w:tcPr>
          <w:p>
            <w:pPr>
              <w:spacing w:after="40" w:before="0"/>
              <w:jc w:val="left"/>
            </w:pPr>
            <w:r/>
            <w:r>
              <w:rPr>
                <w:rFonts w:ascii="Calibri" w:hAnsi="Calibri"/>
                <w:b w:val="0"/>
                <w:color w:val="222222"/>
                <w:sz w:val="21"/>
              </w:rPr>
              <w:t>Hiện ô chọn vai trò cho tài khoản nhân viên.</w:t>
            </w:r>
          </w:p>
        </w:tc>
        <w:tc>
          <w:tcPr>
            <w:tcW w:type="dxa" w:w="2835"/>
            <w:vAlign w:val="center"/>
          </w:tcPr>
          <w:p>
            <w:pPr>
              <w:spacing w:after="40" w:before="0"/>
              <w:jc w:val="left"/>
            </w:pPr>
            <w:r/>
            <w:r>
              <w:rPr>
                <w:rFonts w:ascii="Calibri" w:hAnsi="Calibri"/>
                <w:b w:val="0"/>
                <w:color w:val="222222"/>
                <w:sz w:val="21"/>
              </w:rPr>
              <w:t>Đổi người dùng sang vai trò đúng của phòng ban đó.</w:t>
            </w:r>
          </w:p>
        </w:tc>
        <w:tc>
          <w:tcPr>
            <w:tcW w:type="dxa" w:w="1984"/>
            <w:vAlign w:val="center"/>
          </w:tcPr>
          <w:p>
            <w:pPr>
              <w:spacing w:after="40" w:before="0"/>
              <w:jc w:val="left"/>
            </w:pPr>
            <w:r/>
            <w:r>
              <w:rPr>
                <w:rFonts w:ascii="Calibri" w:hAnsi="Calibri"/>
                <w:b w:val="0"/>
                <w:color w:val="222222"/>
                <w:sz w:val="21"/>
              </w:rPr>
              <w:t>Vai trò phải thuộc đúng phòng của nhân viên, hệ thống không cho gán chéo phòng bừa bãi.</w:t>
            </w:r>
          </w:p>
        </w:tc>
      </w:tr>
      <w:tr>
        <w:tc>
          <w:tcPr>
            <w:tcW w:type="dxa" w:w="1701"/>
            <w:vAlign w:val="center"/>
          </w:tcPr>
          <w:p>
            <w:pPr>
              <w:spacing w:after="40" w:before="0"/>
              <w:jc w:val="left"/>
            </w:pPr>
            <w:r/>
            <w:r>
              <w:rPr>
                <w:rFonts w:ascii="Calibri" w:hAnsi="Calibri"/>
                <w:b w:val="0"/>
                <w:color w:val="222222"/>
                <w:sz w:val="21"/>
              </w:rPr>
              <w:t>Chuyển phòng ban</w:t>
            </w:r>
          </w:p>
        </w:tc>
        <w:tc>
          <w:tcPr>
            <w:tcW w:type="dxa" w:w="2835"/>
            <w:vAlign w:val="center"/>
          </w:tcPr>
          <w:p>
            <w:pPr>
              <w:spacing w:after="40" w:before="0"/>
              <w:jc w:val="left"/>
            </w:pPr>
            <w:r/>
            <w:r>
              <w:rPr>
                <w:rFonts w:ascii="Calibri" w:hAnsi="Calibri"/>
                <w:b w:val="0"/>
                <w:color w:val="222222"/>
                <w:sz w:val="21"/>
              </w:rPr>
              <w:t>Hiện thao tác chuyển nhân sự sang phòng khác trong các công cụ gán hàng loạt hoặc hồ sơ.</w:t>
            </w:r>
          </w:p>
        </w:tc>
        <w:tc>
          <w:tcPr>
            <w:tcW w:type="dxa" w:w="2835"/>
            <w:vAlign w:val="center"/>
          </w:tcPr>
          <w:p>
            <w:pPr>
              <w:spacing w:after="40" w:before="0"/>
              <w:jc w:val="left"/>
            </w:pPr>
            <w:r/>
            <w:r>
              <w:rPr>
                <w:rFonts w:ascii="Calibri" w:hAnsi="Calibri"/>
                <w:b w:val="0"/>
                <w:color w:val="222222"/>
                <w:sz w:val="21"/>
              </w:rPr>
              <w:t>Phục vụ điều chuyển tổ chức.</w:t>
            </w:r>
          </w:p>
        </w:tc>
        <w:tc>
          <w:tcPr>
            <w:tcW w:type="dxa" w:w="1984"/>
            <w:vAlign w:val="center"/>
          </w:tcPr>
          <w:p>
            <w:pPr>
              <w:spacing w:after="40" w:before="0"/>
              <w:jc w:val="left"/>
            </w:pPr>
            <w:r/>
            <w:r>
              <w:rPr>
                <w:rFonts w:ascii="Calibri" w:hAnsi="Calibri"/>
                <w:b w:val="0"/>
                <w:color w:val="222222"/>
                <w:sz w:val="21"/>
              </w:rPr>
              <w:t>Sau khi chuyển phòng cần rà lại vai trò vì vai trò cũ có thể không còn hợp lệ.</w:t>
            </w:r>
          </w:p>
        </w:tc>
      </w:tr>
      <w:tr>
        <w:tc>
          <w:tcPr>
            <w:tcW w:type="dxa" w:w="1701"/>
            <w:vAlign w:val="center"/>
          </w:tcPr>
          <w:p>
            <w:pPr>
              <w:spacing w:after="40" w:before="0"/>
              <w:jc w:val="left"/>
            </w:pPr>
            <w:r/>
            <w:r>
              <w:rPr>
                <w:rFonts w:ascii="Calibri" w:hAnsi="Calibri"/>
                <w:b w:val="0"/>
                <w:color w:val="222222"/>
                <w:sz w:val="21"/>
              </w:rPr>
              <w:t>Đặt lại mật khẩu</w:t>
            </w:r>
          </w:p>
        </w:tc>
        <w:tc>
          <w:tcPr>
            <w:tcW w:type="dxa" w:w="2835"/>
            <w:vAlign w:val="center"/>
          </w:tcPr>
          <w:p>
            <w:pPr>
              <w:spacing w:after="40" w:before="0"/>
              <w:jc w:val="left"/>
            </w:pPr>
            <w:r/>
            <w:r>
              <w:rPr>
                <w:rFonts w:ascii="Calibri" w:hAnsi="Calibri"/>
                <w:b w:val="0"/>
                <w:color w:val="222222"/>
                <w:sz w:val="21"/>
              </w:rPr>
              <w:t>Hiện nút tạo mật khẩu mới cho tài khoản nhân viên.</w:t>
            </w:r>
          </w:p>
        </w:tc>
        <w:tc>
          <w:tcPr>
            <w:tcW w:type="dxa" w:w="2835"/>
            <w:vAlign w:val="center"/>
          </w:tcPr>
          <w:p>
            <w:pPr>
              <w:spacing w:after="40" w:before="0"/>
              <w:jc w:val="left"/>
            </w:pPr>
            <w:r/>
            <w:r>
              <w:rPr>
                <w:rFonts w:ascii="Calibri" w:hAnsi="Calibri"/>
                <w:b w:val="0"/>
                <w:color w:val="222222"/>
                <w:sz w:val="21"/>
              </w:rPr>
              <w:t>Dùng khi nhân viên quên mật khẩu hoặc bàn giao tài khoản.</w:t>
            </w:r>
          </w:p>
        </w:tc>
        <w:tc>
          <w:tcPr>
            <w:tcW w:type="dxa" w:w="1984"/>
            <w:vAlign w:val="center"/>
          </w:tcPr>
          <w:p>
            <w:pPr>
              <w:spacing w:after="40" w:before="0"/>
              <w:jc w:val="left"/>
            </w:pPr>
            <w:r/>
            <w:r>
              <w:rPr>
                <w:rFonts w:ascii="Calibri" w:hAnsi="Calibri"/>
                <w:b w:val="0"/>
                <w:color w:val="222222"/>
                <w:sz w:val="21"/>
              </w:rPr>
              <w:t>Nên đi kèm quy trình thông báo mật khẩu tạm và yêu cầu đổi sau lần đăng nhập đầu.</w:t>
            </w:r>
          </w:p>
        </w:tc>
      </w:tr>
      <w:tr>
        <w:tc>
          <w:tcPr>
            <w:tcW w:type="dxa" w:w="1701"/>
            <w:vAlign w:val="center"/>
          </w:tcPr>
          <w:p>
            <w:pPr>
              <w:spacing w:after="40" w:before="0"/>
              <w:jc w:val="left"/>
            </w:pPr>
            <w:r/>
            <w:r>
              <w:rPr>
                <w:rFonts w:ascii="Calibri" w:hAnsi="Calibri"/>
                <w:b w:val="0"/>
                <w:color w:val="222222"/>
                <w:sz w:val="21"/>
              </w:rPr>
              <w:t>Khóa / mở khóa tài khoản</w:t>
            </w:r>
          </w:p>
        </w:tc>
        <w:tc>
          <w:tcPr>
            <w:tcW w:type="dxa" w:w="2835"/>
            <w:vAlign w:val="center"/>
          </w:tcPr>
          <w:p>
            <w:pPr>
              <w:spacing w:after="40" w:before="0"/>
              <w:jc w:val="left"/>
            </w:pPr>
            <w:r/>
            <w:r>
              <w:rPr>
                <w:rFonts w:ascii="Calibri" w:hAnsi="Calibri"/>
                <w:b w:val="0"/>
                <w:color w:val="222222"/>
                <w:sz w:val="21"/>
              </w:rPr>
              <w:t>Hiện công tắc khóa đăng nhập của tài khoản.</w:t>
            </w:r>
          </w:p>
        </w:tc>
        <w:tc>
          <w:tcPr>
            <w:tcW w:type="dxa" w:w="2835"/>
            <w:vAlign w:val="center"/>
          </w:tcPr>
          <w:p>
            <w:pPr>
              <w:spacing w:after="40" w:before="0"/>
              <w:jc w:val="left"/>
            </w:pPr>
            <w:r/>
            <w:r>
              <w:rPr>
                <w:rFonts w:ascii="Calibri" w:hAnsi="Calibri"/>
                <w:b w:val="0"/>
                <w:color w:val="222222"/>
                <w:sz w:val="21"/>
              </w:rPr>
              <w:t>Ngăn đăng nhập tạm thời khi nhân viên nghỉ việc, bị đình chỉ hoặc cần chặn truy cập.</w:t>
            </w:r>
          </w:p>
        </w:tc>
        <w:tc>
          <w:tcPr>
            <w:tcW w:type="dxa" w:w="1984"/>
            <w:vAlign w:val="center"/>
          </w:tcPr>
          <w:p>
            <w:pPr>
              <w:spacing w:after="40" w:before="0"/>
              <w:jc w:val="left"/>
            </w:pPr>
            <w:r/>
            <w:r>
              <w:rPr>
                <w:rFonts w:ascii="Calibri" w:hAnsi="Calibri"/>
                <w:b w:val="0"/>
                <w:color w:val="222222"/>
                <w:sz w:val="21"/>
              </w:rPr>
              <w:t>Khóa tài khoản không xóa hồ sơ nhân sự.</w:t>
            </w:r>
          </w:p>
        </w:tc>
      </w:tr>
      <w:tr>
        <w:tc>
          <w:tcPr>
            <w:tcW w:type="dxa" w:w="1701"/>
            <w:vAlign w:val="center"/>
          </w:tcPr>
          <w:p>
            <w:pPr>
              <w:spacing w:after="40" w:before="0"/>
              <w:jc w:val="left"/>
            </w:pPr>
            <w:r/>
            <w:r>
              <w:rPr>
                <w:rFonts w:ascii="Calibri" w:hAnsi="Calibri"/>
                <w:b w:val="0"/>
                <w:color w:val="222222"/>
                <w:sz w:val="21"/>
              </w:rPr>
              <w:t>Thu hồi phiên</w:t>
            </w:r>
          </w:p>
        </w:tc>
        <w:tc>
          <w:tcPr>
            <w:tcW w:type="dxa" w:w="2835"/>
            <w:vAlign w:val="center"/>
          </w:tcPr>
          <w:p>
            <w:pPr>
              <w:spacing w:after="40" w:before="0"/>
              <w:jc w:val="left"/>
            </w:pPr>
            <w:r/>
            <w:r>
              <w:rPr>
                <w:rFonts w:ascii="Calibri" w:hAnsi="Calibri"/>
                <w:b w:val="0"/>
                <w:color w:val="222222"/>
                <w:sz w:val="21"/>
              </w:rPr>
              <w:t>Hiện thao tác ép đăng xuất khỏi các thiết bị đang còn đăng nhập.</w:t>
            </w:r>
          </w:p>
        </w:tc>
        <w:tc>
          <w:tcPr>
            <w:tcW w:type="dxa" w:w="2835"/>
            <w:vAlign w:val="center"/>
          </w:tcPr>
          <w:p>
            <w:pPr>
              <w:spacing w:after="40" w:before="0"/>
              <w:jc w:val="left"/>
            </w:pPr>
            <w:r/>
            <w:r>
              <w:rPr>
                <w:rFonts w:ascii="Calibri" w:hAnsi="Calibri"/>
                <w:b w:val="0"/>
                <w:color w:val="222222"/>
                <w:sz w:val="21"/>
              </w:rPr>
              <w:t>Dùng khi nghi ngờ lộ phiên hoặc cần buộc người dùng đăng nhập lại.</w:t>
            </w:r>
          </w:p>
        </w:tc>
        <w:tc>
          <w:tcPr>
            <w:tcW w:type="dxa" w:w="1984"/>
            <w:vAlign w:val="center"/>
          </w:tcPr>
          <w:p>
            <w:pPr>
              <w:spacing w:after="40" w:before="0"/>
              <w:jc w:val="left"/>
            </w:pPr>
            <w:r/>
            <w:r>
              <w:rPr>
                <w:rFonts w:ascii="Calibri" w:hAnsi="Calibri"/>
                <w:b w:val="0"/>
                <w:color w:val="222222"/>
                <w:sz w:val="21"/>
              </w:rPr>
              <w:t>Rất hữu ích sau khi đổi mật khẩu hoặc khi nhân sự nghỉ việc.</w:t>
            </w:r>
          </w:p>
        </w:tc>
      </w:tr>
    </w:tbl>
    <w:p>
      <w:pPr>
        <w:pStyle w:val="Heading2"/>
        <w:spacing w:before="200" w:after="80"/>
      </w:pPr>
      <w:r>
        <w:rPr>
          <w:rFonts w:ascii="Calibri" w:hAnsi="Calibri"/>
          <w:b/>
          <w:color w:val="2E74B5"/>
          <w:sz w:val="26"/>
        </w:rPr>
        <w:t>5.3. Quyền chi tiết của nhóm Nhân sự</w:t>
      </w:r>
    </w:p>
    <w:p>
      <w:pPr>
        <w:pStyle w:val="Heading3"/>
        <w:spacing w:before="200" w:after="80"/>
      </w:pPr>
      <w:r>
        <w:rPr>
          <w:rFonts w:ascii="Calibri" w:hAnsi="Calibri"/>
          <w:b/>
          <w:color w:val="1F4D78"/>
          <w:sz w:val="24"/>
        </w:rPr>
        <w:t>5.3.1. Module Nhân sự</w:t>
      </w:r>
    </w:p>
    <w:p>
      <w:pPr>
        <w:spacing w:after="120" w:line="276" w:lineRule="auto"/>
      </w:pPr>
      <w:r>
        <w:rPr>
          <w:rFonts w:ascii="Calibri" w:hAnsi="Calibri"/>
          <w:i w:val="0"/>
          <w:color w:val="222222"/>
          <w:sz w:val="22"/>
        </w:rPr>
        <w:t>Đây là nhóm quyền quan trọng nhất cho HCNS vì nó quyết định ai được xem và ai được sửa hồ sơ nhân sự tới mức nào.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Hồ sơ nhân sự và các danh sách nhân viên xuất hiện; mở được hồ sơ, quá trình công tác, đính kèm, nhật ký trong phạm vi được cấp.</w:t>
            </w:r>
          </w:p>
        </w:tc>
        <w:tc>
          <w:tcPr>
            <w:tcW w:type="dxa" w:w="2835"/>
            <w:vAlign w:val="center"/>
          </w:tcPr>
          <w:p>
            <w:pPr>
              <w:spacing w:after="40" w:before="0"/>
              <w:jc w:val="left"/>
            </w:pPr>
            <w:r/>
            <w:r>
              <w:rPr>
                <w:rFonts w:ascii="Calibri" w:hAnsi="Calibri"/>
                <w:b w:val="0"/>
                <w:color w:val="222222"/>
                <w:sz w:val="21"/>
              </w:rPr>
              <w:t>Theo dõi thông tin nhân viên, tìm kiếm, lọc trạng thái, xem lịch sử làm việc.</w:t>
            </w:r>
          </w:p>
        </w:tc>
        <w:tc>
          <w:tcPr>
            <w:tcW w:type="dxa" w:w="1984"/>
            <w:vAlign w:val="center"/>
          </w:tcPr>
          <w:p>
            <w:pPr>
              <w:spacing w:after="40" w:before="0"/>
              <w:jc w:val="left"/>
            </w:pPr>
            <w:r/>
            <w:r>
              <w:rPr>
                <w:rFonts w:ascii="Calibri" w:hAnsi="Calibri"/>
                <w:b w:val="0"/>
                <w:color w:val="222222"/>
                <w:sz w:val="21"/>
              </w:rPr>
              <w:t>Chỉ có Xem thì chưa chỉnh hồ sơ, chưa đổi trạng thái và chưa sửa dữ liệu nhạy cảm.</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nút Thêm nhân viên, Sửa thông tin, xóa hoặc cập nhật các trường hồ sơ thông thường.</w:t>
            </w:r>
          </w:p>
        </w:tc>
        <w:tc>
          <w:tcPr>
            <w:tcW w:type="dxa" w:w="2835"/>
            <w:vAlign w:val="center"/>
          </w:tcPr>
          <w:p>
            <w:pPr>
              <w:spacing w:after="40" w:before="0"/>
              <w:jc w:val="left"/>
            </w:pPr>
            <w:r/>
            <w:r>
              <w:rPr>
                <w:rFonts w:ascii="Calibri" w:hAnsi="Calibri"/>
                <w:b w:val="0"/>
                <w:color w:val="222222"/>
                <w:sz w:val="21"/>
              </w:rPr>
              <w:t>Tạo hồ sơ nhân viên, sửa thông tin cá nhân, liên hệ, địa chỉ, ghi chú.</w:t>
            </w:r>
          </w:p>
        </w:tc>
        <w:tc>
          <w:tcPr>
            <w:tcW w:type="dxa" w:w="1984"/>
            <w:vAlign w:val="center"/>
          </w:tcPr>
          <w:p>
            <w:pPr>
              <w:spacing w:after="40" w:before="0"/>
              <w:jc w:val="left"/>
            </w:pPr>
            <w:r/>
            <w:r>
              <w:rPr>
                <w:rFonts w:ascii="Calibri" w:hAnsi="Calibri"/>
                <w:b w:val="0"/>
                <w:color w:val="222222"/>
                <w:sz w:val="21"/>
              </w:rPr>
              <w:t>Không tự bao gồm sửa lương, đổi trạng thái hay điều chuyển nếu chưa bật quyền chi tiết.</w:t>
            </w:r>
          </w:p>
        </w:tc>
      </w:tr>
      <w:tr>
        <w:tc>
          <w:tcPr>
            <w:tcW w:type="dxa" w:w="1701"/>
            <w:vAlign w:val="center"/>
          </w:tcPr>
          <w:p>
            <w:pPr>
              <w:spacing w:after="40" w:before="0"/>
              <w:jc w:val="left"/>
            </w:pPr>
            <w:r/>
            <w:r>
              <w:rPr>
                <w:rFonts w:ascii="Calibri" w:hAnsi="Calibri"/>
                <w:b w:val="0"/>
                <w:color w:val="222222"/>
                <w:sz w:val="21"/>
              </w:rPr>
              <w:t>Xem lương &amp; BHXH</w:t>
            </w:r>
          </w:p>
        </w:tc>
        <w:tc>
          <w:tcPr>
            <w:tcW w:type="dxa" w:w="2835"/>
            <w:vAlign w:val="center"/>
          </w:tcPr>
          <w:p>
            <w:pPr>
              <w:spacing w:after="40" w:before="0"/>
              <w:jc w:val="left"/>
            </w:pPr>
            <w:r/>
            <w:r>
              <w:rPr>
                <w:rFonts w:ascii="Calibri" w:hAnsi="Calibri"/>
                <w:b w:val="0"/>
                <w:color w:val="222222"/>
                <w:sz w:val="21"/>
              </w:rPr>
              <w:t>Hiện tab Lương &amp; BHXH trong hồ sơ nhân sự; cho xem số sổ BHXH, MST cá nhân, người phụ thuộc, tài khoản ngân hàng, hoa hồng và các dữ liệu nhạy cảm liên quan.</w:t>
            </w:r>
          </w:p>
        </w:tc>
        <w:tc>
          <w:tcPr>
            <w:tcW w:type="dxa" w:w="2835"/>
            <w:vAlign w:val="center"/>
          </w:tcPr>
          <w:p>
            <w:pPr>
              <w:spacing w:after="40" w:before="0"/>
              <w:jc w:val="left"/>
            </w:pPr>
            <w:r/>
            <w:r>
              <w:rPr>
                <w:rFonts w:ascii="Calibri" w:hAnsi="Calibri"/>
                <w:b w:val="0"/>
                <w:color w:val="222222"/>
                <w:sz w:val="21"/>
              </w:rPr>
              <w:t>Dùng khi cần đọc dữ liệu nhạy cảm để kiểm tra hồ sơ hoặc đối chiếu lương.</w:t>
            </w:r>
          </w:p>
        </w:tc>
        <w:tc>
          <w:tcPr>
            <w:tcW w:type="dxa" w:w="1984"/>
            <w:vAlign w:val="center"/>
          </w:tcPr>
          <w:p>
            <w:pPr>
              <w:spacing w:after="40" w:before="0"/>
              <w:jc w:val="left"/>
            </w:pPr>
            <w:r/>
            <w:r>
              <w:rPr>
                <w:rFonts w:ascii="Calibri" w:hAnsi="Calibri"/>
                <w:b w:val="0"/>
                <w:color w:val="222222"/>
                <w:sz w:val="21"/>
              </w:rPr>
              <w:t>Nên cấp hạn chế vì đây là nhóm dữ liệu nhạy cảm.</w:t>
            </w:r>
          </w:p>
        </w:tc>
      </w:tr>
      <w:tr>
        <w:tc>
          <w:tcPr>
            <w:tcW w:type="dxa" w:w="1701"/>
            <w:vAlign w:val="center"/>
          </w:tcPr>
          <w:p>
            <w:pPr>
              <w:spacing w:after="40" w:before="0"/>
              <w:jc w:val="left"/>
            </w:pPr>
            <w:r/>
            <w:r>
              <w:rPr>
                <w:rFonts w:ascii="Calibri" w:hAnsi="Calibri"/>
                <w:b w:val="0"/>
                <w:color w:val="222222"/>
                <w:sz w:val="21"/>
              </w:rPr>
              <w:t>Sửa lương &amp; BHXH</w:t>
            </w:r>
          </w:p>
        </w:tc>
        <w:tc>
          <w:tcPr>
            <w:tcW w:type="dxa" w:w="2835"/>
            <w:vAlign w:val="center"/>
          </w:tcPr>
          <w:p>
            <w:pPr>
              <w:spacing w:after="40" w:before="0"/>
              <w:jc w:val="left"/>
            </w:pPr>
            <w:r/>
            <w:r>
              <w:rPr>
                <w:rFonts w:ascii="Calibri" w:hAnsi="Calibri"/>
                <w:b w:val="0"/>
                <w:color w:val="222222"/>
                <w:sz w:val="21"/>
              </w:rPr>
              <w:t>Bật được chế độ sửa trong tab Lương &amp; BHXH và hiện bước Lương khi tạo nhân viên mới.</w:t>
            </w:r>
          </w:p>
        </w:tc>
        <w:tc>
          <w:tcPr>
            <w:tcW w:type="dxa" w:w="2835"/>
            <w:vAlign w:val="center"/>
          </w:tcPr>
          <w:p>
            <w:pPr>
              <w:spacing w:after="40" w:before="0"/>
              <w:jc w:val="left"/>
            </w:pPr>
            <w:r/>
            <w:r>
              <w:rPr>
                <w:rFonts w:ascii="Calibri" w:hAnsi="Calibri"/>
                <w:b w:val="0"/>
                <w:color w:val="222222"/>
                <w:sz w:val="21"/>
              </w:rPr>
              <w:t>Khai ban đầu hoặc cập nhật số sổ BHXH, MST, người phụ thuộc, tài khoản ngân hàng, lương khởi tạo và các trường nhạy cảm mà backend cho phép.</w:t>
            </w:r>
          </w:p>
        </w:tc>
        <w:tc>
          <w:tcPr>
            <w:tcW w:type="dxa" w:w="1984"/>
            <w:vAlign w:val="center"/>
          </w:tcPr>
          <w:p>
            <w:pPr>
              <w:spacing w:after="40" w:before="0"/>
              <w:jc w:val="left"/>
            </w:pPr>
            <w:r/>
            <w:r>
              <w:rPr>
                <w:rFonts w:ascii="Calibri" w:hAnsi="Calibri"/>
                <w:b w:val="0"/>
                <w:color w:val="222222"/>
                <w:sz w:val="21"/>
              </w:rPr>
              <w:t>Quyền này phải đi cùng quyền xem lương; khi tắt Xem lương thì quyền sửa cũng bị tắt theo.</w:t>
            </w:r>
          </w:p>
        </w:tc>
      </w:tr>
      <w:tr>
        <w:tc>
          <w:tcPr>
            <w:tcW w:type="dxa" w:w="1701"/>
            <w:vAlign w:val="center"/>
          </w:tcPr>
          <w:p>
            <w:pPr>
              <w:spacing w:after="40" w:before="0"/>
              <w:jc w:val="left"/>
            </w:pPr>
            <w:r/>
            <w:r>
              <w:rPr>
                <w:rFonts w:ascii="Calibri" w:hAnsi="Calibri"/>
                <w:b w:val="0"/>
                <w:color w:val="222222"/>
                <w:sz w:val="21"/>
              </w:rPr>
              <w:t>Thao tác vòng đời</w:t>
            </w:r>
          </w:p>
        </w:tc>
        <w:tc>
          <w:tcPr>
            <w:tcW w:type="dxa" w:w="2835"/>
            <w:vAlign w:val="center"/>
          </w:tcPr>
          <w:p>
            <w:pPr>
              <w:spacing w:after="40" w:before="0"/>
              <w:jc w:val="left"/>
            </w:pPr>
            <w:r/>
            <w:r>
              <w:rPr>
                <w:rFonts w:ascii="Calibri" w:hAnsi="Calibri"/>
                <w:b w:val="0"/>
                <w:color w:val="222222"/>
                <w:sz w:val="21"/>
              </w:rPr>
              <w:t>Hiện các nút chuyển chính thức, cho nghỉ dài hạn, đi làm lại, đình chỉ, thôi việc, tuyển lại trong menu Thao tác hồ sơ.</w:t>
            </w:r>
          </w:p>
        </w:tc>
        <w:tc>
          <w:tcPr>
            <w:tcW w:type="dxa" w:w="2835"/>
            <w:vAlign w:val="center"/>
          </w:tcPr>
          <w:p>
            <w:pPr>
              <w:spacing w:after="40" w:before="0"/>
              <w:jc w:val="left"/>
            </w:pPr>
            <w:r/>
            <w:r>
              <w:rPr>
                <w:rFonts w:ascii="Calibri" w:hAnsi="Calibri"/>
                <w:b w:val="0"/>
                <w:color w:val="222222"/>
                <w:sz w:val="21"/>
              </w:rPr>
              <w:t>Quản lý trạng thái làm việc của nhân viên theo thực tế ngoài đời.</w:t>
            </w:r>
          </w:p>
        </w:tc>
        <w:tc>
          <w:tcPr>
            <w:tcW w:type="dxa" w:w="1984"/>
            <w:vAlign w:val="center"/>
          </w:tcPr>
          <w:p>
            <w:pPr>
              <w:spacing w:after="40" w:before="0"/>
              <w:jc w:val="left"/>
            </w:pPr>
            <w:r/>
            <w:r>
              <w:rPr>
                <w:rFonts w:ascii="Calibri" w:hAnsi="Calibri"/>
                <w:b w:val="0"/>
                <w:color w:val="222222"/>
                <w:sz w:val="21"/>
              </w:rPr>
              <w:t>Mỗi thao tác đều sinh mốc trong quá trình công tác để truy vết lịch sử.</w:t>
            </w:r>
          </w:p>
        </w:tc>
      </w:tr>
      <w:tr>
        <w:tc>
          <w:tcPr>
            <w:tcW w:type="dxa" w:w="1701"/>
            <w:vAlign w:val="center"/>
          </w:tcPr>
          <w:p>
            <w:pPr>
              <w:spacing w:after="40" w:before="0"/>
              <w:jc w:val="left"/>
            </w:pPr>
            <w:r/>
            <w:r>
              <w:rPr>
                <w:rFonts w:ascii="Calibri" w:hAnsi="Calibri"/>
                <w:b w:val="0"/>
                <w:color w:val="222222"/>
                <w:sz w:val="21"/>
              </w:rPr>
              <w:t>Điều chuyển &amp; nâng bậc</w:t>
            </w:r>
          </w:p>
        </w:tc>
        <w:tc>
          <w:tcPr>
            <w:tcW w:type="dxa" w:w="2835"/>
            <w:vAlign w:val="center"/>
          </w:tcPr>
          <w:p>
            <w:pPr>
              <w:spacing w:after="40" w:before="0"/>
              <w:jc w:val="left"/>
            </w:pPr>
            <w:r/>
            <w:r>
              <w:rPr>
                <w:rFonts w:ascii="Calibri" w:hAnsi="Calibri"/>
                <w:b w:val="0"/>
                <w:color w:val="222222"/>
                <w:sz w:val="21"/>
              </w:rPr>
              <w:t>Hiện các nút Điều chuyển phòng/tổ và Nâng bậc / Đổi chức danh trong menu Thao tác hồ sơ.</w:t>
            </w:r>
          </w:p>
        </w:tc>
        <w:tc>
          <w:tcPr>
            <w:tcW w:type="dxa" w:w="2835"/>
            <w:vAlign w:val="center"/>
          </w:tcPr>
          <w:p>
            <w:pPr>
              <w:spacing w:after="40" w:before="0"/>
              <w:jc w:val="left"/>
            </w:pPr>
            <w:r/>
            <w:r>
              <w:rPr>
                <w:rFonts w:ascii="Calibri" w:hAnsi="Calibri"/>
                <w:b w:val="0"/>
                <w:color w:val="222222"/>
                <w:sz w:val="21"/>
              </w:rPr>
              <w:t>Đổi phòng ban, đổi bậc tay nghề, đổi chức danh của nhân viên.</w:t>
            </w:r>
          </w:p>
        </w:tc>
        <w:tc>
          <w:tcPr>
            <w:tcW w:type="dxa" w:w="1984"/>
            <w:vAlign w:val="center"/>
          </w:tcPr>
          <w:p>
            <w:pPr>
              <w:spacing w:after="40" w:before="0"/>
              <w:jc w:val="left"/>
            </w:pPr>
            <w:r/>
            <w:r>
              <w:rPr>
                <w:rFonts w:ascii="Calibri" w:hAnsi="Calibri"/>
                <w:b w:val="0"/>
                <w:color w:val="222222"/>
                <w:sz w:val="21"/>
              </w:rPr>
              <w:t>Không dùng quyền này để sửa tiền lương; đổi tiền lương làm ở phân hệ Lương.</w:t>
            </w:r>
          </w:p>
        </w:tc>
      </w:tr>
      <w:tr>
        <w:tc>
          <w:tcPr>
            <w:tcW w:type="dxa" w:w="1701"/>
            <w:vAlign w:val="center"/>
          </w:tcPr>
          <w:p>
            <w:pPr>
              <w:spacing w:after="40" w:before="0"/>
              <w:jc w:val="left"/>
            </w:pPr>
            <w:r/>
            <w:r>
              <w:rPr>
                <w:rFonts w:ascii="Calibri" w:hAnsi="Calibri"/>
                <w:b w:val="0"/>
                <w:color w:val="222222"/>
                <w:sz w:val="21"/>
              </w:rPr>
              <w:t>Duyệt yêu cầu cập nhật</w:t>
            </w:r>
          </w:p>
        </w:tc>
        <w:tc>
          <w:tcPr>
            <w:tcW w:type="dxa" w:w="2835"/>
            <w:vAlign w:val="center"/>
          </w:tcPr>
          <w:p>
            <w:pPr>
              <w:spacing w:after="40" w:before="0"/>
              <w:jc w:val="left"/>
            </w:pPr>
            <w:r/>
            <w:r>
              <w:rPr>
                <w:rFonts w:ascii="Calibri" w:hAnsi="Calibri"/>
                <w:b w:val="0"/>
                <w:color w:val="222222"/>
                <w:sz w:val="21"/>
              </w:rPr>
              <w:t>Hiện danh sách Yêu cầu cập nhật của nhân viên và nút duyệt/từ chối.</w:t>
            </w:r>
          </w:p>
        </w:tc>
        <w:tc>
          <w:tcPr>
            <w:tcW w:type="dxa" w:w="2835"/>
            <w:vAlign w:val="center"/>
          </w:tcPr>
          <w:p>
            <w:pPr>
              <w:spacing w:after="40" w:before="0"/>
              <w:jc w:val="left"/>
            </w:pPr>
            <w:r/>
            <w:r>
              <w:rPr>
                <w:rFonts w:ascii="Calibri" w:hAnsi="Calibri"/>
                <w:b w:val="0"/>
                <w:color w:val="222222"/>
                <w:sz w:val="21"/>
              </w:rPr>
              <w:t>Dùng để HCNS duyệt các yêu cầu nhân viên tự gửi từ Hồ sơ của tôi.</w:t>
            </w:r>
          </w:p>
        </w:tc>
        <w:tc>
          <w:tcPr>
            <w:tcW w:type="dxa" w:w="1984"/>
            <w:vAlign w:val="center"/>
          </w:tcPr>
          <w:p>
            <w:pPr>
              <w:spacing w:after="40" w:before="0"/>
              <w:jc w:val="left"/>
            </w:pPr>
            <w:r/>
            <w:r>
              <w:rPr>
                <w:rFonts w:ascii="Calibri" w:hAnsi="Calibri"/>
                <w:b w:val="0"/>
                <w:color w:val="222222"/>
                <w:sz w:val="21"/>
              </w:rPr>
              <w:t>Nếu người duyệt không có quyền sửa lương thì backend cũng không cho ghi đè nhóm field nhạy cảm.</w:t>
            </w:r>
          </w:p>
        </w:tc>
      </w:tr>
      <w:tr>
        <w:tc>
          <w:tcPr>
            <w:tcW w:type="dxa" w:w="1701"/>
            <w:vAlign w:val="center"/>
          </w:tcPr>
          <w:p>
            <w:pPr>
              <w:spacing w:after="40" w:before="0"/>
              <w:jc w:val="left"/>
            </w:pPr>
            <w:r/>
            <w:r>
              <w:rPr>
                <w:rFonts w:ascii="Calibri" w:hAnsi="Calibri"/>
                <w:b w:val="0"/>
                <w:color w:val="222222"/>
                <w:sz w:val="21"/>
              </w:rPr>
              <w:t>Xuất Excel danh sách</w:t>
            </w:r>
          </w:p>
        </w:tc>
        <w:tc>
          <w:tcPr>
            <w:tcW w:type="dxa" w:w="2835"/>
            <w:vAlign w:val="center"/>
          </w:tcPr>
          <w:p>
            <w:pPr>
              <w:spacing w:after="40" w:before="0"/>
              <w:jc w:val="left"/>
            </w:pPr>
            <w:r/>
            <w:r>
              <w:rPr>
                <w:rFonts w:ascii="Calibri" w:hAnsi="Calibri"/>
                <w:b w:val="0"/>
                <w:color w:val="222222"/>
                <w:sz w:val="21"/>
              </w:rPr>
              <w:t>Hiện nút xuất danh sách nhân viên ra file.</w:t>
            </w:r>
          </w:p>
        </w:tc>
        <w:tc>
          <w:tcPr>
            <w:tcW w:type="dxa" w:w="2835"/>
            <w:vAlign w:val="center"/>
          </w:tcPr>
          <w:p>
            <w:pPr>
              <w:spacing w:after="40" w:before="0"/>
              <w:jc w:val="left"/>
            </w:pPr>
            <w:r/>
            <w:r>
              <w:rPr>
                <w:rFonts w:ascii="Calibri" w:hAnsi="Calibri"/>
                <w:b w:val="0"/>
                <w:color w:val="222222"/>
                <w:sz w:val="21"/>
              </w:rPr>
              <w:t>Phục vụ báo cáo nhanh, kiểm tra hoặc gửi nội bộ.</w:t>
            </w:r>
          </w:p>
        </w:tc>
        <w:tc>
          <w:tcPr>
            <w:tcW w:type="dxa" w:w="1984"/>
            <w:vAlign w:val="center"/>
          </w:tcPr>
          <w:p>
            <w:pPr>
              <w:spacing w:after="40" w:before="0"/>
              <w:jc w:val="left"/>
            </w:pPr>
            <w:r/>
            <w:r>
              <w:rPr>
                <w:rFonts w:ascii="Calibri" w:hAnsi="Calibri"/>
                <w:b w:val="0"/>
                <w:color w:val="222222"/>
                <w:sz w:val="21"/>
              </w:rPr>
              <w:t>Nên cấp cho người thật sự cần kéo dữ liệu ra ngoài hệ thống.</w:t>
            </w:r>
          </w:p>
        </w:tc>
      </w:tr>
      <w:tr>
        <w:tc>
          <w:tcPr>
            <w:tcW w:type="dxa" w:w="1701"/>
            <w:vAlign w:val="center"/>
          </w:tcPr>
          <w:p>
            <w:pPr>
              <w:spacing w:after="40" w:before="0"/>
              <w:jc w:val="left"/>
            </w:pPr>
            <w:r/>
            <w:r>
              <w:rPr>
                <w:rFonts w:ascii="Calibri" w:hAnsi="Calibri"/>
                <w:b w:val="0"/>
                <w:color w:val="222222"/>
                <w:sz w:val="21"/>
              </w:rPr>
              <w:t>Chấm bù / sửa công</w:t>
            </w:r>
          </w:p>
        </w:tc>
        <w:tc>
          <w:tcPr>
            <w:tcW w:type="dxa" w:w="2835"/>
            <w:vAlign w:val="center"/>
          </w:tcPr>
          <w:p>
            <w:pPr>
              <w:spacing w:after="40" w:before="0"/>
              <w:jc w:val="left"/>
            </w:pPr>
            <w:r/>
            <w:r>
              <w:rPr>
                <w:rFonts w:ascii="Calibri" w:hAnsi="Calibri"/>
                <w:b w:val="0"/>
                <w:color w:val="222222"/>
                <w:sz w:val="21"/>
              </w:rPr>
              <w:t>Hiện các thao tác sửa công, chấm bù hoặc điều chỉnh chấm công ở các màn liên quan.</w:t>
            </w:r>
          </w:p>
        </w:tc>
        <w:tc>
          <w:tcPr>
            <w:tcW w:type="dxa" w:w="2835"/>
            <w:vAlign w:val="center"/>
          </w:tcPr>
          <w:p>
            <w:pPr>
              <w:spacing w:after="40" w:before="0"/>
              <w:jc w:val="left"/>
            </w:pPr>
            <w:r/>
            <w:r>
              <w:rPr>
                <w:rFonts w:ascii="Calibri" w:hAnsi="Calibri"/>
                <w:b w:val="0"/>
                <w:color w:val="222222"/>
                <w:sz w:val="21"/>
              </w:rPr>
              <w:t>Dùng khi dữ liệu chấm công thực tế cần hiệu chỉnh có kiểm soát.</w:t>
            </w:r>
          </w:p>
        </w:tc>
        <w:tc>
          <w:tcPr>
            <w:tcW w:type="dxa" w:w="1984"/>
            <w:vAlign w:val="center"/>
          </w:tcPr>
          <w:p>
            <w:pPr>
              <w:spacing w:after="40" w:before="0"/>
              <w:jc w:val="left"/>
            </w:pPr>
            <w:r/>
            <w:r>
              <w:rPr>
                <w:rFonts w:ascii="Calibri" w:hAnsi="Calibri"/>
                <w:b w:val="0"/>
                <w:color w:val="222222"/>
                <w:sz w:val="21"/>
              </w:rPr>
              <w:t>Quyền này ảnh hưởng gián tiếp đến lương nên nên cấp hạn chế.</w:t>
            </w:r>
          </w:p>
        </w:tc>
      </w:tr>
    </w:tbl>
    <w:p>
      <w:pPr>
        <w:pStyle w:val="Heading2"/>
        <w:spacing w:before="200" w:after="80"/>
      </w:pPr>
      <w:r>
        <w:rPr>
          <w:rFonts w:ascii="Calibri" w:hAnsi="Calibri"/>
          <w:b/>
          <w:color w:val="2E74B5"/>
          <w:sz w:val="26"/>
        </w:rPr>
        <w:t>5.4. Quyền chi tiết của nhóm Lương</w:t>
      </w:r>
    </w:p>
    <w:p>
      <w:pPr>
        <w:pStyle w:val="Heading3"/>
        <w:spacing w:before="200" w:after="80"/>
      </w:pPr>
      <w:r>
        <w:rPr>
          <w:rFonts w:ascii="Calibri" w:hAnsi="Calibri"/>
          <w:b/>
          <w:color w:val="1F4D78"/>
          <w:sz w:val="24"/>
        </w:rPr>
        <w:t>5.4.1. Module Lương</w:t>
      </w:r>
    </w:p>
    <w:p>
      <w:pPr>
        <w:spacing w:after="120" w:line="276" w:lineRule="auto"/>
      </w:pPr>
      <w:r>
        <w:rPr>
          <w:rFonts w:ascii="Calibri" w:hAnsi="Calibri"/>
          <w:i w:val="0"/>
          <w:color w:val="222222"/>
          <w:sz w:val="22"/>
        </w:rPr>
        <w:t>Nhóm quyền này điều khiển việc nhìn bảng lương, vận hành lương, duyệt tạm ứng, chốt kỳ và xuất file chi lương.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Lương xuất hiện; mở được Bảng lương tháng và Tạm ứng để xem dữ liệu trong phạm vi cho phép.</w:t>
            </w:r>
          </w:p>
        </w:tc>
        <w:tc>
          <w:tcPr>
            <w:tcW w:type="dxa" w:w="2835"/>
            <w:vAlign w:val="center"/>
          </w:tcPr>
          <w:p>
            <w:pPr>
              <w:spacing w:after="40" w:before="0"/>
              <w:jc w:val="left"/>
            </w:pPr>
            <w:r/>
            <w:r>
              <w:rPr>
                <w:rFonts w:ascii="Calibri" w:hAnsi="Calibri"/>
                <w:b w:val="0"/>
                <w:color w:val="222222"/>
                <w:sz w:val="21"/>
              </w:rPr>
              <w:t>Theo dõi bảng lương, xem các dòng lương, xem danh sách tạm ứng mà chưa cần sửa hay chốt.</w:t>
            </w:r>
          </w:p>
        </w:tc>
        <w:tc>
          <w:tcPr>
            <w:tcW w:type="dxa" w:w="1984"/>
            <w:vAlign w:val="center"/>
          </w:tcPr>
          <w:p>
            <w:pPr>
              <w:spacing w:after="40" w:before="0"/>
              <w:jc w:val="left"/>
            </w:pPr>
            <w:r/>
            <w:r>
              <w:rPr>
                <w:rFonts w:ascii="Calibri" w:hAnsi="Calibri"/>
                <w:b w:val="0"/>
                <w:color w:val="222222"/>
                <w:sz w:val="21"/>
              </w:rPr>
              <w:t>Chỉ có Xem thì chưa mở được tab Lương nhân viên hay thao tác sửa sâu.</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tab Lương nhân viên, Lương khoán và các nút sửa dữ liệu lương ở nơi phù hợp.</w:t>
            </w:r>
          </w:p>
        </w:tc>
        <w:tc>
          <w:tcPr>
            <w:tcW w:type="dxa" w:w="2835"/>
            <w:vAlign w:val="center"/>
          </w:tcPr>
          <w:p>
            <w:pPr>
              <w:spacing w:after="40" w:before="0"/>
              <w:jc w:val="left"/>
            </w:pPr>
            <w:r/>
            <w:r>
              <w:rPr>
                <w:rFonts w:ascii="Calibri" w:hAnsi="Calibri"/>
                <w:b w:val="0"/>
                <w:color w:val="222222"/>
                <w:sz w:val="21"/>
              </w:rPr>
              <w:t>Tính lại bảng lương nháp, sửa dòng lương, khai hồ sơ lương từng người, cập nhật dữ liệu vận hành lương.</w:t>
            </w:r>
          </w:p>
        </w:tc>
        <w:tc>
          <w:tcPr>
            <w:tcW w:type="dxa" w:w="1984"/>
            <w:vAlign w:val="center"/>
          </w:tcPr>
          <w:p>
            <w:pPr>
              <w:spacing w:after="40" w:before="0"/>
              <w:jc w:val="left"/>
            </w:pPr>
            <w:r/>
            <w:r>
              <w:rPr>
                <w:rFonts w:ascii="Calibri" w:hAnsi="Calibri"/>
                <w:b w:val="0"/>
                <w:color w:val="222222"/>
                <w:sz w:val="21"/>
              </w:rPr>
              <w:t>Đây là quyền vận hành mạnh, thường cấp cho C&amp;B hoặc người trực tiếp làm lương.</w:t>
            </w:r>
          </w:p>
        </w:tc>
      </w:tr>
      <w:tr>
        <w:tc>
          <w:tcPr>
            <w:tcW w:type="dxa" w:w="1701"/>
            <w:vAlign w:val="center"/>
          </w:tcPr>
          <w:p>
            <w:pPr>
              <w:spacing w:after="40" w:before="0"/>
              <w:jc w:val="left"/>
            </w:pPr>
            <w:r/>
            <w:r>
              <w:rPr>
                <w:rFonts w:ascii="Calibri" w:hAnsi="Calibri"/>
                <w:b w:val="0"/>
                <w:color w:val="222222"/>
                <w:sz w:val="21"/>
              </w:rPr>
              <w:t>Xem cấu hình lương</w:t>
            </w:r>
          </w:p>
        </w:tc>
        <w:tc>
          <w:tcPr>
            <w:tcW w:type="dxa" w:w="2835"/>
            <w:vAlign w:val="center"/>
          </w:tcPr>
          <w:p>
            <w:pPr>
              <w:spacing w:after="40" w:before="0"/>
              <w:jc w:val="left"/>
            </w:pPr>
            <w:r/>
            <w:r>
              <w:rPr>
                <w:rFonts w:ascii="Calibri" w:hAnsi="Calibri"/>
                <w:b w:val="0"/>
                <w:color w:val="222222"/>
                <w:sz w:val="21"/>
              </w:rPr>
              <w:t>Hiện tab Cấu hình lương ngay cả khi người dùng không có quyền sửa vận hành lương.</w:t>
            </w:r>
          </w:p>
        </w:tc>
        <w:tc>
          <w:tcPr>
            <w:tcW w:type="dxa" w:w="2835"/>
            <w:vAlign w:val="center"/>
          </w:tcPr>
          <w:p>
            <w:pPr>
              <w:spacing w:after="40" w:before="0"/>
              <w:jc w:val="left"/>
            </w:pPr>
            <w:r/>
            <w:r>
              <w:rPr>
                <w:rFonts w:ascii="Calibri" w:hAnsi="Calibri"/>
                <w:b w:val="0"/>
                <w:color w:val="222222"/>
                <w:sz w:val="21"/>
              </w:rPr>
              <w:t>Cho xem các tham số, thuế, bảo hiểm, cấu hình theo bộ phận để kiểm tra hoặc đối chiếu.</w:t>
            </w:r>
          </w:p>
        </w:tc>
        <w:tc>
          <w:tcPr>
            <w:tcW w:type="dxa" w:w="1984"/>
            <w:vAlign w:val="center"/>
          </w:tcPr>
          <w:p>
            <w:pPr>
              <w:spacing w:after="40" w:before="0"/>
              <w:jc w:val="left"/>
            </w:pPr>
            <w:r/>
            <w:r>
              <w:rPr>
                <w:rFonts w:ascii="Calibri" w:hAnsi="Calibri"/>
                <w:b w:val="0"/>
                <w:color w:val="222222"/>
                <w:sz w:val="21"/>
              </w:rPr>
              <w:t>Chỉ xem, không tự lưu thay đổi nếu thiếu quyền Thao tác.</w:t>
            </w:r>
          </w:p>
        </w:tc>
      </w:tr>
      <w:tr>
        <w:tc>
          <w:tcPr>
            <w:tcW w:type="dxa" w:w="1701"/>
            <w:vAlign w:val="center"/>
          </w:tcPr>
          <w:p>
            <w:pPr>
              <w:spacing w:after="40" w:before="0"/>
              <w:jc w:val="left"/>
            </w:pPr>
            <w:r/>
            <w:r>
              <w:rPr>
                <w:rFonts w:ascii="Calibri" w:hAnsi="Calibri"/>
                <w:b w:val="0"/>
                <w:color w:val="222222"/>
                <w:sz w:val="21"/>
              </w:rPr>
              <w:t>Duyệt tạm ứng</w:t>
            </w:r>
          </w:p>
        </w:tc>
        <w:tc>
          <w:tcPr>
            <w:tcW w:type="dxa" w:w="2835"/>
            <w:vAlign w:val="center"/>
          </w:tcPr>
          <w:p>
            <w:pPr>
              <w:spacing w:after="40" w:before="0"/>
              <w:jc w:val="left"/>
            </w:pPr>
            <w:r/>
            <w:r>
              <w:rPr>
                <w:rFonts w:ascii="Calibri" w:hAnsi="Calibri"/>
                <w:b w:val="0"/>
                <w:color w:val="222222"/>
                <w:sz w:val="21"/>
              </w:rPr>
              <w:t>Hiện các nút Duyệt, Từ chối, Hủy trên danh sách phiếu tạm ứng và hiện badge chờ duyệt.</w:t>
            </w:r>
          </w:p>
        </w:tc>
        <w:tc>
          <w:tcPr>
            <w:tcW w:type="dxa" w:w="2835"/>
            <w:vAlign w:val="center"/>
          </w:tcPr>
          <w:p>
            <w:pPr>
              <w:spacing w:after="40" w:before="0"/>
              <w:jc w:val="left"/>
            </w:pPr>
            <w:r/>
            <w:r>
              <w:rPr>
                <w:rFonts w:ascii="Calibri" w:hAnsi="Calibri"/>
                <w:b w:val="0"/>
                <w:color w:val="222222"/>
                <w:sz w:val="21"/>
              </w:rPr>
              <w:t>Quyết định phiếu tạm ứng nào hợp lệ để đưa vào phần khấu trừ lương.</w:t>
            </w:r>
          </w:p>
        </w:tc>
        <w:tc>
          <w:tcPr>
            <w:tcW w:type="dxa" w:w="1984"/>
            <w:vAlign w:val="center"/>
          </w:tcPr>
          <w:p>
            <w:pPr>
              <w:spacing w:after="40" w:before="0"/>
              <w:jc w:val="left"/>
            </w:pPr>
            <w:r/>
            <w:r>
              <w:rPr>
                <w:rFonts w:ascii="Calibri" w:hAnsi="Calibri"/>
                <w:b w:val="0"/>
                <w:color w:val="222222"/>
                <w:sz w:val="21"/>
              </w:rPr>
              <w:t>Tách riêng với quyền tạo phiếu để giữ kiểm soát 2 bước.</w:t>
            </w:r>
          </w:p>
        </w:tc>
      </w:tr>
      <w:tr>
        <w:tc>
          <w:tcPr>
            <w:tcW w:type="dxa" w:w="1701"/>
            <w:vAlign w:val="center"/>
          </w:tcPr>
          <w:p>
            <w:pPr>
              <w:spacing w:after="40" w:before="0"/>
              <w:jc w:val="left"/>
            </w:pPr>
            <w:r/>
            <w:r>
              <w:rPr>
                <w:rFonts w:ascii="Calibri" w:hAnsi="Calibri"/>
                <w:b w:val="0"/>
                <w:color w:val="222222"/>
                <w:sz w:val="21"/>
              </w:rPr>
              <w:t>Chốt kỳ lương</w:t>
            </w:r>
          </w:p>
        </w:tc>
        <w:tc>
          <w:tcPr>
            <w:tcW w:type="dxa" w:w="2835"/>
            <w:vAlign w:val="center"/>
          </w:tcPr>
          <w:p>
            <w:pPr>
              <w:spacing w:after="40" w:before="0"/>
              <w:jc w:val="left"/>
            </w:pPr>
            <w:r/>
            <w:r>
              <w:rPr>
                <w:rFonts w:ascii="Calibri" w:hAnsi="Calibri"/>
                <w:b w:val="0"/>
                <w:color w:val="222222"/>
                <w:sz w:val="21"/>
              </w:rPr>
              <w:t>Hiện các nút Chốt, Mở lại, Đã chi, Hủy đã chi trên bảng lương tháng.</w:t>
            </w:r>
          </w:p>
        </w:tc>
        <w:tc>
          <w:tcPr>
            <w:tcW w:type="dxa" w:w="2835"/>
            <w:vAlign w:val="center"/>
          </w:tcPr>
          <w:p>
            <w:pPr>
              <w:spacing w:after="40" w:before="0"/>
              <w:jc w:val="left"/>
            </w:pPr>
            <w:r/>
            <w:r>
              <w:rPr>
                <w:rFonts w:ascii="Calibri" w:hAnsi="Calibri"/>
                <w:b w:val="0"/>
                <w:color w:val="222222"/>
                <w:sz w:val="21"/>
              </w:rPr>
              <w:t>Khóa số liệu lương của tháng và xác nhận trạng thái chi trả.</w:t>
            </w:r>
          </w:p>
        </w:tc>
        <w:tc>
          <w:tcPr>
            <w:tcW w:type="dxa" w:w="1984"/>
            <w:vAlign w:val="center"/>
          </w:tcPr>
          <w:p>
            <w:pPr>
              <w:spacing w:after="40" w:before="0"/>
              <w:jc w:val="left"/>
            </w:pPr>
            <w:r/>
            <w:r>
              <w:rPr>
                <w:rFonts w:ascii="Calibri" w:hAnsi="Calibri"/>
                <w:b w:val="0"/>
                <w:color w:val="222222"/>
                <w:sz w:val="21"/>
              </w:rPr>
              <w:t>Chỉ nên cấp cho người chịu trách nhiệm chốt cuối cùng vì đây là mốc nghiệp vụ quan trọng.</w:t>
            </w:r>
          </w:p>
        </w:tc>
      </w:tr>
      <w:tr>
        <w:tc>
          <w:tcPr>
            <w:tcW w:type="dxa" w:w="1701"/>
            <w:vAlign w:val="center"/>
          </w:tcPr>
          <w:p>
            <w:pPr>
              <w:spacing w:after="40" w:before="0"/>
              <w:jc w:val="left"/>
            </w:pPr>
            <w:r/>
            <w:r>
              <w:rPr>
                <w:rFonts w:ascii="Calibri" w:hAnsi="Calibri"/>
                <w:b w:val="0"/>
                <w:color w:val="222222"/>
                <w:sz w:val="21"/>
              </w:rPr>
              <w:t>Xuất bảng lương / file chuyển khoản</w:t>
            </w:r>
          </w:p>
        </w:tc>
        <w:tc>
          <w:tcPr>
            <w:tcW w:type="dxa" w:w="2835"/>
            <w:vAlign w:val="center"/>
          </w:tcPr>
          <w:p>
            <w:pPr>
              <w:spacing w:after="40" w:before="0"/>
              <w:jc w:val="left"/>
            </w:pPr>
            <w:r/>
            <w:r>
              <w:rPr>
                <w:rFonts w:ascii="Calibri" w:hAnsi="Calibri"/>
                <w:b w:val="0"/>
                <w:color w:val="222222"/>
                <w:sz w:val="21"/>
              </w:rPr>
              <w:t>Hiện nút Xuất Excel và File chuyển khoản ngân hàng.</w:t>
            </w:r>
          </w:p>
        </w:tc>
        <w:tc>
          <w:tcPr>
            <w:tcW w:type="dxa" w:w="2835"/>
            <w:vAlign w:val="center"/>
          </w:tcPr>
          <w:p>
            <w:pPr>
              <w:spacing w:after="40" w:before="0"/>
              <w:jc w:val="left"/>
            </w:pPr>
            <w:r/>
            <w:r>
              <w:rPr>
                <w:rFonts w:ascii="Calibri" w:hAnsi="Calibri"/>
                <w:b w:val="0"/>
                <w:color w:val="222222"/>
                <w:sz w:val="21"/>
              </w:rPr>
              <w:t>Dùng để gửi kế toán hoặc tạo file chi lương qua ngân hàng.</w:t>
            </w:r>
          </w:p>
        </w:tc>
        <w:tc>
          <w:tcPr>
            <w:tcW w:type="dxa" w:w="1984"/>
            <w:vAlign w:val="center"/>
          </w:tcPr>
          <w:p>
            <w:pPr>
              <w:spacing w:after="40" w:before="0"/>
              <w:jc w:val="left"/>
            </w:pPr>
            <w:r/>
            <w:r>
              <w:rPr>
                <w:rFonts w:ascii="Calibri" w:hAnsi="Calibri"/>
                <w:b w:val="0"/>
                <w:color w:val="222222"/>
                <w:sz w:val="21"/>
              </w:rPr>
              <w:t>Nên cấp riêng thay vì mặc định ai xem lương cũng được xuất file.</w:t>
            </w:r>
          </w:p>
        </w:tc>
      </w:tr>
    </w:tbl>
    <w:p>
      <w:pPr>
        <w:spacing w:after="120" w:line="276" w:lineRule="auto"/>
      </w:pPr>
      <w:r>
        <w:rPr>
          <w:rFonts w:ascii="Calibri" w:hAnsi="Calibri"/>
          <w:i w:val="0"/>
          <w:color w:val="222222"/>
          <w:sz w:val="22"/>
        </w:rPr>
        <w:t>Điểm cần nhớ là phân hệ Lương đã tách quyền khá rõ: quyền xem không đồng nghĩa với quyền sửa, quyền duyệt tạm ứng không đồng nghĩa với quyền chốt kỳ, và quyền xuất file cũng tách riêng để tránh phát tán dữ liệu.</w:t>
      </w:r>
    </w:p>
    <w:p>
      <w:pPr>
        <w:pStyle w:val="Heading2"/>
        <w:spacing w:before="200" w:after="80"/>
      </w:pPr>
      <w:r>
        <w:rPr>
          <w:rFonts w:ascii="Calibri" w:hAnsi="Calibri"/>
          <w:b/>
          <w:color w:val="2E74B5"/>
          <w:sz w:val="26"/>
        </w:rPr>
        <w:t>5.5. Quyền chi tiết của nhóm Thu mua</w:t>
      </w:r>
    </w:p>
    <w:p>
      <w:pPr>
        <w:pStyle w:val="Heading3"/>
        <w:spacing w:before="200" w:after="80"/>
      </w:pPr>
      <w:r>
        <w:rPr>
          <w:rFonts w:ascii="Calibri" w:hAnsi="Calibri"/>
          <w:b/>
          <w:color w:val="1F4D78"/>
          <w:sz w:val="24"/>
        </w:rPr>
        <w:t>5.5.1. Module Thu mua</w:t>
      </w:r>
    </w:p>
    <w:p>
      <w:pPr>
        <w:spacing w:after="120" w:line="276" w:lineRule="auto"/>
      </w:pPr>
      <w:r>
        <w:rPr>
          <w:rFonts w:ascii="Calibri" w:hAnsi="Calibri"/>
          <w:i w:val="0"/>
          <w:color w:val="222222"/>
          <w:sz w:val="22"/>
        </w:rPr>
        <w:t>Nhóm quyền này điều khiển việc nhìn YCMH - PMH, lập phiếu mua hàng, duyệt hoặc hủy PMH.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Thu mua xuất hiện; mở được màn Yêu cầu mua hàng, Mua hàng và danh sách liên quan trong phạm vi được cấp.</w:t>
            </w:r>
          </w:p>
        </w:tc>
        <w:tc>
          <w:tcPr>
            <w:tcW w:type="dxa" w:w="2835"/>
            <w:vAlign w:val="center"/>
          </w:tcPr>
          <w:p>
            <w:pPr>
              <w:spacing w:after="40" w:before="0"/>
              <w:jc w:val="left"/>
            </w:pPr>
            <w:r/>
            <w:r>
              <w:rPr>
                <w:rFonts w:ascii="Calibri" w:hAnsi="Calibri"/>
                <w:b w:val="0"/>
                <w:color w:val="222222"/>
                <w:sz w:val="21"/>
              </w:rPr>
              <w:t>Theo dõi YCMH từ các phòng ban, xem PMH đã lập, xem trạng thái duyệt, đã mua, đã nhận.</w:t>
            </w:r>
          </w:p>
        </w:tc>
        <w:tc>
          <w:tcPr>
            <w:tcW w:type="dxa" w:w="1984"/>
            <w:vAlign w:val="center"/>
          </w:tcPr>
          <w:p>
            <w:pPr>
              <w:spacing w:after="40" w:before="0"/>
              <w:jc w:val="left"/>
            </w:pPr>
            <w:r/>
            <w:r>
              <w:rPr>
                <w:rFonts w:ascii="Calibri" w:hAnsi="Calibri"/>
                <w:b w:val="0"/>
                <w:color w:val="222222"/>
                <w:sz w:val="21"/>
              </w:rPr>
              <w:t>Chỉ có Xem thì chưa tạo được yêu cầu và chưa lập được phiếu.</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nút tạo YCMH, tạo PMH, sửa phiếu nháp hoặc phiếu bị từ chối, gửi duyệt, đánh dấu đã mua, đánh dấu đã nhận ở nơi phù hợp.</w:t>
            </w:r>
          </w:p>
        </w:tc>
        <w:tc>
          <w:tcPr>
            <w:tcW w:type="dxa" w:w="2835"/>
            <w:vAlign w:val="center"/>
          </w:tcPr>
          <w:p>
            <w:pPr>
              <w:spacing w:after="40" w:before="0"/>
              <w:jc w:val="left"/>
            </w:pPr>
            <w:r/>
            <w:r>
              <w:rPr>
                <w:rFonts w:ascii="Calibri" w:hAnsi="Calibri"/>
                <w:b w:val="0"/>
                <w:color w:val="222222"/>
                <w:sz w:val="21"/>
              </w:rPr>
              <w:t>Vận hành luồng thu mua hằng ngày từ lúc nhận yêu cầu tới lúc xác nhận hàng về.</w:t>
            </w:r>
          </w:p>
        </w:tc>
        <w:tc>
          <w:tcPr>
            <w:tcW w:type="dxa" w:w="1984"/>
            <w:vAlign w:val="center"/>
          </w:tcPr>
          <w:p>
            <w:pPr>
              <w:spacing w:after="40" w:before="0"/>
              <w:jc w:val="left"/>
            </w:pPr>
            <w:r/>
            <w:r>
              <w:rPr>
                <w:rFonts w:ascii="Calibri" w:hAnsi="Calibri"/>
                <w:b w:val="0"/>
                <w:color w:val="222222"/>
                <w:sz w:val="21"/>
              </w:rPr>
              <w:t>Không tự bao gồm quyền duyệt hoặc hủy PMH nếu chưa bật quyền chi tiết.</w:t>
            </w:r>
          </w:p>
        </w:tc>
      </w:tr>
      <w:tr>
        <w:tc>
          <w:tcPr>
            <w:tcW w:type="dxa" w:w="1701"/>
            <w:vAlign w:val="center"/>
          </w:tcPr>
          <w:p>
            <w:pPr>
              <w:spacing w:after="40" w:before="0"/>
              <w:jc w:val="left"/>
            </w:pPr>
            <w:r/>
            <w:r>
              <w:rPr>
                <w:rFonts w:ascii="Calibri" w:hAnsi="Calibri"/>
                <w:b w:val="0"/>
                <w:color w:val="222222"/>
                <w:sz w:val="21"/>
              </w:rPr>
              <w:t>Duyệt / từ chối PMH</w:t>
            </w:r>
          </w:p>
        </w:tc>
        <w:tc>
          <w:tcPr>
            <w:tcW w:type="dxa" w:w="2835"/>
            <w:vAlign w:val="center"/>
          </w:tcPr>
          <w:p>
            <w:pPr>
              <w:spacing w:after="40" w:before="0"/>
              <w:jc w:val="left"/>
            </w:pPr>
            <w:r/>
            <w:r>
              <w:rPr>
                <w:rFonts w:ascii="Calibri" w:hAnsi="Calibri"/>
                <w:b w:val="0"/>
                <w:color w:val="222222"/>
                <w:sz w:val="21"/>
              </w:rPr>
              <w:t>Hiện các nút Duyệt và Từ chối trên các phiếu đang chờ duyệt.</w:t>
            </w:r>
          </w:p>
        </w:tc>
        <w:tc>
          <w:tcPr>
            <w:tcW w:type="dxa" w:w="2835"/>
            <w:vAlign w:val="center"/>
          </w:tcPr>
          <w:p>
            <w:pPr>
              <w:spacing w:after="40" w:before="0"/>
              <w:jc w:val="left"/>
            </w:pPr>
            <w:r/>
            <w:r>
              <w:rPr>
                <w:rFonts w:ascii="Calibri" w:hAnsi="Calibri"/>
                <w:b w:val="0"/>
                <w:color w:val="222222"/>
                <w:sz w:val="21"/>
              </w:rPr>
              <w:t>Quyết định phiếu mua hàng nào được đi tiếp sang bước chi tiền hoặc mua hàng thực tế.</w:t>
            </w:r>
          </w:p>
        </w:tc>
        <w:tc>
          <w:tcPr>
            <w:tcW w:type="dxa" w:w="1984"/>
            <w:vAlign w:val="center"/>
          </w:tcPr>
          <w:p>
            <w:pPr>
              <w:spacing w:after="40" w:before="0"/>
              <w:jc w:val="left"/>
            </w:pPr>
            <w:r/>
            <w:r>
              <w:rPr>
                <w:rFonts w:ascii="Calibri" w:hAnsi="Calibri"/>
                <w:b w:val="0"/>
                <w:color w:val="222222"/>
                <w:sz w:val="21"/>
              </w:rPr>
              <w:t>Đây là quyền quyết định nghiệp vụ, nên tách khỏi người chỉ lập phiếu.</w:t>
            </w:r>
          </w:p>
        </w:tc>
      </w:tr>
      <w:tr>
        <w:tc>
          <w:tcPr>
            <w:tcW w:type="dxa" w:w="1701"/>
            <w:vAlign w:val="center"/>
          </w:tcPr>
          <w:p>
            <w:pPr>
              <w:spacing w:after="40" w:before="0"/>
              <w:jc w:val="left"/>
            </w:pPr>
            <w:r/>
            <w:r>
              <w:rPr>
                <w:rFonts w:ascii="Calibri" w:hAnsi="Calibri"/>
                <w:b w:val="0"/>
                <w:color w:val="222222"/>
                <w:sz w:val="21"/>
              </w:rPr>
              <w:t>Hủy PMH</w:t>
            </w:r>
          </w:p>
        </w:tc>
        <w:tc>
          <w:tcPr>
            <w:tcW w:type="dxa" w:w="2835"/>
            <w:vAlign w:val="center"/>
          </w:tcPr>
          <w:p>
            <w:pPr>
              <w:spacing w:after="40" w:before="0"/>
              <w:jc w:val="left"/>
            </w:pPr>
            <w:r/>
            <w:r>
              <w:rPr>
                <w:rFonts w:ascii="Calibri" w:hAnsi="Calibri"/>
                <w:b w:val="0"/>
                <w:color w:val="222222"/>
                <w:sz w:val="21"/>
              </w:rPr>
              <w:t>Hiện thao tác hủy phiếu mua hàng còn hợp lệ.</w:t>
            </w:r>
          </w:p>
        </w:tc>
        <w:tc>
          <w:tcPr>
            <w:tcW w:type="dxa" w:w="2835"/>
            <w:vAlign w:val="center"/>
          </w:tcPr>
          <w:p>
            <w:pPr>
              <w:spacing w:after="40" w:before="0"/>
              <w:jc w:val="left"/>
            </w:pPr>
            <w:r/>
            <w:r>
              <w:rPr>
                <w:rFonts w:ascii="Calibri" w:hAnsi="Calibri"/>
                <w:b w:val="0"/>
                <w:color w:val="222222"/>
                <w:sz w:val="21"/>
              </w:rPr>
              <w:t>Dùng khi nhu cầu mua dừng hẳn hoặc phiếu lập sai và không muốn tiếp tục dùng.</w:t>
            </w:r>
          </w:p>
        </w:tc>
        <w:tc>
          <w:tcPr>
            <w:tcW w:type="dxa" w:w="1984"/>
            <w:vAlign w:val="center"/>
          </w:tcPr>
          <w:p>
            <w:pPr>
              <w:spacing w:after="40" w:before="0"/>
              <w:jc w:val="left"/>
            </w:pPr>
            <w:r/>
            <w:r>
              <w:rPr>
                <w:rFonts w:ascii="Calibri" w:hAnsi="Calibri"/>
                <w:b w:val="0"/>
                <w:color w:val="222222"/>
                <w:sz w:val="21"/>
              </w:rPr>
              <w:t>Nên yêu cầu nhập lý do để truy vết vì hủy sẽ dừng cả luồng phía sau.</w:t>
            </w:r>
          </w:p>
        </w:tc>
      </w:tr>
    </w:tbl>
    <w:p>
      <w:pPr>
        <w:spacing w:after="120" w:line="276" w:lineRule="auto"/>
      </w:pPr>
      <w:r>
        <w:rPr>
          <w:rFonts w:ascii="Calibri" w:hAnsi="Calibri"/>
          <w:i w:val="0"/>
          <w:color w:val="222222"/>
          <w:sz w:val="22"/>
        </w:rPr>
        <w:t>Ở phân hệ Thu mua, cần phân biệt rõ người lập phiếu với người duyệt phiếu. Quyền Duyệt / từ chối PMH nên cấp rất chọn lọc để tránh tự lập rồi tự duyệt.</w:t>
      </w:r>
    </w:p>
    <w:p>
      <w:pPr>
        <w:pStyle w:val="Heading1"/>
        <w:spacing w:before="320" w:after="120"/>
      </w:pPr>
      <w:r>
        <w:rPr>
          <w:rFonts w:ascii="Calibri" w:hAnsi="Calibri"/>
          <w:b/>
          <w:color w:val="2E74B5"/>
          <w:sz w:val="32"/>
        </w:rPr>
        <w:t>6. Vai trò thường gặp</w:t>
      </w:r>
    </w:p>
    <w:p>
      <w:pPr>
        <w:spacing w:after="120" w:line="276" w:lineRule="auto"/>
      </w:pPr>
      <w:r>
        <w:rPr>
          <w:rFonts w:ascii="Calibri" w:hAnsi="Calibri"/>
          <w:i w:val="0"/>
          <w:color w:val="222222"/>
          <w:sz w:val="22"/>
        </w:rPr>
        <w:t>Dưới đây là cách hiểu ngắn gọn theo nhóm người dùng phổ biến trong doanh nghiệp.</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Vai trò</w:t>
            </w:r>
          </w:p>
        </w:tc>
        <w:tc>
          <w:tcPr>
            <w:tcW w:type="dxa" w:w="6973"/>
            <w:vAlign w:val="center"/>
            <w:shd w:fill="E8EEF5"/>
          </w:tcPr>
          <w:p>
            <w:pPr>
              <w:spacing w:after="40" w:before="0"/>
              <w:jc w:val="left"/>
            </w:pPr>
            <w:r/>
            <w:r>
              <w:rPr>
                <w:rFonts w:ascii="Calibri" w:hAnsi="Calibri"/>
                <w:b/>
                <w:color w:val="222222"/>
                <w:sz w:val="21"/>
              </w:rPr>
              <w:t>Mô tả thực tế</w:t>
            </w:r>
          </w:p>
        </w:tc>
      </w:tr>
      <w:tr>
        <w:tc>
          <w:tcPr>
            <w:tcW w:type="dxa" w:w="2381"/>
            <w:vAlign w:val="center"/>
          </w:tcPr>
          <w:p>
            <w:pPr>
              <w:spacing w:after="40" w:before="0"/>
              <w:jc w:val="left"/>
            </w:pPr>
            <w:r/>
            <w:r>
              <w:rPr>
                <w:rFonts w:ascii="Calibri" w:hAnsi="Calibri"/>
                <w:b w:val="0"/>
                <w:color w:val="222222"/>
                <w:sz w:val="21"/>
              </w:rPr>
              <w:t>Admin</w:t>
            </w:r>
          </w:p>
        </w:tc>
        <w:tc>
          <w:tcPr>
            <w:tcW w:type="dxa" w:w="6973"/>
            <w:vAlign w:val="center"/>
          </w:tcPr>
          <w:p>
            <w:pPr>
              <w:spacing w:after="40" w:before="0"/>
              <w:jc w:val="left"/>
            </w:pPr>
            <w:r/>
            <w:r>
              <w:rPr>
                <w:rFonts w:ascii="Calibri" w:hAnsi="Calibri"/>
                <w:b w:val="0"/>
                <w:color w:val="222222"/>
                <w:sz w:val="21"/>
              </w:rPr>
              <w:t>Xem và thao tác toàn bộ, gồm cơ cấu, quyền, lương, tạm ứng, thu mua, duyệt và xuất file.</w:t>
            </w:r>
          </w:p>
        </w:tc>
      </w:tr>
      <w:tr>
        <w:tc>
          <w:tcPr>
            <w:tcW w:type="dxa" w:w="2381"/>
            <w:vAlign w:val="center"/>
          </w:tcPr>
          <w:p>
            <w:pPr>
              <w:spacing w:after="40" w:before="0"/>
              <w:jc w:val="left"/>
            </w:pPr>
            <w:r/>
            <w:r>
              <w:rPr>
                <w:rFonts w:ascii="Calibri" w:hAnsi="Calibri"/>
                <w:b w:val="0"/>
                <w:color w:val="222222"/>
                <w:sz w:val="21"/>
              </w:rPr>
              <w:t>HCNS / C&amp;B</w:t>
            </w:r>
          </w:p>
        </w:tc>
        <w:tc>
          <w:tcPr>
            <w:tcW w:type="dxa" w:w="6973"/>
            <w:vAlign w:val="center"/>
          </w:tcPr>
          <w:p>
            <w:pPr>
              <w:spacing w:after="40" w:before="0"/>
              <w:jc w:val="left"/>
            </w:pPr>
            <w:r/>
            <w:r>
              <w:rPr>
                <w:rFonts w:ascii="Calibri" w:hAnsi="Calibri"/>
                <w:b w:val="0"/>
                <w:color w:val="222222"/>
                <w:sz w:val="21"/>
              </w:rPr>
              <w:t>Quản lý hồ sơ, khai lương, tính lương, soát bảng lương, cấu hình lương.</w:t>
            </w:r>
          </w:p>
        </w:tc>
      </w:tr>
      <w:tr>
        <w:tc>
          <w:tcPr>
            <w:tcW w:type="dxa" w:w="2381"/>
            <w:vAlign w:val="center"/>
          </w:tcPr>
          <w:p>
            <w:pPr>
              <w:spacing w:after="40" w:before="0"/>
              <w:jc w:val="left"/>
            </w:pPr>
            <w:r/>
            <w:r>
              <w:rPr>
                <w:rFonts w:ascii="Calibri" w:hAnsi="Calibri"/>
                <w:b w:val="0"/>
                <w:color w:val="222222"/>
                <w:sz w:val="21"/>
              </w:rPr>
              <w:t>Kế toán lương</w:t>
            </w:r>
          </w:p>
        </w:tc>
        <w:tc>
          <w:tcPr>
            <w:tcW w:type="dxa" w:w="6973"/>
            <w:vAlign w:val="center"/>
          </w:tcPr>
          <w:p>
            <w:pPr>
              <w:spacing w:after="40" w:before="0"/>
              <w:jc w:val="left"/>
            </w:pPr>
            <w:r/>
            <w:r>
              <w:rPr>
                <w:rFonts w:ascii="Calibri" w:hAnsi="Calibri"/>
                <w:b w:val="0"/>
                <w:color w:val="222222"/>
                <w:sz w:val="21"/>
              </w:rPr>
              <w:t>Duyệt tạm ứng, theo dõi chi trả, xác nhận đã chi, xuất dữ liệu chuyển khoản.</w:t>
            </w:r>
          </w:p>
        </w:tc>
      </w:tr>
      <w:tr>
        <w:tc>
          <w:tcPr>
            <w:tcW w:type="dxa" w:w="2381"/>
            <w:vAlign w:val="center"/>
          </w:tcPr>
          <w:p>
            <w:pPr>
              <w:spacing w:after="40" w:before="0"/>
              <w:jc w:val="left"/>
            </w:pPr>
            <w:r/>
            <w:r>
              <w:rPr>
                <w:rFonts w:ascii="Calibri" w:hAnsi="Calibri"/>
                <w:b w:val="0"/>
                <w:color w:val="222222"/>
                <w:sz w:val="21"/>
              </w:rPr>
              <w:t>Thu mua</w:t>
            </w:r>
          </w:p>
        </w:tc>
        <w:tc>
          <w:tcPr>
            <w:tcW w:type="dxa" w:w="6973"/>
            <w:vAlign w:val="center"/>
          </w:tcPr>
          <w:p>
            <w:pPr>
              <w:spacing w:after="40" w:before="0"/>
              <w:jc w:val="left"/>
            </w:pPr>
            <w:r/>
            <w:r>
              <w:rPr>
                <w:rFonts w:ascii="Calibri" w:hAnsi="Calibri"/>
                <w:b w:val="0"/>
                <w:color w:val="222222"/>
                <w:sz w:val="21"/>
              </w:rPr>
              <w:t>Nhận yêu cầu mua hàng từ các phòng ban, lập phiếu mua hàng, theo dõi đã mua và đã nhận.</w:t>
            </w:r>
          </w:p>
        </w:tc>
      </w:tr>
      <w:tr>
        <w:tc>
          <w:tcPr>
            <w:tcW w:type="dxa" w:w="2381"/>
            <w:vAlign w:val="center"/>
          </w:tcPr>
          <w:p>
            <w:pPr>
              <w:spacing w:after="40" w:before="0"/>
              <w:jc w:val="left"/>
            </w:pPr>
            <w:r/>
            <w:r>
              <w:rPr>
                <w:rFonts w:ascii="Calibri" w:hAnsi="Calibri"/>
                <w:b w:val="0"/>
                <w:color w:val="222222"/>
                <w:sz w:val="21"/>
              </w:rPr>
              <w:t>Người duyệt / kế toán mua hàng</w:t>
            </w:r>
          </w:p>
        </w:tc>
        <w:tc>
          <w:tcPr>
            <w:tcW w:type="dxa" w:w="6973"/>
            <w:vAlign w:val="center"/>
          </w:tcPr>
          <w:p>
            <w:pPr>
              <w:spacing w:after="40" w:before="0"/>
              <w:jc w:val="left"/>
            </w:pPr>
            <w:r/>
            <w:r>
              <w:rPr>
                <w:rFonts w:ascii="Calibri" w:hAnsi="Calibri"/>
                <w:b w:val="0"/>
                <w:color w:val="222222"/>
                <w:sz w:val="21"/>
              </w:rPr>
              <w:t>Duyệt hoặc từ chối phiếu mua hàng, lập chứng từ chi ở phân hệ kế toán khi cần.</w:t>
            </w:r>
          </w:p>
        </w:tc>
      </w:tr>
      <w:tr>
        <w:tc>
          <w:tcPr>
            <w:tcW w:type="dxa" w:w="2381"/>
            <w:vAlign w:val="center"/>
          </w:tcPr>
          <w:p>
            <w:pPr>
              <w:spacing w:after="40" w:before="0"/>
              <w:jc w:val="left"/>
            </w:pPr>
            <w:r/>
            <w:r>
              <w:rPr>
                <w:rFonts w:ascii="Calibri" w:hAnsi="Calibri"/>
                <w:b w:val="0"/>
                <w:color w:val="222222"/>
                <w:sz w:val="21"/>
              </w:rPr>
              <w:t>Trưởng phòng / trưởng bộ phận</w:t>
            </w:r>
          </w:p>
        </w:tc>
        <w:tc>
          <w:tcPr>
            <w:tcW w:type="dxa" w:w="6973"/>
            <w:vAlign w:val="center"/>
          </w:tcPr>
          <w:p>
            <w:pPr>
              <w:spacing w:after="40" w:before="0"/>
              <w:jc w:val="left"/>
            </w:pPr>
            <w:r/>
            <w:r>
              <w:rPr>
                <w:rFonts w:ascii="Calibri" w:hAnsi="Calibri"/>
                <w:b w:val="0"/>
                <w:color w:val="222222"/>
                <w:sz w:val="21"/>
              </w:rPr>
              <w:t>Quản lý nhân sự trong phạm vi được cấp, có thể được giao thêm quyền vận hành hoặc duyệt.</w:t>
            </w:r>
          </w:p>
        </w:tc>
      </w:tr>
      <w:tr>
        <w:tc>
          <w:tcPr>
            <w:tcW w:type="dxa" w:w="2381"/>
            <w:vAlign w:val="center"/>
          </w:tcPr>
          <w:p>
            <w:pPr>
              <w:spacing w:after="40" w:before="0"/>
              <w:jc w:val="left"/>
            </w:pPr>
            <w:r/>
            <w:r>
              <w:rPr>
                <w:rFonts w:ascii="Calibri" w:hAnsi="Calibri"/>
                <w:b w:val="0"/>
                <w:color w:val="222222"/>
                <w:sz w:val="21"/>
              </w:rPr>
              <w:t>Nhân viên</w:t>
            </w:r>
          </w:p>
        </w:tc>
        <w:tc>
          <w:tcPr>
            <w:tcW w:type="dxa" w:w="6973"/>
            <w:vAlign w:val="center"/>
          </w:tcPr>
          <w:p>
            <w:pPr>
              <w:spacing w:after="40" w:before="0"/>
              <w:jc w:val="left"/>
            </w:pPr>
            <w:r/>
            <w:r>
              <w:rPr>
                <w:rFonts w:ascii="Calibri" w:hAnsi="Calibri"/>
                <w:b w:val="0"/>
                <w:color w:val="222222"/>
                <w:sz w:val="21"/>
              </w:rPr>
              <w:t>Xem phiếu lương của mình, theo dõi và tạo đề nghị tạm ứng của mình.</w:t>
            </w:r>
          </w:p>
        </w:tc>
      </w:tr>
    </w:tbl>
    <w:p>
      <w:pPr>
        <w:pStyle w:val="Heading1"/>
        <w:spacing w:before="320" w:after="120"/>
      </w:pPr>
      <w:r>
        <w:rPr>
          <w:rFonts w:ascii="Calibri" w:hAnsi="Calibri"/>
          <w:b/>
          <w:color w:val="2E74B5"/>
          <w:sz w:val="32"/>
        </w:rPr>
        <w:t>7. Các lưu ý vận hành quan trọng</w:t>
      </w:r>
    </w:p>
    <w:p>
      <w:pPr>
        <w:pStyle w:val="ListBullet"/>
        <w:spacing w:after="80" w:line="276" w:lineRule="auto"/>
      </w:pPr>
      <w:r>
        <w:rPr>
          <w:rFonts w:ascii="Calibri" w:hAnsi="Calibri"/>
          <w:color w:val="222222"/>
          <w:sz w:val="22"/>
        </w:rPr>
        <w:t>Không sửa dữ liệu lương nếu chưa xác định kỳ đó đang là nháp, đã chốt hay đã chi.</w:t>
      </w:r>
    </w:p>
    <w:p>
      <w:pPr>
        <w:pStyle w:val="ListBullet"/>
        <w:spacing w:after="80" w:line="276" w:lineRule="auto"/>
      </w:pPr>
      <w:r>
        <w:rPr>
          <w:rFonts w:ascii="Calibri" w:hAnsi="Calibri"/>
          <w:color w:val="222222"/>
          <w:sz w:val="22"/>
        </w:rPr>
        <w:t>Không xem Phòng ban là nơi khai chính sách tiền lương; đó là việc của phân hệ Lương.</w:t>
      </w:r>
    </w:p>
    <w:p>
      <w:pPr>
        <w:pStyle w:val="ListBullet"/>
        <w:spacing w:after="80" w:line="276" w:lineRule="auto"/>
      </w:pPr>
      <w:r>
        <w:rPr>
          <w:rFonts w:ascii="Calibri" w:hAnsi="Calibri"/>
          <w:color w:val="222222"/>
          <w:sz w:val="22"/>
        </w:rPr>
        <w:t>Sau khi chuyển phòng phải kiểm tra lại vai trò, vì vai trò cũ có thể không còn hợp lệ.</w:t>
      </w:r>
    </w:p>
    <w:p>
      <w:pPr>
        <w:pStyle w:val="ListBullet"/>
        <w:spacing w:after="80" w:line="276" w:lineRule="auto"/>
      </w:pPr>
      <w:r>
        <w:rPr>
          <w:rFonts w:ascii="Calibri" w:hAnsi="Calibri"/>
          <w:color w:val="222222"/>
          <w:sz w:val="22"/>
        </w:rPr>
        <w:t>Dữ liệu cấu hình lương là dữ liệu nhạy cảm, không nên cấp tràn lan.</w:t>
      </w:r>
    </w:p>
    <w:p>
      <w:pPr>
        <w:pStyle w:val="ListBullet"/>
        <w:spacing w:after="80" w:line="276" w:lineRule="auto"/>
      </w:pPr>
      <w:r>
        <w:rPr>
          <w:rFonts w:ascii="Calibri" w:hAnsi="Calibri"/>
          <w:color w:val="222222"/>
          <w:sz w:val="22"/>
        </w:rPr>
        <w:t>Phiếu lương đợt 1 và tạm ứng đều là khoản sẽ được trừ lại khi tính lương tháng.</w:t>
      </w:r>
    </w:p>
    <w:p>
      <w:pPr>
        <w:pStyle w:val="ListBullet"/>
        <w:spacing w:after="80" w:line="276" w:lineRule="auto"/>
      </w:pPr>
      <w:r>
        <w:rPr>
          <w:rFonts w:ascii="Calibri" w:hAnsi="Calibri"/>
          <w:color w:val="222222"/>
          <w:sz w:val="22"/>
        </w:rPr>
        <w:t>Ở Thu mua cần quản lý chặt người nào được lập PMH, người nào được duyệt PMH và người nào chỉ được theo dõi.</w:t>
      </w:r>
    </w:p>
    <w:p>
      <w:pPr>
        <w:pStyle w:val="ListBullet"/>
        <w:spacing w:after="80" w:line="276" w:lineRule="auto"/>
      </w:pPr>
      <w:r>
        <w:rPr>
          <w:rFonts w:ascii="Calibri" w:hAnsi="Calibri"/>
          <w:color w:val="222222"/>
          <w:sz w:val="22"/>
        </w:rPr>
        <w:t>Danh mục nhà cung cấp nên được cập nhật đúng mặt hàng và đơn giá để tránh chọn nhầm nhà cung cấp khi lập phiếu.</w:t>
      </w:r>
    </w:p>
    <w:p>
      <w:pPr>
        <w:pStyle w:val="Heading1"/>
        <w:spacing w:before="320" w:after="120"/>
      </w:pPr>
      <w:r>
        <w:rPr>
          <w:rFonts w:ascii="Calibri" w:hAnsi="Calibri"/>
          <w:b/>
          <w:color w:val="2E74B5"/>
          <w:sz w:val="32"/>
        </w:rPr>
        <w:t>8. Kết luận</w:t>
      </w:r>
    </w:p>
    <w:p>
      <w:pPr>
        <w:spacing w:after="120" w:line="276" w:lineRule="auto"/>
      </w:pPr>
      <w:r>
        <w:rPr>
          <w:rFonts w:ascii="Calibri" w:hAnsi="Calibri"/>
          <w:i w:val="0"/>
          <w:color w:val="222222"/>
          <w:sz w:val="22"/>
        </w:rPr>
        <w:t>Phân hệ Phòng ban giúp doanh nghiệp quản lý cơ cấu, đầu mối chịu trách nhiệm, vai trò và phạm vi quyền hạn. Phân hệ Lương giúp doanh nghiệp quản lý tiền lương, tham số tính lương, bảng lương tháng và phiếu lương cá nhân. Phân hệ Thu mua giúp doanh nghiệp ghi nhận nhu cầu mua, lập phiếu mua thực tế, theo dõi duyệt mua và xác nhận nhận hàng.</w:t>
      </w:r>
    </w:p>
    <w:p>
      <w:pPr>
        <w:spacing w:after="120" w:line="276" w:lineRule="auto"/>
      </w:pPr>
      <w:r>
        <w:rPr>
          <w:rFonts w:ascii="Calibri" w:hAnsi="Calibri"/>
          <w:i w:val="0"/>
          <w:color w:val="222222"/>
          <w:sz w:val="22"/>
        </w:rPr>
        <w:t>Khi người dùng hiểu rõ ai thuộc phòng nào, ai giữ vai trò gì và ai được phép thao tác đến đâu, việc vận hành nhân sự, lương và thu mua sẽ rõ ràng, dễ truy vết và ít sai sót hơn.</w:t>
      </w:r>
    </w:p>
    <w:sectPr w:rsidR="00FC693F" w:rsidRPr="0006063C" w:rsidSect="00034616">
      <w:footerReference w:type="default" r:id="rId9"/>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6666"/>
        <w:sz w:val="18"/>
      </w:rPr>
      <w:t xml:space="preserve">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