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IP address belongs to Robert Taylor Jr., a contractor who no longer works there. The event occurred 5 days ago but the contractor has not worked there in 4 years and should not have access.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br w:type="textWrapping"/>
              <w:br w:type="textWrapping"/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List 1-2 pieces of information that can help identify the threat: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Who caused this incident?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When did it occur?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device was used?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Robert Taylor Jr. no longer works for the company and should not have any access to company accounts or data. Furthermore, all employees/contractors have admin privileges - the company does not practice Principle of Least Privilege which increases the risk of attack.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br w:type="textWrapping"/>
              <w:br w:type="textWrapping"/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level of access did the user have?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Should their account be active?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Employees and contractors who no longer work at the company should have all access disabled/removed immediately. This practices Least Privilege.</w:t>
              <w:br w:type="textWrapping"/>
              <w:br w:type="textWrapping"/>
              <w:t xml:space="preserve">Not everyone should have Admin authorization, only those that need it. When Admin use-cases are complete, those rights should be revoked.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br w:type="textWrapping"/>
              <w:br w:type="textWrapping"/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Which technical, operational, or managerial controls could help?</w:t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