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manager should have revoked access to that folder after the meeting, practicing Least Privilege from the beginning. The sales rep should have been more careful with what information was being shared. What the business partner did was malicious.</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The NIST SP 800-53: AC-6 addresses the principle of least privilege. This includes allowing access to information on a need to know basis, revoking those privileges after a period of time, regularly auditing privileges, and keeping logs of provisioned user accounts.</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Firstly, the manager did not need to share access at the meeting as he simply could have showed the information. Secondly even if he shared it, those privileges should have been revoked after the meeting.</w:t>
            </w:r>
            <w:r w:rsidDel="00000000" w:rsidR="00000000" w:rsidRPr="00000000">
              <w:rPr>
                <w:rtl w:val="0"/>
              </w:rPr>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This would have prevented the sharing of the information by limited access to the data. If access is not shared to begin with, unauthorized users wouldn’t have the ability to share it.</w:t>
            </w:r>
            <w:r w:rsidDel="00000000" w:rsidR="00000000" w:rsidRPr="00000000">
              <w:rPr>
                <w:rtl w:val="0"/>
              </w:rPr>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