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Payment Policy</w:t>
      </w:r>
    </w:p>
    <w:p>
      <w:r>
        <w:t>This policy applies to all vendor invoices received by Kestrel Foods Ltd.</w:t>
      </w:r>
    </w:p>
    <w:p>
      <w:pPr>
        <w:pStyle w:val="Heading2"/>
      </w:pPr>
      <w:r>
        <w:t>Invoice Approval</w:t>
      </w:r>
    </w:p>
    <w:p>
      <w:r>
        <w:t>Invoices above USD 25,000 must be approved by the Finance Director before payment.</w:t>
      </w:r>
    </w:p>
    <w:p>
      <w:pPr>
        <w:pStyle w:val="Heading2"/>
      </w:pPr>
      <w:r>
        <w:t>Late Fees</w:t>
      </w:r>
    </w:p>
    <w:p>
      <w:r>
        <w:t>Kestrel Foods accepts a late fee of 1.5% per month on overdue vendor invoices, in line with its standard supplier contracts.</w:t>
      </w:r>
    </w:p>
    <w:p>
      <w:pPr>
        <w:pStyle w:val="Heading2"/>
      </w:pPr>
      <w:r>
        <w:t>Records</w:t>
      </w:r>
    </w:p>
    <w:p>
      <w:r>
        <w:t>Approved invoices and proof of payment are kept for seven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