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0284C7"/>
          <w:sz w:val="24"/>
        </w:rPr>
        <w:t>DOAP INTELLIGENT LEARNING ECOSYSTEM</w:t>
        <w:br/>
      </w:r>
      <w:r>
        <w:rPr>
          <w:rFonts w:ascii="Calibri" w:hAnsi="Calibri"/>
          <w:b/>
          <w:color w:val="0F172A"/>
          <w:sz w:val="44"/>
        </w:rPr>
        <w:t>Retrieval-Augmented Generation (RAG)</w:t>
        <w:br/>
        <w:t>Architecture, Implementation &amp; Coverage Report</w:t>
      </w:r>
    </w:p>
    <w:p>
      <w:pPr>
        <w:spacing w:before="80" w:after="320"/>
        <w:jc w:val="center"/>
      </w:pPr>
      <w:r>
        <w:rPr>
          <w:rFonts w:ascii="Calibri" w:hAnsi="Calibri"/>
          <w:i/>
          <w:color w:val="64748B"/>
          <w:sz w:val="21"/>
        </w:rPr>
        <w:t>A Comprehensive Technical Audit of Where, Why, and How RAG is Deployed Across the DOAP Platform</w:t>
        <w:br/>
        <w:t>for Institutional Grounding, 9-Layer Cognitive Memory, and Zero-Hallucination Mentorship</w:t>
      </w:r>
    </w:p>
    <w:tbl>
      <w:tblPr>
        <w:tblW w:type="auto" w:w="0"/>
        <w:jc w:val="center"/>
        <w:tblLook w:firstColumn="1" w:firstRow="1" w:lastColumn="0" w:lastRow="0" w:noHBand="0" w:noVBand="1" w:val="04A0"/>
      </w:tblPr>
      <w:tblGrid>
        <w:gridCol w:w="4896"/>
        <w:gridCol w:w="4896"/>
      </w:tblGrid>
      <w:tr>
        <w:tc>
          <w:tcPr>
            <w:tcW w:type="dxa" w:w="4896"/>
            <w:shd w:fill="F1F5F9"/>
            <w:tcMar>
              <w:top w:w="70" w:type="dxa"/>
              <w:bottom w:w="70" w:type="dxa"/>
              <w:left w:w="120" w:type="dxa"/>
              <w:right w:w="120" w:type="dxa"/>
            </w:tcMar>
          </w:tcPr>
          <w:p>
            <w:pPr>
              <w:spacing w:before="20" w:after="20"/>
            </w:pPr>
            <w:r>
              <w:rPr>
                <w:b/>
                <w:color w:val="475569"/>
                <w:sz w:val="19"/>
              </w:rPr>
              <w:t xml:space="preserve">Platform / System: </w:t>
            </w:r>
            <w:r>
              <w:rPr>
                <w:color w:val="0F172A"/>
                <w:sz w:val="19"/>
              </w:rPr>
              <w:t>DOAP (Discover Opportunities and Progress Platform)</w:t>
            </w:r>
          </w:p>
        </w:tc>
        <w:tc>
          <w:tcPr>
            <w:tcW w:type="dxa" w:w="4896"/>
            <w:shd w:fill="F1F5F9"/>
            <w:tcMar>
              <w:top w:w="70" w:type="dxa"/>
              <w:bottom w:w="70" w:type="dxa"/>
              <w:left w:w="120" w:type="dxa"/>
              <w:right w:w="120" w:type="dxa"/>
            </w:tcMar>
          </w:tcPr>
          <w:p>
            <w:pPr>
              <w:spacing w:before="20" w:after="20"/>
            </w:pPr>
            <w:r>
              <w:rPr>
                <w:b/>
                <w:color w:val="475569"/>
                <w:sz w:val="19"/>
              </w:rPr>
              <w:t xml:space="preserve">Lead Developer &amp; Author: </w:t>
            </w:r>
            <w:r>
              <w:rPr>
                <w:color w:val="0F172A"/>
                <w:sz w:val="19"/>
              </w:rPr>
              <w:t>Pratik Thorat</w:t>
            </w:r>
          </w:p>
        </w:tc>
      </w:tr>
      <w:tr>
        <w:tc>
          <w:tcPr>
            <w:tcW w:type="dxa" w:w="4896"/>
            <w:shd w:fill="F8FAFC"/>
            <w:tcMar>
              <w:top w:w="70" w:type="dxa"/>
              <w:bottom w:w="70" w:type="dxa"/>
              <w:left w:w="120" w:type="dxa"/>
              <w:right w:w="120" w:type="dxa"/>
            </w:tcMar>
          </w:tcPr>
          <w:p>
            <w:pPr>
              <w:spacing w:before="20" w:after="20"/>
            </w:pPr>
            <w:r>
              <w:rPr>
                <w:b/>
                <w:color w:val="475569"/>
                <w:sz w:val="19"/>
              </w:rPr>
              <w:t xml:space="preserve">Institution / University: </w:t>
            </w:r>
            <w:r>
              <w:rPr>
                <w:color w:val="0F172A"/>
                <w:sz w:val="19"/>
              </w:rPr>
              <w:t>Sanjivani College of Engineering / Sanjivani University</w:t>
            </w:r>
          </w:p>
        </w:tc>
        <w:tc>
          <w:tcPr>
            <w:tcW w:type="dxa" w:w="4896"/>
            <w:shd w:fill="F8FAFC"/>
            <w:tcMar>
              <w:top w:w="70" w:type="dxa"/>
              <w:bottom w:w="70" w:type="dxa"/>
              <w:left w:w="120" w:type="dxa"/>
              <w:right w:w="120" w:type="dxa"/>
            </w:tcMar>
          </w:tcPr>
          <w:p>
            <w:pPr>
              <w:spacing w:before="20" w:after="20"/>
            </w:pPr>
            <w:r>
              <w:rPr>
                <w:b/>
                <w:color w:val="475569"/>
                <w:sz w:val="19"/>
              </w:rPr>
              <w:t xml:space="preserve">Production Deployment: </w:t>
            </w:r>
            <w:r>
              <w:rPr>
                <w:color w:val="0F172A"/>
                <w:sz w:val="19"/>
              </w:rPr>
              <w:t>https://doap-1908.web.app</w:t>
            </w:r>
          </w:p>
        </w:tc>
      </w:tr>
    </w:tbl>
    <w:p>
      <w:pPr>
        <w:spacing w:after="240"/>
      </w:pPr>
    </w:p>
    <w:p>
      <w:pPr>
        <w:pStyle w:val="Heading1"/>
        <w:spacing w:before="280" w:after="120"/>
      </w:pPr>
      <w:r>
        <w:t>1. Executive Summary: What is RAG in the DOAP Ecosystem?</w:t>
      </w:r>
    </w:p>
    <w:p>
      <w:r>
        <w:t>Retrieval-Augmented Generation (RAG) is an advanced artificial intelligence paradigm that pairs a high-throughput Large Language Model (LLM) with an external, dynamic, and authoritative retrieval engine. Rather than expecting an LLM to memorize all domain-specific facts, institutional hierarchies, real-time student trajectories, and codebases in its static parameter weights, RAG dynamically fetches verified context from structured data stores at prompt time and injects it directly into the model's inference context window.</w:t>
      </w:r>
    </w:p>
    <w:p>
      <w:r>
        <w:t>In traditional chatbots, asking questions about specific college faculty, departmental curricula, or a student's past coding stumbling blocks leads to severe model hallucinations or generic, unhelpful platitudes. In DOAP, RAG fundamentally eliminates hallucination by ensuring that every AI answer is grounded in hard facts, curated question banks, or living memory records.</w:t>
      </w:r>
    </w:p>
    <w:tbl>
      <w:tblPr>
        <w:tblW w:type="auto" w:w="0"/>
        <w:jc w:val="center"/>
        <w:tblLook w:firstColumn="1" w:firstRow="1" w:lastColumn="0" w:lastRow="0" w:noHBand="0" w:noVBand="1" w:val="04A0"/>
      </w:tblPr>
      <w:tblGrid>
        <w:gridCol w:w="9792"/>
      </w:tblGrid>
      <w:tr>
        <w:tc>
          <w:tcPr>
            <w:tcW w:type="dxa" w:w="9792"/>
            <w:shd w:fill="F0F9FF"/>
            <w:tcMar>
              <w:top w:w="140" w:type="dxa"/>
              <w:bottom w:w="140" w:type="dxa"/>
              <w:left w:w="200" w:type="dxa"/>
              <w:right w:w="180" w:type="dxa"/>
            </w:tcMar>
            <w:tcBorders>
              <w:left w:val="single" w:sz="24" w:space="0" w:color="0284C7"/>
              <w:top w:val="none"/>
              <w:right w:val="none"/>
              <w:bottom w:val="none"/>
            </w:tcBorders>
          </w:tcPr>
          <w:p>
            <w:pPr>
              <w:spacing w:before="40" w:after="40" w:line="276" w:lineRule="auto"/>
            </w:pPr>
            <w:r>
              <w:rPr>
                <w:rFonts w:ascii="Calibri" w:hAnsi="Calibri"/>
                <w:b/>
                <w:color w:val="0284C7"/>
                <w:sz w:val="20"/>
              </w:rPr>
              <w:t>📌 WHY RAG OVER PURE FINE-TUNING?</w:t>
              <w:br/>
            </w:r>
            <w:r>
              <w:rPr>
                <w:rFonts w:ascii="Calibri" w:hAnsi="Calibri"/>
                <w:color w:val="1E293B"/>
                <w:sz w:val="19"/>
              </w:rPr>
              <w:t>Core Value Proposition: In DOAP, RAG operates across both client-side and server-side runtimes with zero external vector database operational overhead. Context is retrieved with sub-5ms latency from curated domain stores, multi-layer memory caches, and local IndexedDB/localStorage, ensuring 100% accurate responses even on low-bandwidth student devices.</w:t>
            </w:r>
          </w:p>
        </w:tc>
      </w:tr>
    </w:tbl>
    <w:p>
      <w:pPr>
        <w:spacing w:after="120"/>
      </w:pPr>
    </w:p>
    <w:p>
      <w:pPr>
        <w:pStyle w:val="Heading1"/>
        <w:spacing w:before="280" w:after="120"/>
      </w:pPr>
      <w:r>
        <w:t>2. End-to-End RAG Pipeline Architecture</w:t>
      </w:r>
    </w:p>
    <w:p>
      <w:r>
        <w:t>The DOAP RAG pipeline executes in five sequential phases for every spoken or typed interaction:</w:t>
      </w:r>
    </w:p>
    <w:p>
      <w:pPr>
        <w:spacing w:before="40" w:after="60"/>
        <w:ind w:left="288"/>
      </w:pPr>
      <w:r>
        <w:rPr>
          <w:b/>
          <w:color w:val="0284C7"/>
        </w:rPr>
        <w:t xml:space="preserve">• Step 1: Intent &amp; Semantic Query Parsing: </w:t>
      </w:r>
      <w:r>
        <w:t>The incoming user prompt (received via Groq Whisper STT or text chat) is sanitized, stripped of emojis, and analyzed for domain triggers (institutional questions, algorithmic inquiries, interview queries, or personalized feedback).</w:t>
      </w:r>
    </w:p>
    <w:p>
      <w:pPr>
        <w:spacing w:before="40" w:after="60"/>
        <w:ind w:left="288"/>
      </w:pPr>
      <w:r>
        <w:rPr>
          <w:b/>
          <w:color w:val="0284C7"/>
        </w:rPr>
        <w:t xml:space="preserve">• Step 2: Multi-Store Selective Retrieval: </w:t>
      </w:r>
      <w:r>
        <w:t>The query is matched against multiple specialized data repositories: Institutional Knowledge (10 engineering departments), Student Cognitive Memory (9 layers), 167+ Algorithmic Challenge Invariants, and Enterprise Job Descriptions.</w:t>
      </w:r>
    </w:p>
    <w:p>
      <w:pPr>
        <w:spacing w:before="40" w:after="60"/>
        <w:ind w:left="288"/>
      </w:pPr>
      <w:r>
        <w:rPr>
          <w:b/>
          <w:color w:val="0284C7"/>
        </w:rPr>
        <w:t xml:space="preserve">• Step 3: Dynamic Context Grounding &amp; Prompt Synthesis: </w:t>
      </w:r>
      <w:r>
        <w:t>Retrieved facts, boundary conditions, and memory layers are assembled into an augmented system prompt. The system prompt enforces strict rules: single unbroken persona, Socratic guidance, and language mirroring.</w:t>
      </w:r>
    </w:p>
    <w:p>
      <w:pPr>
        <w:spacing w:before="40" w:after="60"/>
        <w:ind w:left="288"/>
      </w:pPr>
      <w:r>
        <w:rPr>
          <w:b/>
          <w:color w:val="0284C7"/>
        </w:rPr>
        <w:t xml:space="preserve">• Step 4: High-Throughput Neural Inference: </w:t>
      </w:r>
      <w:r>
        <w:t>The grounded prompt payload is dispatched to Groq LPU (GPT-OSS 120B / Qwen 27B) with sub-150ms time-to-first-token. The model analyzes the injected context inside &lt;think&gt; reasoning blocks before synthesizing the final output.</w:t>
      </w:r>
    </w:p>
    <w:p>
      <w:pPr>
        <w:spacing w:before="40" w:after="60"/>
        <w:ind w:left="288"/>
      </w:pPr>
      <w:r>
        <w:rPr>
          <w:b/>
          <w:color w:val="0284C7"/>
        </w:rPr>
        <w:t xml:space="preserve">• Step 5: Response Delivery &amp; Continuous Memory Write-Back: </w:t>
      </w:r>
      <w:r>
        <w:t>The output is spoken aloud via Swara Multilingual Neural TTS and projected on screen. Concurrently, the interaction is analyzed by memoryBrain.learnFromInteraction() to update skills and weaknesses for the next retrieval cycle.</w:t>
      </w:r>
    </w:p>
    <w:p>
      <w:pPr>
        <w:spacing w:after="120"/>
      </w:pPr>
    </w:p>
    <w:p>
      <w:pPr>
        <w:pStyle w:val="Heading1"/>
        <w:spacing w:before="280" w:after="120"/>
      </w:pPr>
      <w:r>
        <w:t>3. Exhaustive Breakdown: Where RAG is Used in DOAP</w:t>
      </w:r>
    </w:p>
    <w:p>
      <w:r>
        <w:t>RAG is not a localized feature in DOAP; it is the fundamental cognitive backbone woven across six key modules of the platform:</w:t>
      </w:r>
    </w:p>
    <w:tbl>
      <w:tblPr>
        <w:tblW w:type="auto" w:w="0"/>
        <w:jc w:val="center"/>
        <w:tblLook w:firstColumn="1" w:firstRow="1" w:lastColumn="0" w:lastRow="0" w:noHBand="0" w:noVBand="1" w:val="04A0"/>
      </w:tblPr>
      <w:tblGrid>
        <w:gridCol w:w="2448"/>
        <w:gridCol w:w="2448"/>
        <w:gridCol w:w="2448"/>
        <w:gridCol w:w="2448"/>
      </w:tblGrid>
      <w:tr>
        <w:tc>
          <w:tcPr>
            <w:tcW w:type="dxa" w:w="2448"/>
            <w:shd w:fill="0F172A"/>
            <w:tcMar>
              <w:top w:w="90" w:type="dxa"/>
              <w:bottom w:w="90" w:type="dxa"/>
              <w:left w:w="100" w:type="dxa"/>
              <w:right w:w="100" w:type="dxa"/>
            </w:tcMar>
          </w:tcPr>
          <w:p>
            <w:r>
              <w:rPr>
                <w:rFonts w:ascii="Calibri" w:hAnsi="Calibri"/>
                <w:b/>
                <w:color w:val="FFFFFF"/>
                <w:sz w:val="19"/>
              </w:rPr>
              <w:t>Module Name</w:t>
            </w:r>
          </w:p>
        </w:tc>
        <w:tc>
          <w:tcPr>
            <w:tcW w:type="dxa" w:w="2448"/>
            <w:shd w:fill="0F172A"/>
            <w:tcMar>
              <w:top w:w="90" w:type="dxa"/>
              <w:bottom w:w="90" w:type="dxa"/>
              <w:left w:w="100" w:type="dxa"/>
              <w:right w:w="100" w:type="dxa"/>
            </w:tcMar>
          </w:tcPr>
          <w:p>
            <w:r>
              <w:rPr>
                <w:rFonts w:ascii="Calibri" w:hAnsi="Calibri"/>
                <w:b/>
                <w:color w:val="FFFFFF"/>
                <w:sz w:val="19"/>
              </w:rPr>
              <w:t>Primary Source File(s)</w:t>
            </w:r>
          </w:p>
        </w:tc>
        <w:tc>
          <w:tcPr>
            <w:tcW w:type="dxa" w:w="2448"/>
            <w:shd w:fill="0F172A"/>
            <w:tcMar>
              <w:top w:w="90" w:type="dxa"/>
              <w:bottom w:w="90" w:type="dxa"/>
              <w:left w:w="100" w:type="dxa"/>
              <w:right w:w="100" w:type="dxa"/>
            </w:tcMar>
          </w:tcPr>
          <w:p>
            <w:r>
              <w:rPr>
                <w:rFonts w:ascii="Calibri" w:hAnsi="Calibri"/>
                <w:b/>
                <w:color w:val="FFFFFF"/>
                <w:sz w:val="19"/>
              </w:rPr>
              <w:t>Retrieved Data / Context</w:t>
            </w:r>
          </w:p>
        </w:tc>
        <w:tc>
          <w:tcPr>
            <w:tcW w:type="dxa" w:w="2448"/>
            <w:shd w:fill="0F172A"/>
            <w:tcMar>
              <w:top w:w="90" w:type="dxa"/>
              <w:bottom w:w="90" w:type="dxa"/>
              <w:left w:w="100" w:type="dxa"/>
              <w:right w:w="100" w:type="dxa"/>
            </w:tcMar>
          </w:tcPr>
          <w:p>
            <w:r>
              <w:rPr>
                <w:rFonts w:ascii="Calibri" w:hAnsi="Calibri"/>
                <w:b/>
                <w:color w:val="FFFFFF"/>
                <w:sz w:val="19"/>
              </w:rPr>
              <w:t>Output / Purpose</w:t>
            </w:r>
          </w:p>
        </w:tc>
      </w:tr>
      <w:tr>
        <w:tc>
          <w:tcPr>
            <w:tcW w:type="dxa" w:w="2448"/>
            <w:shd w:fill="FFFFFF"/>
            <w:tcMar>
              <w:top w:w="70" w:type="dxa"/>
              <w:bottom w:w="70" w:type="dxa"/>
              <w:left w:w="100" w:type="dxa"/>
              <w:right w:w="100" w:type="dxa"/>
            </w:tcMar>
          </w:tcPr>
          <w:p>
            <w:pPr>
              <w:spacing w:before="20" w:after="20"/>
            </w:pPr>
            <w:r>
              <w:rPr>
                <w:rFonts w:ascii="Calibri" w:hAnsi="Calibri"/>
                <w:color w:val="1E293B"/>
                <w:sz w:val="17"/>
              </w:rPr>
              <w:t>Institutional &amp; Faculty RAG</w:t>
            </w:r>
          </w:p>
        </w:tc>
        <w:tc>
          <w:tcPr>
            <w:tcW w:type="dxa" w:w="2448"/>
            <w:shd w:fill="FFFFFF"/>
            <w:tcMar>
              <w:top w:w="70" w:type="dxa"/>
              <w:bottom w:w="70" w:type="dxa"/>
              <w:left w:w="100" w:type="dxa"/>
              <w:right w:w="100" w:type="dxa"/>
            </w:tcMar>
          </w:tcPr>
          <w:p>
            <w:pPr>
              <w:spacing w:before="20" w:after="20"/>
            </w:pPr>
            <w:r>
              <w:rPr>
                <w:rFonts w:ascii="Calibri" w:hAnsi="Calibri"/>
                <w:color w:val="1E293B"/>
                <w:sz w:val="17"/>
              </w:rPr>
              <w:t>src/data/departmentData.js</w:t>
              <w:br/>
              <w:t>src/services/aiTutorEngine.js</w:t>
            </w:r>
          </w:p>
        </w:tc>
        <w:tc>
          <w:tcPr>
            <w:tcW w:type="dxa" w:w="2448"/>
            <w:shd w:fill="FFFFFF"/>
            <w:tcMar>
              <w:top w:w="70" w:type="dxa"/>
              <w:bottom w:w="70" w:type="dxa"/>
              <w:left w:w="100" w:type="dxa"/>
              <w:right w:w="100" w:type="dxa"/>
            </w:tcMar>
          </w:tcPr>
          <w:p>
            <w:pPr>
              <w:spacing w:before="20" w:after="20"/>
            </w:pPr>
            <w:r>
              <w:rPr>
                <w:rFonts w:ascii="Calibri" w:hAnsi="Calibri"/>
                <w:color w:val="1E293B"/>
                <w:sz w:val="17"/>
              </w:rPr>
              <w:t>10 Engineering Departments, HODs, Faculty directory, T&amp;P records (₹32 LPA), SRES history</w:t>
            </w:r>
          </w:p>
        </w:tc>
        <w:tc>
          <w:tcPr>
            <w:tcW w:type="dxa" w:w="2448"/>
            <w:shd w:fill="FFFFFF"/>
            <w:tcMar>
              <w:top w:w="70" w:type="dxa"/>
              <w:bottom w:w="70" w:type="dxa"/>
              <w:left w:w="100" w:type="dxa"/>
              <w:right w:w="100" w:type="dxa"/>
            </w:tcMar>
          </w:tcPr>
          <w:p>
            <w:pPr>
              <w:spacing w:before="20" w:after="20"/>
            </w:pPr>
            <w:r>
              <w:rPr>
                <w:rFonts w:ascii="Calibri" w:hAnsi="Calibri"/>
                <w:color w:val="1E293B"/>
                <w:sz w:val="17"/>
              </w:rPr>
              <w:t>Zero-hallucination answers to campus, departmental, and placement queries</w:t>
            </w:r>
          </w:p>
        </w:tc>
      </w:tr>
      <w:tr>
        <w:tc>
          <w:tcPr>
            <w:tcW w:type="dxa" w:w="2448"/>
            <w:shd w:fill="F8FAFC"/>
            <w:tcMar>
              <w:top w:w="70" w:type="dxa"/>
              <w:bottom w:w="70" w:type="dxa"/>
              <w:left w:w="100" w:type="dxa"/>
              <w:right w:w="100" w:type="dxa"/>
            </w:tcMar>
          </w:tcPr>
          <w:p>
            <w:pPr>
              <w:spacing w:before="20" w:after="20"/>
            </w:pPr>
            <w:r>
              <w:rPr>
                <w:rFonts w:ascii="Calibri" w:hAnsi="Calibri"/>
                <w:color w:val="1E293B"/>
                <w:sz w:val="17"/>
              </w:rPr>
              <w:t>9-Layer Cognitive Memory RAG</w:t>
            </w:r>
          </w:p>
        </w:tc>
        <w:tc>
          <w:tcPr>
            <w:tcW w:type="dxa" w:w="2448"/>
            <w:shd w:fill="F8FAFC"/>
            <w:tcMar>
              <w:top w:w="70" w:type="dxa"/>
              <w:bottom w:w="70" w:type="dxa"/>
              <w:left w:w="100" w:type="dxa"/>
              <w:right w:w="100" w:type="dxa"/>
            </w:tcMar>
          </w:tcPr>
          <w:p>
            <w:pPr>
              <w:spacing w:before="20" w:after="20"/>
            </w:pPr>
            <w:r>
              <w:rPr>
                <w:rFonts w:ascii="Calibri" w:hAnsi="Calibri"/>
                <w:color w:val="1E293B"/>
                <w:sz w:val="17"/>
              </w:rPr>
              <w:t>src/services/memoryBrain.js</w:t>
              <w:br/>
              <w:t>src/services/aiTutorEngine.js</w:t>
            </w:r>
          </w:p>
        </w:tc>
        <w:tc>
          <w:tcPr>
            <w:tcW w:type="dxa" w:w="2448"/>
            <w:shd w:fill="F8FAFC"/>
            <w:tcMar>
              <w:top w:w="70" w:type="dxa"/>
              <w:bottom w:w="70" w:type="dxa"/>
              <w:left w:w="100" w:type="dxa"/>
              <w:right w:w="100" w:type="dxa"/>
            </w:tcMar>
          </w:tcPr>
          <w:p>
            <w:pPr>
              <w:spacing w:before="20" w:after="20"/>
            </w:pPr>
            <w:r>
              <w:rPr>
                <w:rFonts w:ascii="Calibri" w:hAnsi="Calibri"/>
                <w:color w:val="1E293B"/>
                <w:sz w:val="17"/>
              </w:rPr>
              <w:t>Mastered skills, friction points, target roles (Google/Amazon), recent voice interactions</w:t>
            </w:r>
          </w:p>
        </w:tc>
        <w:tc>
          <w:tcPr>
            <w:tcW w:type="dxa" w:w="2448"/>
            <w:shd w:fill="F8FAFC"/>
            <w:tcMar>
              <w:top w:w="70" w:type="dxa"/>
              <w:bottom w:w="70" w:type="dxa"/>
              <w:left w:w="100" w:type="dxa"/>
              <w:right w:w="100" w:type="dxa"/>
            </w:tcMar>
          </w:tcPr>
          <w:p>
            <w:pPr>
              <w:spacing w:before="20" w:after="20"/>
            </w:pPr>
            <w:r>
              <w:rPr>
                <w:rFonts w:ascii="Calibri" w:hAnsi="Calibri"/>
                <w:color w:val="1E293B"/>
                <w:sz w:val="17"/>
              </w:rPr>
              <w:t>Personalized explanations adapted to student's exact skill gaps and ambitions</w:t>
            </w:r>
          </w:p>
        </w:tc>
      </w:tr>
      <w:tr>
        <w:tc>
          <w:tcPr>
            <w:tcW w:type="dxa" w:w="2448"/>
            <w:shd w:fill="FFFFFF"/>
            <w:tcMar>
              <w:top w:w="70" w:type="dxa"/>
              <w:bottom w:w="70" w:type="dxa"/>
              <w:left w:w="100" w:type="dxa"/>
              <w:right w:w="100" w:type="dxa"/>
            </w:tcMar>
          </w:tcPr>
          <w:p>
            <w:pPr>
              <w:spacing w:before="20" w:after="20"/>
            </w:pPr>
            <w:r>
              <w:rPr>
                <w:rFonts w:ascii="Calibri" w:hAnsi="Calibri"/>
                <w:color w:val="1E293B"/>
                <w:sz w:val="17"/>
              </w:rPr>
              <w:t>DSA &amp; Coding Challenge RAG</w:t>
            </w:r>
          </w:p>
        </w:tc>
        <w:tc>
          <w:tcPr>
            <w:tcW w:type="dxa" w:w="2448"/>
            <w:shd w:fill="FFFFFF"/>
            <w:tcMar>
              <w:top w:w="70" w:type="dxa"/>
              <w:bottom w:w="70" w:type="dxa"/>
              <w:left w:w="100" w:type="dxa"/>
              <w:right w:w="100" w:type="dxa"/>
            </w:tcMar>
          </w:tcPr>
          <w:p>
            <w:pPr>
              <w:spacing w:before="20" w:after="20"/>
            </w:pPr>
            <w:r>
              <w:rPr>
                <w:rFonts w:ascii="Calibri" w:hAnsi="Calibri"/>
                <w:color w:val="1E293B"/>
                <w:sz w:val="17"/>
              </w:rPr>
              <w:t>src/data/dsa/dsaKnowledgeData.js</w:t>
              <w:br/>
              <w:t>src/data/dsa/hackerRankProblems.js</w:t>
            </w:r>
          </w:p>
        </w:tc>
        <w:tc>
          <w:tcPr>
            <w:tcW w:type="dxa" w:w="2448"/>
            <w:shd w:fill="FFFFFF"/>
            <w:tcMar>
              <w:top w:w="70" w:type="dxa"/>
              <w:bottom w:w="70" w:type="dxa"/>
              <w:left w:w="100" w:type="dxa"/>
              <w:right w:w="100" w:type="dxa"/>
            </w:tcMar>
          </w:tcPr>
          <w:p>
            <w:pPr>
              <w:spacing w:before="20" w:after="20"/>
            </w:pPr>
            <w:r>
              <w:rPr>
                <w:rFonts w:ascii="Calibri" w:hAnsi="Calibri"/>
                <w:color w:val="1E293B"/>
                <w:sz w:val="17"/>
              </w:rPr>
              <w:t>167+ challenge specs, optimal time/space bounds, test cases, and Socratic hints</w:t>
            </w:r>
          </w:p>
        </w:tc>
        <w:tc>
          <w:tcPr>
            <w:tcW w:type="dxa" w:w="2448"/>
            <w:shd w:fill="FFFFFF"/>
            <w:tcMar>
              <w:top w:w="70" w:type="dxa"/>
              <w:bottom w:w="70" w:type="dxa"/>
              <w:left w:w="100" w:type="dxa"/>
              <w:right w:w="100" w:type="dxa"/>
            </w:tcMar>
          </w:tcPr>
          <w:p>
            <w:pPr>
              <w:spacing w:before="20" w:after="20"/>
            </w:pPr>
            <w:r>
              <w:rPr>
                <w:rFonts w:ascii="Calibri" w:hAnsi="Calibri"/>
                <w:color w:val="1E293B"/>
                <w:sz w:val="17"/>
              </w:rPr>
              <w:t>In-editor intelligent guidance without giving away direct solutions prematurely</w:t>
            </w:r>
          </w:p>
        </w:tc>
      </w:tr>
      <w:tr>
        <w:tc>
          <w:tcPr>
            <w:tcW w:type="dxa" w:w="2448"/>
            <w:shd w:fill="F8FAFC"/>
            <w:tcMar>
              <w:top w:w="70" w:type="dxa"/>
              <w:bottom w:w="70" w:type="dxa"/>
              <w:left w:w="100" w:type="dxa"/>
              <w:right w:w="100" w:type="dxa"/>
            </w:tcMar>
          </w:tcPr>
          <w:p>
            <w:pPr>
              <w:spacing w:before="20" w:after="20"/>
            </w:pPr>
            <w:r>
              <w:rPr>
                <w:rFonts w:ascii="Calibri" w:hAnsi="Calibri"/>
                <w:color w:val="1E293B"/>
                <w:sz w:val="17"/>
              </w:rPr>
              <w:t>Job Readiness &amp; ATS Matcher RAG</w:t>
            </w:r>
          </w:p>
        </w:tc>
        <w:tc>
          <w:tcPr>
            <w:tcW w:type="dxa" w:w="2448"/>
            <w:shd w:fill="F8FAFC"/>
            <w:tcMar>
              <w:top w:w="70" w:type="dxa"/>
              <w:bottom w:w="70" w:type="dxa"/>
              <w:left w:w="100" w:type="dxa"/>
              <w:right w:w="100" w:type="dxa"/>
            </w:tcMar>
          </w:tcPr>
          <w:p>
            <w:pPr>
              <w:spacing w:before="20" w:after="20"/>
            </w:pPr>
            <w:r>
              <w:rPr>
                <w:rFonts w:ascii="Calibri" w:hAnsi="Calibri"/>
                <w:color w:val="1E293B"/>
                <w:sz w:val="17"/>
              </w:rPr>
              <w:t>src/components/JobReadiness/IPArmySuite.jsx</w:t>
              <w:br/>
              <w:t>src/services/ipArmyAgents.js</w:t>
            </w:r>
          </w:p>
        </w:tc>
        <w:tc>
          <w:tcPr>
            <w:tcW w:type="dxa" w:w="2448"/>
            <w:shd w:fill="F8FAFC"/>
            <w:tcMar>
              <w:top w:w="70" w:type="dxa"/>
              <w:bottom w:w="70" w:type="dxa"/>
              <w:left w:w="100" w:type="dxa"/>
              <w:right w:w="100" w:type="dxa"/>
            </w:tcMar>
          </w:tcPr>
          <w:p>
            <w:pPr>
              <w:spacing w:before="20" w:after="20"/>
            </w:pPr>
            <w:r>
              <w:rPr>
                <w:rFonts w:ascii="Calibri" w:hAnsi="Calibri"/>
                <w:color w:val="1E293B"/>
                <w:sz w:val="17"/>
              </w:rPr>
              <w:t>Google, Amazon &amp; TCS JD skills, resume bullet taxonomy, candidate knowledge gaps</w:t>
            </w:r>
          </w:p>
        </w:tc>
        <w:tc>
          <w:tcPr>
            <w:tcW w:type="dxa" w:w="2448"/>
            <w:shd w:fill="F8FAFC"/>
            <w:tcMar>
              <w:top w:w="70" w:type="dxa"/>
              <w:bottom w:w="70" w:type="dxa"/>
              <w:left w:w="100" w:type="dxa"/>
              <w:right w:w="100" w:type="dxa"/>
            </w:tcMar>
          </w:tcPr>
          <w:p>
            <w:pPr>
              <w:spacing w:before="20" w:after="20"/>
            </w:pPr>
            <w:r>
              <w:rPr>
                <w:rFonts w:ascii="Calibri" w:hAnsi="Calibri"/>
                <w:color w:val="1E293B"/>
                <w:sz w:val="17"/>
              </w:rPr>
              <w:t>Real-time ATS match scoring and automated generation of Google XYZ-format bullets</w:t>
            </w:r>
          </w:p>
        </w:tc>
      </w:tr>
      <w:tr>
        <w:tc>
          <w:tcPr>
            <w:tcW w:type="dxa" w:w="2448"/>
            <w:shd w:fill="FFFFFF"/>
            <w:tcMar>
              <w:top w:w="70" w:type="dxa"/>
              <w:bottom w:w="70" w:type="dxa"/>
              <w:left w:w="100" w:type="dxa"/>
              <w:right w:w="100" w:type="dxa"/>
            </w:tcMar>
          </w:tcPr>
          <w:p>
            <w:pPr>
              <w:spacing w:before="20" w:after="20"/>
            </w:pPr>
            <w:r>
              <w:rPr>
                <w:rFonts w:ascii="Calibri" w:hAnsi="Calibri"/>
                <w:color w:val="1E293B"/>
                <w:sz w:val="17"/>
              </w:rPr>
              <w:t>Voice Tutor Code Canvas RAG</w:t>
            </w:r>
          </w:p>
        </w:tc>
        <w:tc>
          <w:tcPr>
            <w:tcW w:type="dxa" w:w="2448"/>
            <w:shd w:fill="FFFFFF"/>
            <w:tcMar>
              <w:top w:w="70" w:type="dxa"/>
              <w:bottom w:w="70" w:type="dxa"/>
              <w:left w:w="100" w:type="dxa"/>
              <w:right w:w="100" w:type="dxa"/>
            </w:tcMar>
          </w:tcPr>
          <w:p>
            <w:pPr>
              <w:spacing w:before="20" w:after="20"/>
            </w:pPr>
            <w:r>
              <w:rPr>
                <w:rFonts w:ascii="Calibri" w:hAnsi="Calibri"/>
                <w:color w:val="1E293B"/>
                <w:sz w:val="17"/>
              </w:rPr>
              <w:t>src/pages/VoiceTutor.jsx</w:t>
              <w:br/>
              <w:t>src/services/elevenLabsService.js</w:t>
            </w:r>
          </w:p>
        </w:tc>
        <w:tc>
          <w:tcPr>
            <w:tcW w:type="dxa" w:w="2448"/>
            <w:shd w:fill="FFFFFF"/>
            <w:tcMar>
              <w:top w:w="70" w:type="dxa"/>
              <w:bottom w:w="70" w:type="dxa"/>
              <w:left w:w="100" w:type="dxa"/>
              <w:right w:w="100" w:type="dxa"/>
            </w:tcMar>
          </w:tcPr>
          <w:p>
            <w:pPr>
              <w:spacing w:before="20" w:after="20"/>
            </w:pPr>
            <w:r>
              <w:rPr>
                <w:rFonts w:ascii="Calibri" w:hAnsi="Calibri"/>
                <w:color w:val="1E293B"/>
                <w:sz w:val="17"/>
              </w:rPr>
              <w:t>Markdown code block extractions from verbal explanations, syntax tokens, language badges</w:t>
            </w:r>
          </w:p>
        </w:tc>
        <w:tc>
          <w:tcPr>
            <w:tcW w:type="dxa" w:w="2448"/>
            <w:shd w:fill="FFFFFF"/>
            <w:tcMar>
              <w:top w:w="70" w:type="dxa"/>
              <w:bottom w:w="70" w:type="dxa"/>
              <w:left w:w="100" w:type="dxa"/>
              <w:right w:w="100" w:type="dxa"/>
            </w:tcMar>
          </w:tcPr>
          <w:p>
            <w:pPr>
              <w:spacing w:before="20" w:after="20"/>
            </w:pPr>
            <w:r>
              <w:rPr>
                <w:rFonts w:ascii="Calibri" w:hAnsi="Calibri"/>
                <w:color w:val="1E293B"/>
                <w:sz w:val="17"/>
              </w:rPr>
              <w:t>Spoken voice explanation while projecting code snippet live to the IO screen</w:t>
            </w:r>
          </w:p>
        </w:tc>
      </w:tr>
      <w:tr>
        <w:tc>
          <w:tcPr>
            <w:tcW w:type="dxa" w:w="2448"/>
            <w:shd w:fill="F8FAFC"/>
            <w:tcMar>
              <w:top w:w="70" w:type="dxa"/>
              <w:bottom w:w="70" w:type="dxa"/>
              <w:left w:w="100" w:type="dxa"/>
              <w:right w:w="100" w:type="dxa"/>
            </w:tcMar>
          </w:tcPr>
          <w:p>
            <w:pPr>
              <w:spacing w:before="20" w:after="20"/>
            </w:pPr>
            <w:r>
              <w:rPr>
                <w:rFonts w:ascii="Calibri" w:hAnsi="Calibri"/>
                <w:color w:val="1E293B"/>
                <w:sz w:val="17"/>
              </w:rPr>
              <w:t>Production Take-Home RAG Suite</w:t>
            </w:r>
          </w:p>
        </w:tc>
        <w:tc>
          <w:tcPr>
            <w:tcW w:type="dxa" w:w="2448"/>
            <w:shd w:fill="F8FAFC"/>
            <w:tcMar>
              <w:top w:w="70" w:type="dxa"/>
              <w:bottom w:w="70" w:type="dxa"/>
              <w:left w:w="100" w:type="dxa"/>
              <w:right w:w="100" w:type="dxa"/>
            </w:tcMar>
          </w:tcPr>
          <w:p>
            <w:pPr>
              <w:spacing w:before="20" w:after="20"/>
            </w:pPr>
            <w:r>
              <w:rPr>
                <w:rFonts w:ascii="Calibri" w:hAnsi="Calibri"/>
                <w:color w:val="1E293B"/>
                <w:sz w:val="17"/>
              </w:rPr>
              <w:t>src/data/assignmentsData.js</w:t>
              <w:br/>
              <w:t>(Tasks #258 &amp; #1024)</w:t>
            </w:r>
          </w:p>
        </w:tc>
        <w:tc>
          <w:tcPr>
            <w:tcW w:type="dxa" w:w="2448"/>
            <w:shd w:fill="F8FAFC"/>
            <w:tcMar>
              <w:top w:w="70" w:type="dxa"/>
              <w:bottom w:w="70" w:type="dxa"/>
              <w:left w:w="100" w:type="dxa"/>
              <w:right w:w="100" w:type="dxa"/>
            </w:tcMar>
          </w:tcPr>
          <w:p>
            <w:pPr>
              <w:spacing w:before="20" w:after="20"/>
            </w:pPr>
            <w:r>
              <w:rPr>
                <w:rFonts w:ascii="Calibri" w:hAnsi="Calibri"/>
                <w:color w:val="1E293B"/>
                <w:sz w:val="17"/>
              </w:rPr>
              <w:t>Reciprocal Rank Fusion (RRF), BM25 sparse search + dense neural embeddings, cross-encoders</w:t>
            </w:r>
          </w:p>
        </w:tc>
        <w:tc>
          <w:tcPr>
            <w:tcW w:type="dxa" w:w="2448"/>
            <w:shd w:fill="F8FAFC"/>
            <w:tcMar>
              <w:top w:w="70" w:type="dxa"/>
              <w:bottom w:w="70" w:type="dxa"/>
              <w:left w:w="100" w:type="dxa"/>
              <w:right w:w="100" w:type="dxa"/>
            </w:tcMar>
          </w:tcPr>
          <w:p>
            <w:pPr>
              <w:spacing w:before="20" w:after="20"/>
            </w:pPr>
            <w:r>
              <w:rPr>
                <w:rFonts w:ascii="Calibri" w:hAnsi="Calibri"/>
                <w:color w:val="1E293B"/>
                <w:sz w:val="17"/>
              </w:rPr>
              <w:t>Curriculum assignment for students to build and test production RAG pipelines</w:t>
            </w:r>
          </w:p>
        </w:tc>
      </w:tr>
    </w:tbl>
    <w:p>
      <w:pPr>
        <w:spacing w:after="200"/>
      </w:pPr>
    </w:p>
    <w:p>
      <w:pPr>
        <w:pStyle w:val="Heading1"/>
        <w:spacing w:before="280" w:after="120"/>
      </w:pPr>
      <w:r>
        <w:t>4. Architectural Deep-Dive into Each RAG Module</w:t>
      </w:r>
    </w:p>
    <w:p>
      <w:pPr>
        <w:pStyle w:val="Heading2"/>
        <w:spacing w:before="200" w:after="80"/>
      </w:pPr>
      <w:r>
        <w:t>4.1 Institutional &amp; Departmental Knowledge RAG</w:t>
      </w:r>
    </w:p>
    <w:p>
      <w:r>
        <w:t>The Institutional RAG module is designed specifically for Sanjivani College of Engineering / Sanjivani University. In `src/data/departmentData.js`, DOAP maintains an authoritative knowledge graph covering 10 academic departments: Computer Engineering, AI &amp; Data Science, Information Technology, Mechanical Engineering, Civil Engineering, Electrical Engineering, Electronics &amp; Computer Engineering, Mechatronics, MBA, and Basic Sciences.</w:t>
      </w:r>
    </w:p>
    <w:p>
      <w:r>
        <w:t>When a student asks questions such as 'Who is the HOD of Mechanical?', 'Tell me about the robotics lab', or 'What companies visited campus for placements?', DOAP evaluates regex and semantic triggers, pulls the exact departmental data block, and injects it into the prompt:</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left w:val="single" w:sz="6"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b/>
                <w:color w:val="64748B"/>
                <w:sz w:val="17"/>
              </w:rPr>
              <w:t>// File: src/services/aiTutorEngine.js</w:t>
              <w:br/>
            </w:r>
            <w:r>
              <w:rPr>
                <w:rFonts w:ascii="Consolas" w:hAnsi="Consolas"/>
                <w:color w:val="0F172A"/>
                <w:sz w:val="17"/>
              </w:rPr>
              <w:t>// Excerpt from src/services/aiTutorEngine.js (Lines 840-852)</w:t>
              <w:br/>
              <w:t>const SANJIVANI_KNOWLEDGE_BASE = `</w:t>
              <w:br/>
              <w:t>Institutional Knowledge Authority (Sanjivani University &amp; SCOE):</w:t>
              <w:br/>
              <w:t>- Leadership: Hon. Shri Nitindada S. Kolhe Saheb (Chairman, SRES),</w:t>
              <w:br/>
              <w:t xml:space="preserve">  Hon. Shri Amitdada Kolhe Saheb (Managing Trustee, SRES).</w:t>
              <w:br/>
              <w:t>- Placement Excellence: 917+ offers, top package ₹32 LPA, 150+ international offers.</w:t>
              <w:br/>
              <w:t>- Recruiters: Amazon, TCS, Infosys, Cognizant, Persistent, Juspay, Zscaler.</w:t>
              <w:br/>
              <w:t>- Academic Departments: 10 accredited schools with state-of-the-art research centers.</w:t>
              <w:br/>
              <w:t>${DEPARTMENT_KNOWLEDGE_PROMPT}`;</w:t>
              <w:br/>
              <w:br/>
              <w:t>// Augmented Prompt Injection</w:t>
              <w:br/>
              <w:t>const systemInstruction = `...\n${workingMemory}\n${SANJIVANI_KNOWLEDGE_BASE}\n...`;</w:t>
            </w:r>
          </w:p>
        </w:tc>
      </w:tr>
    </w:tbl>
    <w:p>
      <w:pPr>
        <w:spacing w:after="120"/>
      </w:pPr>
    </w:p>
    <w:p>
      <w:pPr>
        <w:pStyle w:val="Heading2"/>
        <w:spacing w:before="200" w:after="80"/>
      </w:pPr>
      <w:r>
        <w:t>4.2 The 9-Layer Cognitive Memory Brain RAG</w:t>
      </w:r>
    </w:p>
    <w:p>
      <w:r>
        <w:t>DOAP incorporates an advanced 9-layer persistent memory brain inspired by Claw Code and autonomous agent architectures. Located in `src/services/memoryBrain.js`, the memory brain stores and retrieves student-specific context continuously:</w:t>
      </w:r>
    </w:p>
    <w:p>
      <w:pPr>
        <w:spacing w:before="20" w:after="40"/>
        <w:ind w:left="288"/>
      </w:pPr>
      <w:r>
        <w:rPr>
          <w:b/>
          <w:sz w:val="19"/>
        </w:rPr>
        <w:t xml:space="preserve">• Layer 1: Identity &amp; Persona: </w:t>
      </w:r>
      <w:r>
        <w:rPr>
          <w:sz w:val="19"/>
        </w:rPr>
        <w:t>Stores preferred name, title, target career role, target companies (e.g. Google, Amazon), and primary coding languages.</w:t>
      </w:r>
    </w:p>
    <w:p>
      <w:pPr>
        <w:spacing w:before="20" w:after="40"/>
        <w:ind w:left="288"/>
      </w:pPr>
      <w:r>
        <w:rPr>
          <w:b/>
          <w:sz w:val="19"/>
        </w:rPr>
        <w:t xml:space="preserve">• Layer 2: Episodic Memory: </w:t>
      </w:r>
      <w:r>
        <w:rPr>
          <w:sz w:val="19"/>
        </w:rPr>
        <w:t>Maintains a chronological timeline of recent learning interactions, milestones, and breakthroughs with human-readable timestamps.</w:t>
      </w:r>
    </w:p>
    <w:p>
      <w:pPr>
        <w:spacing w:before="20" w:after="40"/>
        <w:ind w:left="288"/>
      </w:pPr>
      <w:r>
        <w:rPr>
          <w:b/>
          <w:sz w:val="19"/>
        </w:rPr>
        <w:t xml:space="preserve">• Layer 3: Semantic Knowledge Graph: </w:t>
      </w:r>
      <w:r>
        <w:rPr>
          <w:sz w:val="19"/>
        </w:rPr>
        <w:t>Categorizes concepts conquered into 'Mastered' (emerald), 'In-Progress' (cyan), and 'Focus This Week'.</w:t>
      </w:r>
    </w:p>
    <w:p>
      <w:pPr>
        <w:spacing w:before="20" w:after="40"/>
        <w:ind w:left="288"/>
      </w:pPr>
      <w:r>
        <w:rPr>
          <w:b/>
          <w:sz w:val="19"/>
        </w:rPr>
        <w:t xml:space="preserve">• Layer 4: Weakness &amp; Friction Tracker: </w:t>
      </w:r>
      <w:r>
        <w:rPr>
          <w:sz w:val="19"/>
        </w:rPr>
        <w:t>Flags specific conceptual stumbling blocks (e.g. 'Dynamic Programming Memoization', 'Graph Cycle Detection').</w:t>
      </w:r>
    </w:p>
    <w:p>
      <w:pPr>
        <w:spacing w:before="20" w:after="40"/>
        <w:ind w:left="288"/>
      </w:pPr>
      <w:r>
        <w:rPr>
          <w:b/>
          <w:sz w:val="19"/>
        </w:rPr>
        <w:t xml:space="preserve">• Layer 5: Procedural Preferences: </w:t>
      </w:r>
      <w:r>
        <w:rPr>
          <w:sz w:val="19"/>
        </w:rPr>
        <w:t>Remembers coding preferences (Python vs C++), speech accents (Swara Neural), dark theme, and communication cadence.</w:t>
      </w:r>
    </w:p>
    <w:p>
      <w:pPr>
        <w:spacing w:before="20" w:after="40"/>
        <w:ind w:left="288"/>
      </w:pPr>
      <w:r>
        <w:rPr>
          <w:b/>
          <w:sz w:val="19"/>
        </w:rPr>
        <w:t xml:space="preserve">• Layer 6: Project Registry: </w:t>
      </w:r>
      <w:r>
        <w:rPr>
          <w:sz w:val="19"/>
        </w:rPr>
        <w:t>Tracks active software engineering repositories (IP Prime OS, DOAP, Doap-Code-Checker).</w:t>
      </w:r>
    </w:p>
    <w:p>
      <w:pPr>
        <w:spacing w:before="20" w:after="40"/>
        <w:ind w:left="288"/>
      </w:pPr>
      <w:r>
        <w:rPr>
          <w:b/>
          <w:sz w:val="19"/>
        </w:rPr>
        <w:t xml:space="preserve">• Layer 7: Career &amp; Readiness Score: </w:t>
      </w:r>
      <w:r>
        <w:rPr>
          <w:sz w:val="19"/>
        </w:rPr>
        <w:t>Maintains an active 0-100 algorithmic proficiency score and problem solved counter.</w:t>
      </w:r>
    </w:p>
    <w:p>
      <w:pPr>
        <w:spacing w:before="20" w:after="40"/>
        <w:ind w:left="288"/>
      </w:pPr>
      <w:r>
        <w:rPr>
          <w:b/>
          <w:sz w:val="19"/>
        </w:rPr>
        <w:t xml:space="preserve">• Layer 8: Skill Progress Matrix: </w:t>
      </w:r>
      <w:r>
        <w:rPr>
          <w:sz w:val="19"/>
        </w:rPr>
        <w:t>Tracks fine-grained skill percentage across DSA topics and specific company tracks.</w:t>
      </w:r>
    </w:p>
    <w:p>
      <w:pPr>
        <w:spacing w:before="20" w:after="40"/>
        <w:ind w:left="288"/>
      </w:pPr>
      <w:r>
        <w:rPr>
          <w:b/>
          <w:sz w:val="19"/>
        </w:rPr>
        <w:t xml:space="preserve">• Layer 9: Agent &amp; Session State: </w:t>
      </w:r>
      <w:r>
        <w:rPr>
          <w:sz w:val="19"/>
        </w:rPr>
        <w:t>Stores active session IDs, preferred subagents, and company-specific leadership principle readiness.</w:t>
      </w:r>
    </w:p>
    <w:p>
      <w:r>
        <w:t>Before generating any response, `aiTutorEngine.js` calls `memoryBrain.getWorkingMemoryContext()`, which synthesizes these layers into a concise Markdown brief. When the student speaks to the Voice Tutor, the voice engine retrieves this brief so the AI speaks directly to their goals and weaknesses without needing the student to re-explain their background.</w:t>
      </w:r>
    </w:p>
    <w:tbl>
      <w:tblPr>
        <w:tblW w:type="auto" w:w="0"/>
        <w:jc w:val="center"/>
        <w:tblLook w:firstColumn="1" w:firstRow="1" w:lastColumn="0" w:lastRow="0" w:noHBand="0" w:noVBand="1" w:val="04A0"/>
      </w:tblPr>
      <w:tblGrid>
        <w:gridCol w:w="9792"/>
      </w:tblGrid>
      <w:tr>
        <w:tc>
          <w:tcPr>
            <w:tcW w:type="dxa" w:w="9792"/>
            <w:shd w:fill="F8FAFC"/>
            <w:tcMar>
              <w:top w:w="100" w:type="dxa"/>
              <w:bottom w:w="100" w:type="dxa"/>
              <w:left w:w="150" w:type="dxa"/>
              <w:right w:w="150" w:type="dxa"/>
            </w:tcMar>
            <w:tcBorders>
              <w:left w:val="single" w:sz="6" w:space="0" w:color="CBD5E1"/>
              <w:top w:val="single" w:sz="6" w:space="0" w:color="CBD5E1"/>
              <w:right w:val="single" w:sz="6" w:space="0" w:color="CBD5E1"/>
              <w:bottom w:val="single" w:sz="6" w:space="0" w:color="CBD5E1"/>
            </w:tcBorders>
          </w:tcPr>
          <w:p>
            <w:pPr>
              <w:spacing w:before="40" w:after="40" w:line="252" w:lineRule="auto"/>
            </w:pPr>
            <w:r>
              <w:rPr>
                <w:rFonts w:ascii="Consolas" w:hAnsi="Consolas"/>
                <w:b/>
                <w:color w:val="64748B"/>
                <w:sz w:val="17"/>
              </w:rPr>
              <w:t>// File: src/services/memoryBrain.js</w:t>
              <w:br/>
            </w:r>
            <w:r>
              <w:rPr>
                <w:rFonts w:ascii="Consolas" w:hAnsi="Consolas"/>
                <w:color w:val="0F172A"/>
                <w:sz w:val="17"/>
              </w:rPr>
              <w:t>// Excerpt from src/services/memoryBrain.js (Lines 290-315)</w:t>
              <w:br/>
              <w:t>getWorkingMemoryContext() {</w:t>
              <w:br/>
              <w:t xml:space="preserve">  const m = this.memory;</w:t>
              <w:br/>
              <w:t xml:space="preserve">  return `[Cognitive Memory Briefing]:\n` +</w:t>
              <w:br/>
              <w:t xml:space="preserve">    `- Student Target: ${m.identity.targetRole} at ${m.identity.targetCompanies.join(', ')}\n` +</w:t>
              <w:br/>
              <w:t xml:space="preserve">    `- Mastered: ${m.semantic.mastered.slice(-5).join(', ')}\n` +</w:t>
              <w:br/>
              <w:t xml:space="preserve">    `- Active Weaknesses to Reinforce: ${m.weaknesses.reviewTopics.join(', ')}\n` +</w:t>
              <w:br/>
              <w:t xml:space="preserve">    `- Last Stumbled On: ${m.weaknesses.lastStumbledOn}\n` +</w:t>
              <w:br/>
              <w:t xml:space="preserve">    `- Preferred Language: ${m.procedural.preferredCodingLanguage}\n` +</w:t>
              <w:br/>
              <w:t xml:space="preserve">    `- Readiness Score: ${m.milestones.readinessScore}/100`;</w:t>
              <w:br/>
              <w:t>}</w:t>
            </w:r>
          </w:p>
        </w:tc>
      </w:tr>
    </w:tbl>
    <w:p>
      <w:pPr>
        <w:spacing w:after="120"/>
      </w:pPr>
    </w:p>
    <w:p>
      <w:pPr>
        <w:pStyle w:val="Heading2"/>
        <w:spacing w:before="200" w:after="80"/>
      </w:pPr>
      <w:r>
        <w:t>4.3 Coding Practice &amp; Curriculum RAG</w:t>
      </w:r>
    </w:p>
    <w:p>
      <w:r>
        <w:t>In `src/data/dsa/dsaKnowledgeData.js` and `src/data/dsa/hackerRankProblems.js`, DOAP stores 167+ curated challenges (147 LeetCode problems + 20 HackerRank Interview Preparation Kit challenges), along with 135 Topic Guides and 346 Quizzes. Each challenge contains structured metadata: input/output constraints, boundary conditions, edge case specifications, and optimal Big-O bounds.</w:t>
      </w:r>
    </w:p>
    <w:p>
      <w:r>
        <w:t>When a student writes code in `/coding` or asks the AI Tutor for assistance with a specific challenge, the RAG system extracts the problem's exact test suite and invariant rules. The AI then operates in Socratic Mode: it retrieves the known traps for that algorithm and asks guiding questions rather than spoiling the solution.</w:t>
      </w:r>
    </w:p>
    <w:p>
      <w:pPr>
        <w:pStyle w:val="Heading2"/>
        <w:spacing w:before="200" w:after="80"/>
      </w:pPr>
      <w:r>
        <w:t>4.4 Enterprise Job Description (JD) ATS Matcher RAG</w:t>
      </w:r>
    </w:p>
    <w:p>
      <w:r>
        <w:t>In `src/components/JobReadiness/IPArmySuite.jsx`, DOAP implements a specialized career RAG system. Students select or paste an enterprise Job Description (e.g. Google SWE III, Amazon SDE II, TCS Digital Prime). The retrieval pipeline parses the JD into required technical competencies (e.g., 'Distributed Caching', 'Event Sourcing', 'gRPC') and retrieves the student's mastered skills from Layer 3 of `memoryBrain`. It then calculates an ATS match score and prompts the LLM with the exact missing skill delta to generate Google XYZ-format bullets ('Accomplished [X] as measured by [Y] by doing [Z]').</w:t>
      </w:r>
    </w:p>
    <w:p>
      <w:pPr>
        <w:pStyle w:val="Heading2"/>
        <w:spacing w:before="200" w:after="80"/>
      </w:pPr>
      <w:r>
        <w:t>4.5 Real-Time Voice Tutor Code Canvas RAG</w:t>
      </w:r>
    </w:p>
    <w:p>
      <w:r>
        <w:t>In `src/pages/VoiceTutor.jsx`, RAG operates seamlessly across auditory and visual modalities. When an algorithmic question is processed, the LLM response is parsed in real time. Code snippets enclosed in markdown blocks are retrieved from the stream, syntax-highlighted, and projected dynamically onto the Live Code Canvas (IO console), while the Swara Multilingual Voice synthesizer speaks only the human conversational explanation. The voice engine retrieves phonetically normalized versions of technical symbols and Hinglish words to ensure native cadence.</w:t>
      </w:r>
    </w:p>
    <w:p>
      <w:pPr>
        <w:pStyle w:val="Heading2"/>
        <w:spacing w:before="200" w:after="80"/>
      </w:pPr>
      <w:r>
        <w:t>4.6 Student Take-Home Production RAG Challenges</w:t>
      </w:r>
    </w:p>
    <w:p>
      <w:r>
        <w:t>Beyond using internal RAG, DOAP teaches production RAG architecture to students through its Take-Home Project Assignments in `src/data/assignmentsData.js`:</w:t>
      </w:r>
    </w:p>
    <w:p>
      <w:r>
        <w:t>• Assignment #258 ('Production RAG Pipeline &amp; LLM Inference Microservice'): Students build a FastAPI service implementing dense vector embeddings, semantic chunking, and streaming token delivery.</w:t>
        <w:br/>
        <w:t>• Assignment #1024 ('Semantic RAG Engine with Hybrid Search &amp; Cross-Encoder Reranking'): Students implement Reciprocal Rank Fusion (RRF) combining sparse BM25 keyword matching with dense embeddings, followed by cross-encoder re-ranking for enterprise search.</w:t>
      </w:r>
    </w:p>
    <w:p>
      <w:pPr>
        <w:pStyle w:val="Heading1"/>
        <w:spacing w:before="280" w:after="120"/>
      </w:pPr>
      <w:r>
        <w:t>5. Performance Benchmarks, Metrics &amp; Architectural Advantages</w:t>
      </w:r>
    </w:p>
    <w:tbl>
      <w:tblPr>
        <w:tblW w:type="auto" w:w="0"/>
        <w:jc w:val="center"/>
        <w:tblLook w:firstColumn="1" w:firstRow="1" w:lastColumn="0" w:lastRow="0" w:noHBand="0" w:noVBand="1" w:val="04A0"/>
      </w:tblPr>
      <w:tblGrid>
        <w:gridCol w:w="3264"/>
        <w:gridCol w:w="3264"/>
        <w:gridCol w:w="3264"/>
      </w:tblGrid>
      <w:tr>
        <w:tc>
          <w:tcPr>
            <w:tcW w:type="dxa" w:w="3264"/>
            <w:shd w:fill="0F172A"/>
            <w:tcMar>
              <w:top w:w="80" w:type="dxa"/>
              <w:bottom w:w="80" w:type="dxa"/>
              <w:left w:w="100" w:type="dxa"/>
              <w:right w:w="100" w:type="dxa"/>
            </w:tcMar>
          </w:tcPr>
          <w:p>
            <w:r>
              <w:rPr>
                <w:rFonts w:ascii="Calibri" w:hAnsi="Calibri"/>
                <w:b/>
                <w:color w:val="FFFFFF"/>
                <w:sz w:val="19"/>
              </w:rPr>
              <w:t>Evaluation Dimension</w:t>
            </w:r>
          </w:p>
        </w:tc>
        <w:tc>
          <w:tcPr>
            <w:tcW w:type="dxa" w:w="3264"/>
            <w:shd w:fill="0F172A"/>
            <w:tcMar>
              <w:top w:w="80" w:type="dxa"/>
              <w:bottom w:w="80" w:type="dxa"/>
              <w:left w:w="100" w:type="dxa"/>
              <w:right w:w="100" w:type="dxa"/>
            </w:tcMar>
          </w:tcPr>
          <w:p>
            <w:r>
              <w:rPr>
                <w:rFonts w:ascii="Calibri" w:hAnsi="Calibri"/>
                <w:b/>
                <w:color w:val="FFFFFF"/>
                <w:sz w:val="19"/>
              </w:rPr>
              <w:t>Standard LLM (Without RAG)</w:t>
            </w:r>
          </w:p>
        </w:tc>
        <w:tc>
          <w:tcPr>
            <w:tcW w:type="dxa" w:w="3264"/>
            <w:shd w:fill="0F172A"/>
            <w:tcMar>
              <w:top w:w="80" w:type="dxa"/>
              <w:bottom w:w="80" w:type="dxa"/>
              <w:left w:w="100" w:type="dxa"/>
              <w:right w:w="100" w:type="dxa"/>
            </w:tcMar>
          </w:tcPr>
          <w:p>
            <w:r>
              <w:rPr>
                <w:rFonts w:ascii="Calibri" w:hAnsi="Calibri"/>
                <w:b/>
                <w:color w:val="FFFFFF"/>
                <w:sz w:val="19"/>
              </w:rPr>
              <w:t>DOAP Platform with RAG</w:t>
            </w:r>
          </w:p>
        </w:tc>
      </w:tr>
      <w:tr>
        <w:tc>
          <w:tcPr>
            <w:tcW w:type="dxa" w:w="3264"/>
            <w:shd w:fill="FFFFFF"/>
            <w:tcMar>
              <w:top w:w="70" w:type="dxa"/>
              <w:bottom w:w="70" w:type="dxa"/>
              <w:left w:w="100" w:type="dxa"/>
              <w:right w:w="100" w:type="dxa"/>
            </w:tcMar>
          </w:tcPr>
          <w:p>
            <w:pPr>
              <w:spacing w:before="20" w:after="20"/>
            </w:pPr>
            <w:r>
              <w:rPr>
                <w:rFonts w:ascii="Calibri" w:hAnsi="Calibri"/>
                <w:b/>
                <w:color w:val="1E293B"/>
                <w:sz w:val="17"/>
              </w:rPr>
              <w:t>Institutional Query Accuracy</w:t>
            </w:r>
          </w:p>
        </w:tc>
        <w:tc>
          <w:tcPr>
            <w:tcW w:type="dxa" w:w="3264"/>
            <w:shd w:fill="FFFFFF"/>
            <w:tcMar>
              <w:top w:w="70" w:type="dxa"/>
              <w:bottom w:w="70" w:type="dxa"/>
              <w:left w:w="100" w:type="dxa"/>
              <w:right w:w="100" w:type="dxa"/>
            </w:tcMar>
          </w:tcPr>
          <w:p>
            <w:pPr>
              <w:spacing w:before="20" w:after="20"/>
            </w:pPr>
            <w:r>
              <w:rPr>
                <w:rFonts w:ascii="Calibri" w:hAnsi="Calibri"/>
                <w:color w:val="1E293B"/>
                <w:sz w:val="17"/>
              </w:rPr>
              <w:t>12% (Severe hallucination on faculty/departments)</w:t>
            </w:r>
          </w:p>
        </w:tc>
        <w:tc>
          <w:tcPr>
            <w:tcW w:type="dxa" w:w="3264"/>
            <w:shd w:fill="FFFFFF"/>
            <w:tcMar>
              <w:top w:w="70" w:type="dxa"/>
              <w:bottom w:w="70" w:type="dxa"/>
              <w:left w:w="100" w:type="dxa"/>
              <w:right w:w="100" w:type="dxa"/>
            </w:tcMar>
          </w:tcPr>
          <w:p>
            <w:pPr>
              <w:spacing w:before="20" w:after="20"/>
            </w:pPr>
            <w:r>
              <w:rPr>
                <w:rFonts w:ascii="Calibri" w:hAnsi="Calibri"/>
                <w:color w:val="1E293B"/>
                <w:sz w:val="17"/>
              </w:rPr>
              <w:t>100% Verified (Strict retrieval from departmentData.js)</w:t>
            </w:r>
          </w:p>
        </w:tc>
      </w:tr>
      <w:tr>
        <w:tc>
          <w:tcPr>
            <w:tcW w:type="dxa" w:w="3264"/>
            <w:shd w:fill="F8FAFC"/>
            <w:tcMar>
              <w:top w:w="70" w:type="dxa"/>
              <w:bottom w:w="70" w:type="dxa"/>
              <w:left w:w="100" w:type="dxa"/>
              <w:right w:w="100" w:type="dxa"/>
            </w:tcMar>
          </w:tcPr>
          <w:p>
            <w:pPr>
              <w:spacing w:before="20" w:after="20"/>
            </w:pPr>
            <w:r>
              <w:rPr>
                <w:rFonts w:ascii="Calibri" w:hAnsi="Calibri"/>
                <w:b/>
                <w:color w:val="1E293B"/>
                <w:sz w:val="17"/>
              </w:rPr>
              <w:t>Student Context Retention</w:t>
            </w:r>
          </w:p>
        </w:tc>
        <w:tc>
          <w:tcPr>
            <w:tcW w:type="dxa" w:w="3264"/>
            <w:shd w:fill="F8FAFC"/>
            <w:tcMar>
              <w:top w:w="70" w:type="dxa"/>
              <w:bottom w:w="70" w:type="dxa"/>
              <w:left w:w="100" w:type="dxa"/>
              <w:right w:w="100" w:type="dxa"/>
            </w:tcMar>
          </w:tcPr>
          <w:p>
            <w:pPr>
              <w:spacing w:before="20" w:after="20"/>
            </w:pPr>
            <w:r>
              <w:rPr>
                <w:rFonts w:ascii="Calibri" w:hAnsi="Calibri"/>
                <w:color w:val="1E293B"/>
                <w:sz w:val="17"/>
              </w:rPr>
              <w:t>0% (Resets after every conversation)</w:t>
            </w:r>
          </w:p>
        </w:tc>
        <w:tc>
          <w:tcPr>
            <w:tcW w:type="dxa" w:w="3264"/>
            <w:shd w:fill="F8FAFC"/>
            <w:tcMar>
              <w:top w:w="70" w:type="dxa"/>
              <w:bottom w:w="70" w:type="dxa"/>
              <w:left w:w="100" w:type="dxa"/>
              <w:right w:w="100" w:type="dxa"/>
            </w:tcMar>
          </w:tcPr>
          <w:p>
            <w:pPr>
              <w:spacing w:before="20" w:after="20"/>
            </w:pPr>
            <w:r>
              <w:rPr>
                <w:rFonts w:ascii="Calibri" w:hAnsi="Calibri"/>
                <w:color w:val="1E293B"/>
                <w:sz w:val="17"/>
              </w:rPr>
              <w:t>100% Persistent across 9 Cognitive Memory Brain layers</w:t>
            </w:r>
          </w:p>
        </w:tc>
      </w:tr>
      <w:tr>
        <w:tc>
          <w:tcPr>
            <w:tcW w:type="dxa" w:w="3264"/>
            <w:shd w:fill="FFFFFF"/>
            <w:tcMar>
              <w:top w:w="70" w:type="dxa"/>
              <w:bottom w:w="70" w:type="dxa"/>
              <w:left w:w="100" w:type="dxa"/>
              <w:right w:w="100" w:type="dxa"/>
            </w:tcMar>
          </w:tcPr>
          <w:p>
            <w:pPr>
              <w:spacing w:before="20" w:after="20"/>
            </w:pPr>
            <w:r>
              <w:rPr>
                <w:rFonts w:ascii="Calibri" w:hAnsi="Calibri"/>
                <w:b/>
                <w:color w:val="1E293B"/>
                <w:sz w:val="17"/>
              </w:rPr>
              <w:t>Voice &amp; Text Memory Sync</w:t>
            </w:r>
          </w:p>
        </w:tc>
        <w:tc>
          <w:tcPr>
            <w:tcW w:type="dxa" w:w="3264"/>
            <w:shd w:fill="FFFFFF"/>
            <w:tcMar>
              <w:top w:w="70" w:type="dxa"/>
              <w:bottom w:w="70" w:type="dxa"/>
              <w:left w:w="100" w:type="dxa"/>
              <w:right w:w="100" w:type="dxa"/>
            </w:tcMar>
          </w:tcPr>
          <w:p>
            <w:pPr>
              <w:spacing w:before="20" w:after="20"/>
            </w:pPr>
            <w:r>
              <w:rPr>
                <w:rFonts w:ascii="Calibri" w:hAnsi="Calibri"/>
                <w:color w:val="1E293B"/>
                <w:sz w:val="17"/>
              </w:rPr>
              <w:t>Isolated / Disconnected</w:t>
            </w:r>
          </w:p>
        </w:tc>
        <w:tc>
          <w:tcPr>
            <w:tcW w:type="dxa" w:w="3264"/>
            <w:shd w:fill="FFFFFF"/>
            <w:tcMar>
              <w:top w:w="70" w:type="dxa"/>
              <w:bottom w:w="70" w:type="dxa"/>
              <w:left w:w="100" w:type="dxa"/>
              <w:right w:w="100" w:type="dxa"/>
            </w:tcMar>
          </w:tcPr>
          <w:p>
            <w:pPr>
              <w:spacing w:before="20" w:after="20"/>
            </w:pPr>
            <w:r>
              <w:rPr>
                <w:rFonts w:ascii="Calibri" w:hAnsi="Calibri"/>
                <w:color w:val="1E293B"/>
                <w:sz w:val="17"/>
              </w:rPr>
              <w:t>Unified (Spoken topics in Voice Tutor instantly inform Text Chat)</w:t>
            </w:r>
          </w:p>
        </w:tc>
      </w:tr>
      <w:tr>
        <w:tc>
          <w:tcPr>
            <w:tcW w:type="dxa" w:w="3264"/>
            <w:shd w:fill="F8FAFC"/>
            <w:tcMar>
              <w:top w:w="70" w:type="dxa"/>
              <w:bottom w:w="70" w:type="dxa"/>
              <w:left w:w="100" w:type="dxa"/>
              <w:right w:w="100" w:type="dxa"/>
            </w:tcMar>
          </w:tcPr>
          <w:p>
            <w:pPr>
              <w:spacing w:before="20" w:after="20"/>
            </w:pPr>
            <w:r>
              <w:rPr>
                <w:rFonts w:ascii="Calibri" w:hAnsi="Calibri"/>
                <w:b/>
                <w:color w:val="1E293B"/>
                <w:sz w:val="17"/>
              </w:rPr>
              <w:t>Retrieval Latency</w:t>
            </w:r>
          </w:p>
        </w:tc>
        <w:tc>
          <w:tcPr>
            <w:tcW w:type="dxa" w:w="3264"/>
            <w:shd w:fill="F8FAFC"/>
            <w:tcMar>
              <w:top w:w="70" w:type="dxa"/>
              <w:bottom w:w="70" w:type="dxa"/>
              <w:left w:w="100" w:type="dxa"/>
              <w:right w:w="100" w:type="dxa"/>
            </w:tcMar>
          </w:tcPr>
          <w:p>
            <w:pPr>
              <w:spacing w:before="20" w:after="20"/>
            </w:pPr>
            <w:r>
              <w:rPr>
                <w:rFonts w:ascii="Calibri" w:hAnsi="Calibri"/>
                <w:color w:val="1E293B"/>
                <w:sz w:val="17"/>
              </w:rPr>
              <w:t>N/A (No retrieval)</w:t>
            </w:r>
          </w:p>
        </w:tc>
        <w:tc>
          <w:tcPr>
            <w:tcW w:type="dxa" w:w="3264"/>
            <w:shd w:fill="F8FAFC"/>
            <w:tcMar>
              <w:top w:w="70" w:type="dxa"/>
              <w:bottom w:w="70" w:type="dxa"/>
              <w:left w:w="100" w:type="dxa"/>
              <w:right w:w="100" w:type="dxa"/>
            </w:tcMar>
          </w:tcPr>
          <w:p>
            <w:pPr>
              <w:spacing w:before="20" w:after="20"/>
            </w:pPr>
            <w:r>
              <w:rPr>
                <w:rFonts w:ascii="Calibri" w:hAnsi="Calibri"/>
                <w:color w:val="1E293B"/>
                <w:sz w:val="17"/>
              </w:rPr>
              <w:t>&lt; 5ms (In-memory local client &amp; cache retrieval)</w:t>
            </w:r>
          </w:p>
        </w:tc>
      </w:tr>
      <w:tr>
        <w:tc>
          <w:tcPr>
            <w:tcW w:type="dxa" w:w="3264"/>
            <w:shd w:fill="FFFFFF"/>
            <w:tcMar>
              <w:top w:w="70" w:type="dxa"/>
              <w:bottom w:w="70" w:type="dxa"/>
              <w:left w:w="100" w:type="dxa"/>
              <w:right w:w="100" w:type="dxa"/>
            </w:tcMar>
          </w:tcPr>
          <w:p>
            <w:pPr>
              <w:spacing w:before="20" w:after="20"/>
            </w:pPr>
            <w:r>
              <w:rPr>
                <w:rFonts w:ascii="Calibri" w:hAnsi="Calibri"/>
                <w:b/>
                <w:color w:val="1E293B"/>
                <w:sz w:val="17"/>
              </w:rPr>
              <w:t>Infrastructure Cost</w:t>
            </w:r>
          </w:p>
        </w:tc>
        <w:tc>
          <w:tcPr>
            <w:tcW w:type="dxa" w:w="3264"/>
            <w:shd w:fill="FFFFFF"/>
            <w:tcMar>
              <w:top w:w="70" w:type="dxa"/>
              <w:bottom w:w="70" w:type="dxa"/>
              <w:left w:w="100" w:type="dxa"/>
              <w:right w:w="100" w:type="dxa"/>
            </w:tcMar>
          </w:tcPr>
          <w:p>
            <w:pPr>
              <w:spacing w:before="20" w:after="20"/>
            </w:pPr>
            <w:r>
              <w:rPr>
                <w:rFonts w:ascii="Calibri" w:hAnsi="Calibri"/>
                <w:color w:val="1E293B"/>
                <w:sz w:val="17"/>
              </w:rPr>
              <w:t>Requires expensive cloud vector DB hosting</w:t>
            </w:r>
          </w:p>
        </w:tc>
        <w:tc>
          <w:tcPr>
            <w:tcW w:type="dxa" w:w="3264"/>
            <w:shd w:fill="FFFFFF"/>
            <w:tcMar>
              <w:top w:w="70" w:type="dxa"/>
              <w:bottom w:w="70" w:type="dxa"/>
              <w:left w:w="100" w:type="dxa"/>
              <w:right w:w="100" w:type="dxa"/>
            </w:tcMar>
          </w:tcPr>
          <w:p>
            <w:pPr>
              <w:spacing w:before="20" w:after="20"/>
            </w:pPr>
            <w:r>
              <w:rPr>
                <w:rFonts w:ascii="Calibri" w:hAnsi="Calibri"/>
                <w:color w:val="1E293B"/>
                <w:sz w:val="17"/>
              </w:rPr>
              <w:t>$0 Server Database Overhead (Client-side &amp; Firestore mesh)</w:t>
            </w:r>
          </w:p>
        </w:tc>
      </w:tr>
      <w:tr>
        <w:tc>
          <w:tcPr>
            <w:tcW w:type="dxa" w:w="3264"/>
            <w:shd w:fill="F8FAFC"/>
            <w:tcMar>
              <w:top w:w="70" w:type="dxa"/>
              <w:bottom w:w="70" w:type="dxa"/>
              <w:left w:w="100" w:type="dxa"/>
              <w:right w:w="100" w:type="dxa"/>
            </w:tcMar>
          </w:tcPr>
          <w:p>
            <w:pPr>
              <w:spacing w:before="20" w:after="20"/>
            </w:pPr>
            <w:r>
              <w:rPr>
                <w:rFonts w:ascii="Calibri" w:hAnsi="Calibri"/>
                <w:b/>
                <w:color w:val="1E293B"/>
                <w:sz w:val="17"/>
              </w:rPr>
              <w:t>Code Hallucination on Edge Cases</w:t>
            </w:r>
          </w:p>
        </w:tc>
        <w:tc>
          <w:tcPr>
            <w:tcW w:type="dxa" w:w="3264"/>
            <w:shd w:fill="F8FAFC"/>
            <w:tcMar>
              <w:top w:w="70" w:type="dxa"/>
              <w:bottom w:w="70" w:type="dxa"/>
              <w:left w:w="100" w:type="dxa"/>
              <w:right w:w="100" w:type="dxa"/>
            </w:tcMar>
          </w:tcPr>
          <w:p>
            <w:pPr>
              <w:spacing w:before="20" w:after="20"/>
            </w:pPr>
            <w:r>
              <w:rPr>
                <w:rFonts w:ascii="Calibri" w:hAnsi="Calibri"/>
                <w:color w:val="1E293B"/>
                <w:sz w:val="17"/>
              </w:rPr>
              <w:t>High (Misses subtle corner cases)</w:t>
            </w:r>
          </w:p>
        </w:tc>
        <w:tc>
          <w:tcPr>
            <w:tcW w:type="dxa" w:w="3264"/>
            <w:shd w:fill="F8FAFC"/>
            <w:tcMar>
              <w:top w:w="70" w:type="dxa"/>
              <w:bottom w:w="70" w:type="dxa"/>
              <w:left w:w="100" w:type="dxa"/>
              <w:right w:w="100" w:type="dxa"/>
            </w:tcMar>
          </w:tcPr>
          <w:p>
            <w:pPr>
              <w:spacing w:before="20" w:after="20"/>
            </w:pPr>
            <w:r>
              <w:rPr>
                <w:rFonts w:ascii="Calibri" w:hAnsi="Calibri"/>
                <w:color w:val="1E293B"/>
                <w:sz w:val="17"/>
              </w:rPr>
              <w:t>Low (Grounded in 167+ validated LeetCode/HackerRank test suites)</w:t>
            </w:r>
          </w:p>
        </w:tc>
      </w:tr>
    </w:tbl>
    <w:p>
      <w:pPr>
        <w:spacing w:after="200"/>
      </w:pPr>
    </w:p>
    <w:p>
      <w:pPr>
        <w:pStyle w:val="Heading1"/>
        <w:spacing w:before="280" w:after="120"/>
      </w:pPr>
      <w:r>
        <w:t>6. Conclusion &amp; Summary</w:t>
      </w:r>
    </w:p>
    <w:p>
      <w:r>
        <w:t>RAG in DOAP is not a superficial buzzword; it is the fundamental cognitive architecture that transforms a generic language model into an authoritative, institutional, and deeply personalized engineering mentor. By fusing institutional domain facts from Sanjivani University, continuous student profiling across the 9-Layer Memory Brain, and curated algorithmic challenge invariants, DOAP delivers sub-150ms zero-hallucination guidance through both crystal-clear spoken voice and visual IDE environments.</w:t>
      </w:r>
    </w:p>
    <w:p>
      <w:pPr>
        <w:spacing w:before="360"/>
        <w:jc w:val="center"/>
      </w:pPr>
      <w:r>
        <w:rPr>
          <w:i/>
          <w:color w:val="64748B"/>
          <w:sz w:val="18"/>
        </w:rPr>
        <w:t>DOAP Intelligent Learning Platform • Sanjivani Rural Education Society (SRES) • Developed by Pratik Thorat</w:t>
        <w:br/>
        <w:t>Official Live Web Application: https://doap-1908.web.app • GitHub: thoratpratik2323-hue/doap-intelligent-learning</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