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jc w:val="center"/>
      </w:pPr>
      <w:r>
        <w:rPr>
          <w:rFonts w:ascii="Calibri" w:hAnsi="Calibri"/>
          <w:b/>
          <w:color w:val="0E7490"/>
          <w:sz w:val="22"/>
        </w:rPr>
        <w:t>DOAP INTELLIGENT LEARNING PLATFORM</w:t>
        <w:br/>
      </w:r>
      <w:r>
        <w:rPr>
          <w:rFonts w:ascii="Calibri" w:hAnsi="Calibri"/>
          <w:b/>
          <w:color w:val="0F172A"/>
          <w:sz w:val="44"/>
        </w:rPr>
        <w:t>Large Language Model (LLM) Architecture,</w:t>
        <w:br/>
        <w:t>Engineering &amp; Multi-Provider Implementation Report</w:t>
        <w:br/>
      </w:r>
      <w:r>
        <w:rPr>
          <w:rFonts w:ascii="Calibri" w:hAnsi="Calibri"/>
          <w:i/>
          <w:color w:val="475569"/>
          <w:sz w:val="22"/>
        </w:rPr>
        <w:t>Comprehensive Technical Documentation on Model Cascades, Hardware LPUs, Function Calling, and Pedagogical Reasoning Systems</w:t>
      </w:r>
    </w:p>
    <w:p>
      <w:pPr>
        <w:spacing w:after="80"/>
      </w:pPr>
    </w:p>
    <w:tbl>
      <w:tblPr>
        <w:tblW w:type="auto" w:w="0"/>
        <w:jc w:val="center"/>
        <w:tblLook w:firstColumn="1" w:firstRow="1" w:lastColumn="0" w:lastRow="0" w:noHBand="0" w:noVBand="1" w:val="04A0"/>
      </w:tblPr>
      <w:tblGrid>
        <w:gridCol w:w="2448"/>
        <w:gridCol w:w="2448"/>
        <w:gridCol w:w="2448"/>
        <w:gridCol w:w="2448"/>
      </w:tblGrid>
      <w:tr>
        <w:tc>
          <w:tcPr>
            <w:tcW w:type="dxa" w:w="2448"/>
            <w:shd w:fill="F1F5F9"/>
            <w:tcMar>
              <w:top w:w="60" w:type="dxa"/>
              <w:bottom w:w="60" w:type="dxa"/>
              <w:left w:w="100" w:type="dxa"/>
              <w:right w:w="100" w:type="dxa"/>
            </w:tcMar>
          </w:tcPr>
          <w:p>
            <w:pPr>
              <w:spacing w:before="20" w:after="20"/>
            </w:pPr>
            <w:r>
              <w:rPr>
                <w:b/>
                <w:color w:val="64748B"/>
                <w:sz w:val="15"/>
              </w:rPr>
              <w:t>SYSTEM VERSION</w:t>
              <w:br/>
            </w:r>
            <w:r>
              <w:rPr>
                <w:b/>
                <w:color w:val="0F172A"/>
                <w:sz w:val="17"/>
              </w:rPr>
              <w:t>DOAP v2.5.0 Production</w:t>
            </w:r>
          </w:p>
        </w:tc>
        <w:tc>
          <w:tcPr>
            <w:tcW w:type="dxa" w:w="2448"/>
            <w:shd w:fill="F1F5F9"/>
            <w:tcMar>
              <w:top w:w="60" w:type="dxa"/>
              <w:bottom w:w="60" w:type="dxa"/>
              <w:left w:w="100" w:type="dxa"/>
              <w:right w:w="100" w:type="dxa"/>
            </w:tcMar>
          </w:tcPr>
          <w:p>
            <w:pPr>
              <w:spacing w:before="20" w:after="20"/>
            </w:pPr>
            <w:r>
              <w:rPr>
                <w:b/>
                <w:color w:val="64748B"/>
                <w:sz w:val="15"/>
              </w:rPr>
              <w:t>PRIMARY ENGINES</w:t>
              <w:br/>
            </w:r>
            <w:r>
              <w:rPr>
                <w:b/>
                <w:color w:val="0F172A"/>
                <w:sz w:val="17"/>
              </w:rPr>
              <w:t>Groq LPU (Llama 3.3/Qwen) + Google Gemini 2.5</w:t>
            </w:r>
          </w:p>
        </w:tc>
        <w:tc>
          <w:tcPr>
            <w:tcW w:type="dxa" w:w="2448"/>
            <w:shd w:fill="F1F5F9"/>
            <w:tcMar>
              <w:top w:w="60" w:type="dxa"/>
              <w:bottom w:w="60" w:type="dxa"/>
              <w:left w:w="100" w:type="dxa"/>
              <w:right w:w="100" w:type="dxa"/>
            </w:tcMar>
          </w:tcPr>
          <w:p>
            <w:pPr>
              <w:spacing w:before="20" w:after="20"/>
            </w:pPr>
            <w:r>
              <w:rPr>
                <w:b/>
                <w:color w:val="64748B"/>
                <w:sz w:val="15"/>
              </w:rPr>
              <w:t>INFERENCE LATENCY</w:t>
              <w:br/>
            </w:r>
            <w:r>
              <w:rPr>
                <w:b/>
                <w:color w:val="0F172A"/>
                <w:sz w:val="17"/>
              </w:rPr>
              <w:t>&lt; 150ms (Ultra-Low LPUs)</w:t>
            </w:r>
          </w:p>
        </w:tc>
        <w:tc>
          <w:tcPr>
            <w:tcW w:type="dxa" w:w="2448"/>
            <w:shd w:fill="F1F5F9"/>
            <w:tcMar>
              <w:top w:w="60" w:type="dxa"/>
              <w:bottom w:w="60" w:type="dxa"/>
              <w:left w:w="100" w:type="dxa"/>
              <w:right w:w="100" w:type="dxa"/>
            </w:tcMar>
          </w:tcPr>
          <w:p>
            <w:pPr>
              <w:spacing w:before="20" w:after="20"/>
            </w:pPr>
            <w:r>
              <w:rPr>
                <w:b/>
                <w:color w:val="64748B"/>
                <w:sz w:val="15"/>
              </w:rPr>
              <w:t>DEPLOYMENT HOST</w:t>
              <w:br/>
            </w:r>
            <w:r>
              <w:rPr>
                <w:b/>
                <w:color w:val="0F172A"/>
                <w:sz w:val="17"/>
              </w:rPr>
              <w:t>Firebase / GCP / Node.js</w:t>
            </w:r>
          </w:p>
        </w:tc>
      </w:tr>
      <w:tr>
        <w:tc>
          <w:tcPr>
            <w:tcW w:type="dxa" w:w="2448"/>
            <w:shd w:fill="FFFFFF"/>
            <w:tcMar>
              <w:top w:w="60" w:type="dxa"/>
              <w:bottom w:w="60" w:type="dxa"/>
              <w:left w:w="100" w:type="dxa"/>
              <w:right w:w="100" w:type="dxa"/>
            </w:tcMar>
          </w:tcPr>
          <w:p>
            <w:pPr>
              <w:spacing w:before="20" w:after="20"/>
            </w:pPr>
            <w:r>
              <w:rPr>
                <w:b/>
                <w:color w:val="64748B"/>
                <w:sz w:val="15"/>
              </w:rPr>
              <w:t>AUTHOR &amp; LEAD</w:t>
              <w:br/>
            </w:r>
            <w:r>
              <w:rPr>
                <w:b/>
                <w:color w:val="0F172A"/>
                <w:sz w:val="17"/>
              </w:rPr>
              <w:t>Pratik Thorat</w:t>
            </w:r>
          </w:p>
        </w:tc>
        <w:tc>
          <w:tcPr>
            <w:tcW w:type="dxa" w:w="2448"/>
            <w:shd w:fill="FFFFFF"/>
            <w:tcMar>
              <w:top w:w="60" w:type="dxa"/>
              <w:bottom w:w="60" w:type="dxa"/>
              <w:left w:w="100" w:type="dxa"/>
              <w:right w:w="100" w:type="dxa"/>
            </w:tcMar>
          </w:tcPr>
          <w:p>
            <w:pPr>
              <w:spacing w:before="20" w:after="20"/>
            </w:pPr>
            <w:r>
              <w:rPr>
                <w:b/>
                <w:color w:val="64748B"/>
                <w:sz w:val="15"/>
              </w:rPr>
              <w:t>INSTITUTION</w:t>
              <w:br/>
            </w:r>
            <w:r>
              <w:rPr>
                <w:b/>
                <w:color w:val="0F172A"/>
                <w:sz w:val="17"/>
              </w:rPr>
              <w:t>Sanjivani University (SET)</w:t>
            </w:r>
          </w:p>
        </w:tc>
        <w:tc>
          <w:tcPr>
            <w:tcW w:type="dxa" w:w="2448"/>
            <w:shd w:fill="FFFFFF"/>
            <w:tcMar>
              <w:top w:w="60" w:type="dxa"/>
              <w:bottom w:w="60" w:type="dxa"/>
              <w:left w:w="100" w:type="dxa"/>
              <w:right w:w="100" w:type="dxa"/>
            </w:tcMar>
          </w:tcPr>
          <w:p>
            <w:pPr>
              <w:spacing w:before="20" w:after="20"/>
            </w:pPr>
            <w:r>
              <w:rPr>
                <w:b/>
                <w:color w:val="64748B"/>
                <w:sz w:val="15"/>
              </w:rPr>
              <w:t>SPEECH / STT</w:t>
              <w:br/>
            </w:r>
            <w:r>
              <w:rPr>
                <w:b/>
                <w:color w:val="0F172A"/>
                <w:sz w:val="17"/>
              </w:rPr>
              <w:t>Groq Whisper Large v3 + Swara Neural</w:t>
            </w:r>
          </w:p>
        </w:tc>
        <w:tc>
          <w:tcPr>
            <w:tcW w:type="dxa" w:w="2448"/>
            <w:shd w:fill="FFFFFF"/>
            <w:tcMar>
              <w:top w:w="60" w:type="dxa"/>
              <w:bottom w:w="60" w:type="dxa"/>
              <w:left w:w="100" w:type="dxa"/>
              <w:right w:w="100" w:type="dxa"/>
            </w:tcMar>
          </w:tcPr>
          <w:p>
            <w:pPr>
              <w:spacing w:before="20" w:after="20"/>
            </w:pPr>
            <w:r>
              <w:rPr>
                <w:b/>
                <w:color w:val="64748B"/>
                <w:sz w:val="15"/>
              </w:rPr>
              <w:t>STATUS</w:t>
              <w:br/>
            </w:r>
            <w:r>
              <w:rPr>
                <w:b/>
                <w:color w:val="0F172A"/>
                <w:sz w:val="17"/>
              </w:rPr>
              <w:t>Fully Operational &amp; Deployed</w:t>
            </w:r>
          </w:p>
        </w:tc>
      </w:tr>
    </w:tbl>
    <w:p>
      <w:pPr>
        <w:spacing w:after="240"/>
      </w:pPr>
    </w:p>
    <w:p>
      <w:pPr>
        <w:pStyle w:val="Heading1"/>
      </w:pPr>
      <w:r>
        <w:rPr>
          <w:rFonts w:ascii="Calibri" w:hAnsi="Calibri"/>
          <w:b/>
          <w:color w:val="0F172A"/>
          <w:sz w:val="30"/>
        </w:rPr>
        <w:t>Executive Summary</w:t>
      </w:r>
    </w:p>
    <w:p>
      <w:pPr>
        <w:spacing w:line="276" w:lineRule="auto" w:after="120"/>
      </w:pPr>
      <w:r>
        <w:t>In the DOAP (Dynamic Online Adaptive Platform) ecosystem, Large Language Models (LLMs) serve as the core cognitive nervous system. Unlike conventional conversational wrappers that rely on a single third-party API, DOAP engineers a resilient, high-speed, multi-provider LLM infrastructure. At its foundation, DOAP coordinates Groq LPUs (Language Processing Units) running 70B+ parameter open-weights models for sub-150ms real-time coding assistance, Google Gemini 2.5 Flash / 1.5 Pro for deep multi-turn academic reasoning and strict proctoring evaluation, Groq Whisper Large v3 Turbo for multilingual audio tokenization, and a deterministic, zero-key offline knowledge engine for 100% campus uptime guarantee.</w:t>
      </w:r>
    </w:p>
    <w:tbl>
      <w:tblPr>
        <w:tblW w:type="auto" w:w="0"/>
        <w:jc w:val="center"/>
        <w:tblLook w:firstColumn="1" w:firstRow="1" w:lastColumn="0" w:lastRow="0" w:noHBand="0" w:noVBand="1" w:val="04A0"/>
      </w:tblPr>
      <w:tblGrid>
        <w:gridCol w:w="9792"/>
      </w:tblGrid>
      <w:tr>
        <w:tc>
          <w:tcPr>
            <w:tcW w:type="dxa" w:w="9792"/>
            <w:shd w:fill="F0FDF4"/>
            <w:tcMar>
              <w:top w:w="140" w:type="dxa"/>
              <w:bottom w:w="140" w:type="dxa"/>
              <w:left w:w="200" w:type="dxa"/>
              <w:right w:w="180" w:type="dxa"/>
            </w:tcMar>
            <w:tcBorders>
              <w:left w:val="single" w:sz="24" w:space="0" w:color="16A34A"/>
              <w:top w:val="none"/>
              <w:right w:val="none"/>
              <w:bottom w:val="none"/>
            </w:tcBorders>
          </w:tcPr>
          <w:p>
            <w:pPr>
              <w:spacing w:before="40" w:after="40" w:line="276" w:lineRule="auto"/>
            </w:pPr>
            <w:r>
              <w:rPr>
                <w:rFonts w:ascii="Calibri" w:hAnsi="Calibri"/>
                <w:b/>
                <w:color w:val="16A34A"/>
                <w:sz w:val="20"/>
              </w:rPr>
              <w:t>📌 CORE ARCHITECTURAL THESIS</w:t>
              <w:br/>
            </w:r>
            <w:r>
              <w:rPr>
                <w:rFonts w:ascii="Calibri" w:hAnsi="Calibri"/>
                <w:color w:val="1E293B"/>
                <w:sz w:val="19"/>
              </w:rPr>
              <w:t>DOAP's LLM layer does not merely answer queries in isolation; it functions as an autonomous agentic engine equipped with tool-calling capabilities, bidirectional state management, and real-time audio synchronization. This enables Socratic guidance, automated test-suite evaluation, and synchronous code canvas projection without human intervention.</w:t>
            </w:r>
          </w:p>
        </w:tc>
      </w:tr>
    </w:tbl>
    <w:p>
      <w:pPr>
        <w:spacing w:after="120"/>
      </w:pPr>
    </w:p>
    <w:p>
      <w:pPr>
        <w:pStyle w:val="Heading1"/>
      </w:pPr>
      <w:r>
        <w:rPr>
          <w:rFonts w:ascii="Calibri" w:hAnsi="Calibri"/>
          <w:b/>
          <w:color w:val="0F172A"/>
          <w:sz w:val="30"/>
        </w:rPr>
        <w:t>1. Theoretical Foundation: What is an LLM?</w:t>
      </w:r>
    </w:p>
    <w:p>
      <w:pPr>
        <w:spacing w:line="276" w:lineRule="auto" w:after="120"/>
      </w:pPr>
      <w:r>
        <w:t>A Large Language Model (LLM) is a deep neural network based on the Transformer architecture (Vaswani et al., 2017) containing billions of learned parameters. LLMs are trained on massive multilingual textual corpora and codebases using self-supervised autoregressive objectives (predicting the next token given preceding context). Through this pre-training, models acquire rich representations of human language syntax, programming language semantics, algorithmic logic, and generalized world knowledge.</w:t>
      </w:r>
    </w:p>
    <w:p>
      <w:pPr>
        <w:spacing w:line="276" w:lineRule="auto" w:after="80"/>
      </w:pPr>
      <w:r>
        <w:t>Key mathematical and engineering pillars of LLMs include:</w:t>
      </w:r>
    </w:p>
    <w:p>
      <w:pPr>
        <w:pStyle w:val="ListBullet"/>
        <w:spacing w:after="60" w:line="276" w:lineRule="auto"/>
      </w:pPr>
      <w:r>
        <w:rPr>
          <w:b/>
          <w:color w:val="0F172A"/>
        </w:rPr>
        <w:t xml:space="preserve">Multi-Head Self-Attention: </w:t>
      </w:r>
      <w:r>
        <w:rPr>
          <w:color w:val="334155"/>
        </w:rPr>
        <w:t>Enables the model to dynamically weight the importance of distant tokens across thousands of lines of code or complex interview transcripts.</w:t>
      </w:r>
    </w:p>
    <w:p>
      <w:pPr>
        <w:pStyle w:val="ListBullet"/>
        <w:spacing w:after="60" w:line="276" w:lineRule="auto"/>
      </w:pPr>
      <w:r>
        <w:rPr>
          <w:b/>
          <w:color w:val="0F172A"/>
        </w:rPr>
        <w:t xml:space="preserve">Autoregressive Token Generation: </w:t>
      </w:r>
      <w:r>
        <w:rPr>
          <w:color w:val="334155"/>
        </w:rPr>
        <w:t>Sequentially generates tokens P(w_t | w_1, w_2, ..., w_{t-1}) allowing fluid streaming of conversational speech and code canvas edits.</w:t>
      </w:r>
    </w:p>
    <w:p>
      <w:pPr>
        <w:pStyle w:val="ListBullet"/>
        <w:spacing w:after="60" w:line="276" w:lineRule="auto"/>
      </w:pPr>
      <w:r>
        <w:rPr>
          <w:b/>
          <w:color w:val="0F172A"/>
        </w:rPr>
        <w:t xml:space="preserve">Instruction Tuning &amp; RLHF/RLAIF: </w:t>
      </w:r>
      <w:r>
        <w:rPr>
          <w:color w:val="334155"/>
        </w:rPr>
        <w:t>Aligns raw pre-trained token predictors into polite, helpful, pedagogically sound tutors capable of following complex system instructions.</w:t>
      </w:r>
    </w:p>
    <w:p>
      <w:pPr>
        <w:pStyle w:val="ListBullet"/>
        <w:spacing w:after="60" w:line="276" w:lineRule="auto"/>
      </w:pPr>
      <w:r>
        <w:rPr>
          <w:b/>
          <w:color w:val="0F172A"/>
        </w:rPr>
        <w:t xml:space="preserve">Function Calling / Tool Use: </w:t>
      </w:r>
      <w:r>
        <w:rPr>
          <w:color w:val="334155"/>
        </w:rPr>
        <w:t>Allows the LLM to emit structured JSON function calls instead of text, triggering external runtime tools like compilers, quizzes, and databases.</w:t>
      </w:r>
    </w:p>
    <w:p>
      <w:pPr>
        <w:spacing w:after="120"/>
      </w:pPr>
    </w:p>
    <w:p>
      <w:pPr>
        <w:pStyle w:val="Heading1"/>
      </w:pPr>
      <w:r>
        <w:rPr>
          <w:rFonts w:ascii="Calibri" w:hAnsi="Calibri"/>
          <w:b/>
          <w:color w:val="0F172A"/>
          <w:sz w:val="30"/>
        </w:rPr>
        <w:t>2. DOAP Multi-Provider LLM Model Zoo &amp; Hardware Acceleration</w:t>
      </w:r>
    </w:p>
    <w:p>
      <w:pPr>
        <w:spacing w:line="276" w:lineRule="auto" w:after="120"/>
      </w:pPr>
      <w:r>
        <w:t>DOAP solves the fundamental latency and availability trade-offs of modern AI systems by implementing a tiered, multi-provider model cascade. Depending on the operational context—interactive voice, complex DSA analysis, or offline institutional directory search—the system routes requests to the optimal engine.</w:t>
      </w:r>
    </w:p>
    <w:tbl>
      <w:tblPr>
        <w:tblW w:type="auto" w:w="0"/>
        <w:jc w:val="center"/>
        <w:tblLook w:firstColumn="1" w:firstRow="1" w:lastColumn="0" w:lastRow="0" w:noHBand="0" w:noVBand="1" w:val="04A0"/>
      </w:tblPr>
      <w:tblGrid>
        <w:gridCol w:w="1958"/>
        <w:gridCol w:w="1958"/>
        <w:gridCol w:w="1958"/>
        <w:gridCol w:w="1958"/>
        <w:gridCol w:w="1958"/>
      </w:tblGrid>
      <w:tr>
        <w:tc>
          <w:tcPr>
            <w:tcW w:type="dxa" w:w="1958"/>
            <w:shd w:fill="0F172A"/>
            <w:tcMar>
              <w:top w:w="100" w:type="dxa"/>
              <w:bottom w:w="100" w:type="dxa"/>
              <w:left w:w="100" w:type="dxa"/>
              <w:right w:w="100" w:type="dxa"/>
            </w:tcMar>
          </w:tcPr>
          <w:p>
            <w:pPr>
              <w:spacing w:before="20" w:after="20"/>
            </w:pPr>
            <w:r>
              <w:rPr>
                <w:b/>
                <w:color w:val="FFFFFF"/>
                <w:sz w:val="17"/>
              </w:rPr>
              <w:t>Model / Engine</w:t>
            </w:r>
          </w:p>
        </w:tc>
        <w:tc>
          <w:tcPr>
            <w:tcW w:type="dxa" w:w="1958"/>
            <w:shd w:fill="0F172A"/>
            <w:tcMar>
              <w:top w:w="100" w:type="dxa"/>
              <w:bottom w:w="100" w:type="dxa"/>
              <w:left w:w="100" w:type="dxa"/>
              <w:right w:w="100" w:type="dxa"/>
            </w:tcMar>
          </w:tcPr>
          <w:p>
            <w:pPr>
              <w:spacing w:before="20" w:after="20"/>
            </w:pPr>
            <w:r>
              <w:rPr>
                <w:b/>
                <w:color w:val="FFFFFF"/>
                <w:sz w:val="17"/>
              </w:rPr>
              <w:t>Hardware / Host</w:t>
            </w:r>
          </w:p>
        </w:tc>
        <w:tc>
          <w:tcPr>
            <w:tcW w:type="dxa" w:w="1958"/>
            <w:shd w:fill="0F172A"/>
            <w:tcMar>
              <w:top w:w="100" w:type="dxa"/>
              <w:bottom w:w="100" w:type="dxa"/>
              <w:left w:w="100" w:type="dxa"/>
              <w:right w:w="100" w:type="dxa"/>
            </w:tcMar>
          </w:tcPr>
          <w:p>
            <w:pPr>
              <w:spacing w:before="20" w:after="20"/>
            </w:pPr>
            <w:r>
              <w:rPr>
                <w:b/>
                <w:color w:val="FFFFFF"/>
                <w:sz w:val="17"/>
              </w:rPr>
              <w:t>Context / Latency</w:t>
            </w:r>
          </w:p>
        </w:tc>
        <w:tc>
          <w:tcPr>
            <w:tcW w:type="dxa" w:w="1958"/>
            <w:shd w:fill="0F172A"/>
            <w:tcMar>
              <w:top w:w="100" w:type="dxa"/>
              <w:bottom w:w="100" w:type="dxa"/>
              <w:left w:w="100" w:type="dxa"/>
              <w:right w:w="100" w:type="dxa"/>
            </w:tcMar>
          </w:tcPr>
          <w:p>
            <w:pPr>
              <w:spacing w:before="20" w:after="20"/>
            </w:pPr>
            <w:r>
              <w:rPr>
                <w:b/>
                <w:color w:val="FFFFFF"/>
                <w:sz w:val="17"/>
              </w:rPr>
              <w:t>Primary Responsibility</w:t>
            </w:r>
          </w:p>
        </w:tc>
        <w:tc>
          <w:tcPr>
            <w:tcW w:type="dxa" w:w="1958"/>
            <w:shd w:fill="0F172A"/>
            <w:tcMar>
              <w:top w:w="100" w:type="dxa"/>
              <w:bottom w:w="100" w:type="dxa"/>
              <w:left w:w="100" w:type="dxa"/>
              <w:right w:w="100" w:type="dxa"/>
            </w:tcMar>
          </w:tcPr>
          <w:p>
            <w:pPr>
              <w:spacing w:before="20" w:after="20"/>
            </w:pPr>
            <w:r>
              <w:rPr>
                <w:b/>
                <w:color w:val="FFFFFF"/>
                <w:sz w:val="17"/>
              </w:rPr>
              <w:t>Fallback Rank</w:t>
            </w:r>
          </w:p>
        </w:tc>
      </w:tr>
      <w:tr>
        <w:tc>
          <w:tcPr>
            <w:tcW w:type="dxa" w:w="1958"/>
            <w:shd w:fill="FFFFFF"/>
            <w:tcMar>
              <w:top w:w="80" w:type="dxa"/>
              <w:bottom w:w="80" w:type="dxa"/>
              <w:left w:w="100" w:type="dxa"/>
              <w:right w:w="100" w:type="dxa"/>
            </w:tcMar>
          </w:tcPr>
          <w:p>
            <w:pPr>
              <w:spacing w:before="20" w:after="20"/>
            </w:pPr>
            <w:r>
              <w:rPr>
                <w:b/>
                <w:color w:val="0F172A"/>
                <w:sz w:val="17"/>
              </w:rPr>
              <w:t>Groq LPU Llama 3.3 70B Versatile</w:t>
            </w:r>
          </w:p>
        </w:tc>
        <w:tc>
          <w:tcPr>
            <w:tcW w:type="dxa" w:w="1958"/>
            <w:shd w:fill="FFFFFF"/>
            <w:tcMar>
              <w:top w:w="80" w:type="dxa"/>
              <w:bottom w:w="80" w:type="dxa"/>
              <w:left w:w="100" w:type="dxa"/>
              <w:right w:w="100" w:type="dxa"/>
            </w:tcMar>
          </w:tcPr>
          <w:p>
            <w:pPr>
              <w:spacing w:before="20" w:after="20"/>
            </w:pPr>
            <w:r>
              <w:rPr>
                <w:color w:val="334155"/>
                <w:sz w:val="17"/>
              </w:rPr>
              <w:t>Groq Tensor LPU Cloud</w:t>
            </w:r>
          </w:p>
        </w:tc>
        <w:tc>
          <w:tcPr>
            <w:tcW w:type="dxa" w:w="1958"/>
            <w:shd w:fill="FFFFFF"/>
            <w:tcMar>
              <w:top w:w="80" w:type="dxa"/>
              <w:bottom w:w="80" w:type="dxa"/>
              <w:left w:w="100" w:type="dxa"/>
              <w:right w:w="100" w:type="dxa"/>
            </w:tcMar>
          </w:tcPr>
          <w:p>
            <w:pPr>
              <w:spacing w:before="20" w:after="20"/>
            </w:pPr>
            <w:r>
              <w:rPr>
                <w:color w:val="334155"/>
                <w:sz w:val="17"/>
              </w:rPr>
              <w:t>128k ctx | ~120ms latency</w:t>
            </w:r>
          </w:p>
        </w:tc>
        <w:tc>
          <w:tcPr>
            <w:tcW w:type="dxa" w:w="1958"/>
            <w:shd w:fill="FFFFFF"/>
            <w:tcMar>
              <w:top w:w="80" w:type="dxa"/>
              <w:bottom w:w="80" w:type="dxa"/>
              <w:left w:w="100" w:type="dxa"/>
              <w:right w:w="100" w:type="dxa"/>
            </w:tcMar>
          </w:tcPr>
          <w:p>
            <w:pPr>
              <w:spacing w:before="20" w:after="20"/>
            </w:pPr>
            <w:r>
              <w:rPr>
                <w:color w:val="334155"/>
                <w:sz w:val="17"/>
              </w:rPr>
              <w:t>Instant interactive chat, live code assistance, and Claw tool calling loop</w:t>
            </w:r>
          </w:p>
        </w:tc>
        <w:tc>
          <w:tcPr>
            <w:tcW w:type="dxa" w:w="1958"/>
            <w:shd w:fill="FFFFFF"/>
            <w:tcMar>
              <w:top w:w="80" w:type="dxa"/>
              <w:bottom w:w="80" w:type="dxa"/>
              <w:left w:w="100" w:type="dxa"/>
              <w:right w:w="100" w:type="dxa"/>
            </w:tcMar>
          </w:tcPr>
          <w:p>
            <w:pPr>
              <w:spacing w:before="20" w:after="20"/>
            </w:pPr>
            <w:r>
              <w:rPr>
                <w:color w:val="334155"/>
                <w:sz w:val="17"/>
              </w:rPr>
              <w:t>Tier 1 (Primary Client)</w:t>
            </w:r>
          </w:p>
        </w:tc>
      </w:tr>
      <w:tr>
        <w:tc>
          <w:tcPr>
            <w:tcW w:type="dxa" w:w="1958"/>
            <w:shd w:fill="F8FAFC"/>
            <w:tcMar>
              <w:top w:w="80" w:type="dxa"/>
              <w:bottom w:w="80" w:type="dxa"/>
              <w:left w:w="100" w:type="dxa"/>
              <w:right w:w="100" w:type="dxa"/>
            </w:tcMar>
          </w:tcPr>
          <w:p>
            <w:pPr>
              <w:spacing w:before="20" w:after="20"/>
            </w:pPr>
            <w:r>
              <w:rPr>
                <w:b/>
                <w:color w:val="0F172A"/>
                <w:sz w:val="17"/>
              </w:rPr>
              <w:t>Google Gemini 2.5 Flash / 1.5 Pro</w:t>
            </w:r>
          </w:p>
        </w:tc>
        <w:tc>
          <w:tcPr>
            <w:tcW w:type="dxa" w:w="1958"/>
            <w:shd w:fill="F8FAFC"/>
            <w:tcMar>
              <w:top w:w="80" w:type="dxa"/>
              <w:bottom w:w="80" w:type="dxa"/>
              <w:left w:w="100" w:type="dxa"/>
              <w:right w:w="100" w:type="dxa"/>
            </w:tcMar>
          </w:tcPr>
          <w:p>
            <w:pPr>
              <w:spacing w:before="20" w:after="20"/>
            </w:pPr>
            <w:r>
              <w:rPr>
                <w:color w:val="334155"/>
                <w:sz w:val="17"/>
              </w:rPr>
              <w:t>Google Tensor Cloud</w:t>
            </w:r>
          </w:p>
        </w:tc>
        <w:tc>
          <w:tcPr>
            <w:tcW w:type="dxa" w:w="1958"/>
            <w:shd w:fill="F8FAFC"/>
            <w:tcMar>
              <w:top w:w="80" w:type="dxa"/>
              <w:bottom w:w="80" w:type="dxa"/>
              <w:left w:w="100" w:type="dxa"/>
              <w:right w:w="100" w:type="dxa"/>
            </w:tcMar>
          </w:tcPr>
          <w:p>
            <w:pPr>
              <w:spacing w:before="20" w:after="20"/>
            </w:pPr>
            <w:r>
              <w:rPr>
                <w:color w:val="334155"/>
                <w:sz w:val="17"/>
              </w:rPr>
              <w:t>1M+ ctx | ~650ms latency</w:t>
            </w:r>
          </w:p>
        </w:tc>
        <w:tc>
          <w:tcPr>
            <w:tcW w:type="dxa" w:w="1958"/>
            <w:shd w:fill="F8FAFC"/>
            <w:tcMar>
              <w:top w:w="80" w:type="dxa"/>
              <w:bottom w:w="80" w:type="dxa"/>
              <w:left w:w="100" w:type="dxa"/>
              <w:right w:w="100" w:type="dxa"/>
            </w:tcMar>
          </w:tcPr>
          <w:p>
            <w:pPr>
              <w:spacing w:before="20" w:after="20"/>
            </w:pPr>
            <w:r>
              <w:rPr>
                <w:color w:val="334155"/>
                <w:sz w:val="17"/>
              </w:rPr>
              <w:t>Deep multi-turn academic tutoring, structured JSON mock interview grading</w:t>
            </w:r>
          </w:p>
        </w:tc>
        <w:tc>
          <w:tcPr>
            <w:tcW w:type="dxa" w:w="1958"/>
            <w:shd w:fill="F8FAFC"/>
            <w:tcMar>
              <w:top w:w="80" w:type="dxa"/>
              <w:bottom w:w="80" w:type="dxa"/>
              <w:left w:w="100" w:type="dxa"/>
              <w:right w:w="100" w:type="dxa"/>
            </w:tcMar>
          </w:tcPr>
          <w:p>
            <w:pPr>
              <w:spacing w:before="20" w:after="20"/>
            </w:pPr>
            <w:r>
              <w:rPr>
                <w:color w:val="334155"/>
                <w:sz w:val="17"/>
              </w:rPr>
              <w:t>Tier 1 (Server / Backend)</w:t>
            </w:r>
          </w:p>
        </w:tc>
      </w:tr>
      <w:tr>
        <w:tc>
          <w:tcPr>
            <w:tcW w:type="dxa" w:w="1958"/>
            <w:shd w:fill="FFFFFF"/>
            <w:tcMar>
              <w:top w:w="80" w:type="dxa"/>
              <w:bottom w:w="80" w:type="dxa"/>
              <w:left w:w="100" w:type="dxa"/>
              <w:right w:w="100" w:type="dxa"/>
            </w:tcMar>
          </w:tcPr>
          <w:p>
            <w:pPr>
              <w:spacing w:before="20" w:after="20"/>
            </w:pPr>
            <w:r>
              <w:rPr>
                <w:b/>
                <w:color w:val="0F172A"/>
                <w:sz w:val="17"/>
              </w:rPr>
              <w:t>Groq Whisper Large v3 Turbo</w:t>
            </w:r>
          </w:p>
        </w:tc>
        <w:tc>
          <w:tcPr>
            <w:tcW w:type="dxa" w:w="1958"/>
            <w:shd w:fill="FFFFFF"/>
            <w:tcMar>
              <w:top w:w="80" w:type="dxa"/>
              <w:bottom w:w="80" w:type="dxa"/>
              <w:left w:w="100" w:type="dxa"/>
              <w:right w:w="100" w:type="dxa"/>
            </w:tcMar>
          </w:tcPr>
          <w:p>
            <w:pPr>
              <w:spacing w:before="20" w:after="20"/>
            </w:pPr>
            <w:r>
              <w:rPr>
                <w:color w:val="334155"/>
                <w:sz w:val="17"/>
              </w:rPr>
              <w:t>Groq Speech LPU</w:t>
            </w:r>
          </w:p>
        </w:tc>
        <w:tc>
          <w:tcPr>
            <w:tcW w:type="dxa" w:w="1958"/>
            <w:shd w:fill="FFFFFF"/>
            <w:tcMar>
              <w:top w:w="80" w:type="dxa"/>
              <w:bottom w:w="80" w:type="dxa"/>
              <w:left w:w="100" w:type="dxa"/>
              <w:right w:w="100" w:type="dxa"/>
            </w:tcMar>
          </w:tcPr>
          <w:p>
            <w:pPr>
              <w:spacing w:before="20" w:after="20"/>
            </w:pPr>
            <w:r>
              <w:rPr>
                <w:color w:val="334155"/>
                <w:sz w:val="17"/>
              </w:rPr>
              <w:t>Audio to Text | ~80ms latency</w:t>
            </w:r>
          </w:p>
        </w:tc>
        <w:tc>
          <w:tcPr>
            <w:tcW w:type="dxa" w:w="1958"/>
            <w:shd w:fill="FFFFFF"/>
            <w:tcMar>
              <w:top w:w="80" w:type="dxa"/>
              <w:bottom w:w="80" w:type="dxa"/>
              <w:left w:w="100" w:type="dxa"/>
              <w:right w:w="100" w:type="dxa"/>
            </w:tcMar>
          </w:tcPr>
          <w:p>
            <w:pPr>
              <w:spacing w:before="20" w:after="20"/>
            </w:pPr>
            <w:r>
              <w:rPr>
                <w:color w:val="334155"/>
                <w:sz w:val="17"/>
              </w:rPr>
              <w:t>Multilingual speech recognition (Hindi, Hinglish, English) for Voice Tutor</w:t>
            </w:r>
          </w:p>
        </w:tc>
        <w:tc>
          <w:tcPr>
            <w:tcW w:type="dxa" w:w="1958"/>
            <w:shd w:fill="FFFFFF"/>
            <w:tcMar>
              <w:top w:w="80" w:type="dxa"/>
              <w:bottom w:w="80" w:type="dxa"/>
              <w:left w:w="100" w:type="dxa"/>
              <w:right w:w="100" w:type="dxa"/>
            </w:tcMar>
          </w:tcPr>
          <w:p>
            <w:pPr>
              <w:spacing w:before="20" w:after="20"/>
            </w:pPr>
            <w:r>
              <w:rPr>
                <w:color w:val="334155"/>
                <w:sz w:val="17"/>
              </w:rPr>
              <w:t>Dedicated Speech STT</w:t>
            </w:r>
          </w:p>
        </w:tc>
      </w:tr>
      <w:tr>
        <w:tc>
          <w:tcPr>
            <w:tcW w:type="dxa" w:w="1958"/>
            <w:shd w:fill="F8FAFC"/>
            <w:tcMar>
              <w:top w:w="80" w:type="dxa"/>
              <w:bottom w:w="80" w:type="dxa"/>
              <w:left w:w="100" w:type="dxa"/>
              <w:right w:w="100" w:type="dxa"/>
            </w:tcMar>
          </w:tcPr>
          <w:p>
            <w:pPr>
              <w:spacing w:before="20" w:after="20"/>
            </w:pPr>
            <w:r>
              <w:rPr>
                <w:b/>
                <w:color w:val="0F172A"/>
                <w:sz w:val="17"/>
              </w:rPr>
              <w:t>DOAP Deterministic Local Engine</w:t>
            </w:r>
          </w:p>
        </w:tc>
        <w:tc>
          <w:tcPr>
            <w:tcW w:type="dxa" w:w="1958"/>
            <w:shd w:fill="F8FAFC"/>
            <w:tcMar>
              <w:top w:w="80" w:type="dxa"/>
              <w:bottom w:w="80" w:type="dxa"/>
              <w:left w:w="100" w:type="dxa"/>
              <w:right w:w="100" w:type="dxa"/>
            </w:tcMar>
          </w:tcPr>
          <w:p>
            <w:pPr>
              <w:spacing w:before="20" w:after="20"/>
            </w:pPr>
            <w:r>
              <w:rPr>
                <w:color w:val="334155"/>
                <w:sz w:val="17"/>
              </w:rPr>
              <w:t>Client Browser V8 / Node.js</w:t>
            </w:r>
          </w:p>
        </w:tc>
        <w:tc>
          <w:tcPr>
            <w:tcW w:type="dxa" w:w="1958"/>
            <w:shd w:fill="F8FAFC"/>
            <w:tcMar>
              <w:top w:w="80" w:type="dxa"/>
              <w:bottom w:w="80" w:type="dxa"/>
              <w:left w:w="100" w:type="dxa"/>
              <w:right w:w="100" w:type="dxa"/>
            </w:tcMar>
          </w:tcPr>
          <w:p>
            <w:pPr>
              <w:spacing w:before="20" w:after="20"/>
            </w:pPr>
            <w:r>
              <w:rPr>
                <w:color w:val="334155"/>
                <w:sz w:val="17"/>
              </w:rPr>
              <w:t>Instantaneous | &lt;5ms latency</w:t>
            </w:r>
          </w:p>
        </w:tc>
        <w:tc>
          <w:tcPr>
            <w:tcW w:type="dxa" w:w="1958"/>
            <w:shd w:fill="F8FAFC"/>
            <w:tcMar>
              <w:top w:w="80" w:type="dxa"/>
              <w:bottom w:w="80" w:type="dxa"/>
              <w:left w:w="100" w:type="dxa"/>
              <w:right w:w="100" w:type="dxa"/>
            </w:tcMar>
          </w:tcPr>
          <w:p>
            <w:pPr>
              <w:spacing w:before="20" w:after="20"/>
            </w:pPr>
            <w:r>
              <w:rPr>
                <w:color w:val="334155"/>
                <w:sz w:val="17"/>
              </w:rPr>
              <w:t>Zero-key offline campus faculty directory, HOD contacts, and standard rules</w:t>
            </w:r>
          </w:p>
        </w:tc>
        <w:tc>
          <w:tcPr>
            <w:tcW w:type="dxa" w:w="1958"/>
            <w:shd w:fill="F8FAFC"/>
            <w:tcMar>
              <w:top w:w="80" w:type="dxa"/>
              <w:bottom w:w="80" w:type="dxa"/>
              <w:left w:w="100" w:type="dxa"/>
              <w:right w:w="100" w:type="dxa"/>
            </w:tcMar>
          </w:tcPr>
          <w:p>
            <w:pPr>
              <w:spacing w:before="20" w:after="20"/>
            </w:pPr>
            <w:r>
              <w:rPr>
                <w:color w:val="334155"/>
                <w:sz w:val="17"/>
              </w:rPr>
              <w:t>Tier 4 (Offline Fallback)</w:t>
            </w:r>
          </w:p>
        </w:tc>
      </w:tr>
    </w:tbl>
    <w:p>
      <w:pPr>
        <w:spacing w:after="200"/>
      </w:pPr>
    </w:p>
    <w:p>
      <w:pPr>
        <w:pStyle w:val="Heading1"/>
      </w:pPr>
      <w:r>
        <w:rPr>
          <w:rFonts w:ascii="Calibri" w:hAnsi="Calibri"/>
          <w:b/>
          <w:color w:val="0F172A"/>
          <w:sz w:val="30"/>
        </w:rPr>
        <w:t>3. Code Implementation &amp; Architectural Pipelines</w:t>
      </w:r>
    </w:p>
    <w:p>
      <w:pPr>
        <w:spacing w:line="276" w:lineRule="auto" w:after="120"/>
      </w:pPr>
      <w:r>
        <w:t>DOAP's LLM engine is orchestrated across distinct client-side and server-side modules that enforce strict separation of concerns, robust key rotation, and automated fallback behavior.</w:t>
      </w:r>
    </w:p>
    <w:p>
      <w:pPr>
        <w:pStyle w:val="Heading2"/>
      </w:pPr>
      <w:r>
        <w:rPr>
          <w:rFonts w:ascii="Calibri" w:hAnsi="Calibri"/>
          <w:b/>
          <w:color w:val="1E293B"/>
          <w:sz w:val="25"/>
        </w:rPr>
        <w:t>3.1 Server-Side Gemini LLM Service (server/services/geminiService.js)</w:t>
      </w:r>
    </w:p>
    <w:p>
      <w:pPr>
        <w:spacing w:line="276" w:lineRule="auto" w:after="80"/>
      </w:pPr>
      <w:r>
        <w:t>The server utilizes the official `@google/genai` SDK to initialize Google Gemini models with institutional system instructions and structured output schemas. The implementation handles conversational history formatting and falls back gracefully to local deterministic handlers when keys are unconfigured:</w:t>
      </w:r>
    </w:p>
    <w:tbl>
      <w:tblPr>
        <w:tblW w:type="auto" w:w="0"/>
        <w:jc w:val="center"/>
        <w:tblLook w:firstColumn="1" w:firstRow="1" w:lastColumn="0" w:lastRow="0" w:noHBand="0" w:noVBand="1" w:val="04A0"/>
      </w:tblPr>
      <w:tblGrid>
        <w:gridCol w:w="9792"/>
      </w:tblGrid>
      <w:tr>
        <w:tc>
          <w:tcPr>
            <w:tcW w:type="dxa" w:w="9792"/>
            <w:shd w:fill="F8FAFC"/>
            <w:tcMar>
              <w:top w:w="100" w:type="dxa"/>
              <w:bottom w:w="100" w:type="dxa"/>
              <w:left w:w="150" w:type="dxa"/>
              <w:right w:w="150" w:type="dxa"/>
            </w:tcMar>
            <w:tcBorders>
              <w:left w:val="single" w:sz="6" w:space="0" w:color="CBD5E1"/>
              <w:top w:val="single" w:sz="6" w:space="0" w:color="CBD5E1"/>
              <w:right w:val="single" w:sz="6" w:space="0" w:color="CBD5E1"/>
              <w:bottom w:val="single" w:sz="6" w:space="0" w:color="CBD5E1"/>
            </w:tcBorders>
          </w:tcPr>
          <w:p>
            <w:pPr>
              <w:spacing w:before="40" w:after="40" w:line="252" w:lineRule="auto"/>
            </w:pPr>
            <w:r>
              <w:rPr>
                <w:rFonts w:ascii="Consolas" w:hAnsi="Consolas"/>
                <w:b/>
                <w:color w:val="64748B"/>
                <w:sz w:val="17"/>
              </w:rPr>
              <w:t>// File: server/services/geminiService.js</w:t>
              <w:br/>
            </w:r>
            <w:r>
              <w:rPr>
                <w:rFonts w:ascii="Consolas" w:hAnsi="Consolas"/>
                <w:color w:val="0F172A"/>
                <w:sz w:val="17"/>
              </w:rPr>
              <w:t>import { GoogleGenAI } from '@google/genai';</w:t>
              <w:br/>
              <w:br/>
              <w:t>const apiKey = process.env.GEMINI_API_KEY || process.env.VITE_GEMINI_API_KEY || '';</w:t>
              <w:br/>
              <w:t>let ai = null;</w:t>
              <w:br/>
              <w:br/>
              <w:t>if (apiKey &amp;&amp; apiKey !== 'your-gemini-api-key-here') {</w:t>
              <w:br/>
              <w:t xml:space="preserve">  ai = new GoogleGenAI({ apiKey });</w:t>
              <w:br/>
              <w:t>}</w:t>
              <w:br/>
              <w:br/>
              <w:t>export async function getTutorResponse({ message, history = [], userContext = {} }) {</w:t>
              <w:br/>
              <w:t xml:space="preserve">  if (ai) {</w:t>
              <w:br/>
              <w:t xml:space="preserve">    const systemInstruction = `You are DOAP AI, a world-class AI engineering mentor and institutional guide for Sanjivani University...`;</w:t>
              <w:br/>
              <w:t xml:space="preserve">    </w:t>
              <w:br/>
              <w:t xml:space="preserve">    const contents = history.map(item =&gt; ({</w:t>
              <w:br/>
              <w:t xml:space="preserve">      role: item.sender === 'user' ? 'user' : 'model',</w:t>
              <w:br/>
              <w:t xml:space="preserve">      parts: [{ text: item.text }]</w:t>
              <w:br/>
              <w:t xml:space="preserve">    }));</w:t>
              <w:br/>
              <w:t xml:space="preserve">    contents.push({ role: 'user', parts: [{ text: message }] });</w:t>
              <w:br/>
              <w:br/>
              <w:t xml:space="preserve">    const response = await ai.models.generateContent({</w:t>
              <w:br/>
              <w:t xml:space="preserve">      model: 'gemini-2.5-flash',</w:t>
              <w:br/>
              <w:t xml:space="preserve">      contents,</w:t>
              <w:br/>
              <w:t xml:space="preserve">      config: { systemInstruction, temperature: 0.7 }</w:t>
              <w:br/>
              <w:t xml:space="preserve">    });</w:t>
              <w:br/>
              <w:t xml:space="preserve">    return response.text;</w:t>
              <w:br/>
              <w:t xml:space="preserve">  }</w:t>
              <w:br/>
              <w:t xml:space="preserve">  return generateOfflineTutorResponse(message);</w:t>
              <w:br/>
              <w:t>}</w:t>
            </w:r>
          </w:p>
        </w:tc>
      </w:tr>
    </w:tbl>
    <w:p>
      <w:pPr>
        <w:spacing w:after="120"/>
      </w:pPr>
    </w:p>
    <w:p>
      <w:pPr>
        <w:pStyle w:val="Heading2"/>
      </w:pPr>
      <w:r>
        <w:rPr>
          <w:rFonts w:ascii="Calibri" w:hAnsi="Calibri"/>
          <w:b/>
          <w:color w:val="1E293B"/>
          <w:sz w:val="25"/>
        </w:rPr>
        <w:t>3.2 Client-Side Groq LPU Cascade (src/services/aiTutorEngine.js)</w:t>
      </w:r>
    </w:p>
    <w:p>
      <w:pPr>
        <w:spacing w:line="276" w:lineRule="auto" w:after="80"/>
      </w:pPr>
      <w:r>
        <w:t>To deliver instantaneous responses inside the browser (bypassing server hops), DOAP integrates Groq LPU endpoints directly with client-side session memory and dynamic prompt injection. The engine systematically cascades through model configurations:</w:t>
      </w:r>
    </w:p>
    <w:tbl>
      <w:tblPr>
        <w:tblW w:type="auto" w:w="0"/>
        <w:jc w:val="center"/>
        <w:tblLook w:firstColumn="1" w:firstRow="1" w:lastColumn="0" w:lastRow="0" w:noHBand="0" w:noVBand="1" w:val="04A0"/>
      </w:tblPr>
      <w:tblGrid>
        <w:gridCol w:w="9792"/>
      </w:tblGrid>
      <w:tr>
        <w:tc>
          <w:tcPr>
            <w:tcW w:type="dxa" w:w="9792"/>
            <w:shd w:fill="F8FAFC"/>
            <w:tcMar>
              <w:top w:w="100" w:type="dxa"/>
              <w:bottom w:w="100" w:type="dxa"/>
              <w:left w:w="150" w:type="dxa"/>
              <w:right w:w="150" w:type="dxa"/>
            </w:tcMar>
            <w:tcBorders>
              <w:left w:val="single" w:sz="6" w:space="0" w:color="CBD5E1"/>
              <w:top w:val="single" w:sz="6" w:space="0" w:color="CBD5E1"/>
              <w:right w:val="single" w:sz="6" w:space="0" w:color="CBD5E1"/>
              <w:bottom w:val="single" w:sz="6" w:space="0" w:color="CBD5E1"/>
            </w:tcBorders>
          </w:tcPr>
          <w:p>
            <w:pPr>
              <w:spacing w:before="40" w:after="40" w:line="252" w:lineRule="auto"/>
            </w:pPr>
            <w:r>
              <w:rPr>
                <w:rFonts w:ascii="Consolas" w:hAnsi="Consolas"/>
                <w:b/>
                <w:color w:val="64748B"/>
                <w:sz w:val="17"/>
              </w:rPr>
              <w:t>// File: src/services/aiTutorEngine.js</w:t>
              <w:br/>
            </w:r>
            <w:r>
              <w:rPr>
                <w:rFonts w:ascii="Consolas" w:hAnsi="Consolas"/>
                <w:color w:val="0F172A"/>
                <w:sz w:val="17"/>
              </w:rPr>
              <w:t>// Tier 1: Groq LPU (Sub-150ms High-Fidelity Intelligence)</w:t>
              <w:br/>
              <w:t>const groqModels = [</w:t>
              <w:br/>
              <w:t xml:space="preserve">  'groq/compound-mini',</w:t>
              <w:br/>
              <w:t xml:space="preserve">  'llama-3.3-70b-versatile',</w:t>
              <w:br/>
              <w:t xml:space="preserve">  'qwen/qwen-2.5-coder-32b',</w:t>
              <w:br/>
              <w:t xml:space="preserve">  'llama-3.1-8b-instant'</w:t>
              <w:br/>
              <w:t>];</w:t>
              <w:br/>
              <w:br/>
              <w:t>for (const model of groqModels) {</w:t>
              <w:br/>
              <w:t xml:space="preserve">  try {</w:t>
              <w:br/>
              <w:t xml:space="preserve">    const res = await fetch('https://api.groq.com/openai/v1/chat/completions', {</w:t>
              <w:br/>
              <w:t xml:space="preserve">      method: 'POST',</w:t>
              <w:br/>
              <w:t xml:space="preserve">      headers: {</w:t>
              <w:br/>
              <w:t xml:space="preserve">        'Authorization': `Bearer ${resolvedGroqKey}`,</w:t>
              <w:br/>
              <w:t xml:space="preserve">        'Content-Type': 'application/json'</w:t>
              <w:br/>
              <w:t xml:space="preserve">      },</w:t>
              <w:br/>
              <w:t xml:space="preserve">      body: JSON.stringify({</w:t>
              <w:br/>
              <w:t xml:space="preserve">        model,</w:t>
              <w:br/>
              <w:t xml:space="preserve">        messages: enrichedMessages,</w:t>
              <w:br/>
              <w:t xml:space="preserve">        temperature: 0.6,</w:t>
              <w:br/>
              <w:t xml:space="preserve">        max_tokens: 2048</w:t>
              <w:br/>
              <w:t xml:space="preserve">      })</w:t>
              <w:br/>
              <w:t xml:space="preserve">    });</w:t>
              <w:br/>
              <w:t xml:space="preserve">    if (res.ok) {</w:t>
              <w:br/>
              <w:t xml:space="preserve">      const data = await res.json();</w:t>
              <w:br/>
              <w:t xml:space="preserve">      return data.choices[0]?.message?.content;</w:t>
              <w:br/>
              <w:t xml:space="preserve">    }</w:t>
              <w:br/>
              <w:t xml:space="preserve">  } catch (err) {</w:t>
              <w:br/>
              <w:t xml:space="preserve">    console.warn(`[DOAP AI Groq LPU (${model})] fallback triggered`);</w:t>
              <w:br/>
              <w:t xml:space="preserve">  }</w:t>
              <w:br/>
              <w:t>}</w:t>
            </w:r>
          </w:p>
        </w:tc>
      </w:tr>
    </w:tbl>
    <w:p>
      <w:pPr>
        <w:spacing w:after="120"/>
      </w:pPr>
    </w:p>
    <w:p>
      <w:pPr>
        <w:pStyle w:val="Heading2"/>
      </w:pPr>
      <w:r>
        <w:rPr>
          <w:rFonts w:ascii="Calibri" w:hAnsi="Calibri"/>
          <w:b/>
          <w:color w:val="1E293B"/>
          <w:sz w:val="25"/>
        </w:rPr>
        <w:t>3.3 Speech Tokenization: Groq Whisper Large v3 (src/services/whisperService.js)</w:t>
      </w:r>
    </w:p>
    <w:p>
      <w:pPr>
        <w:spacing w:line="276" w:lineRule="auto" w:after="80"/>
      </w:pPr>
      <w:r>
        <w:t>Spoken input from the user's microphone is captured as a 16kHz audio blob and routed to Groq's high-speed Whisper Large v3 Turbo endpoint. This acoustic foundation model transcribes code terminology, technical jargon, and mixed Hinglish phrasing with near-zero word error rate (WER):</w:t>
      </w:r>
    </w:p>
    <w:tbl>
      <w:tblPr>
        <w:tblW w:type="auto" w:w="0"/>
        <w:jc w:val="center"/>
        <w:tblLook w:firstColumn="1" w:firstRow="1" w:lastColumn="0" w:lastRow="0" w:noHBand="0" w:noVBand="1" w:val="04A0"/>
      </w:tblPr>
      <w:tblGrid>
        <w:gridCol w:w="9792"/>
      </w:tblGrid>
      <w:tr>
        <w:tc>
          <w:tcPr>
            <w:tcW w:type="dxa" w:w="9792"/>
            <w:shd w:fill="F8FAFC"/>
            <w:tcMar>
              <w:top w:w="100" w:type="dxa"/>
              <w:bottom w:w="100" w:type="dxa"/>
              <w:left w:w="150" w:type="dxa"/>
              <w:right w:w="150" w:type="dxa"/>
            </w:tcMar>
            <w:tcBorders>
              <w:left w:val="single" w:sz="6" w:space="0" w:color="CBD5E1"/>
              <w:top w:val="single" w:sz="6" w:space="0" w:color="CBD5E1"/>
              <w:right w:val="single" w:sz="6" w:space="0" w:color="CBD5E1"/>
              <w:bottom w:val="single" w:sz="6" w:space="0" w:color="CBD5E1"/>
            </w:tcBorders>
          </w:tcPr>
          <w:p>
            <w:pPr>
              <w:spacing w:before="40" w:after="40" w:line="252" w:lineRule="auto"/>
            </w:pPr>
            <w:r>
              <w:rPr>
                <w:rFonts w:ascii="Consolas" w:hAnsi="Consolas"/>
                <w:b/>
                <w:color w:val="64748B"/>
                <w:sz w:val="17"/>
              </w:rPr>
              <w:t>// File: src/services/whisperService.js</w:t>
              <w:br/>
            </w:r>
            <w:r>
              <w:rPr>
                <w:rFonts w:ascii="Consolas" w:hAnsi="Consolas"/>
                <w:color w:val="0F172A"/>
                <w:sz w:val="17"/>
              </w:rPr>
              <w:t>export async function transcribeAudioWithGroq(audioBlob) {</w:t>
              <w:br/>
              <w:t xml:space="preserve">  const formData = new FormData();</w:t>
              <w:br/>
              <w:t xml:space="preserve">  formData.append('file', audioBlob, 'audio.wav');</w:t>
              <w:br/>
              <w:t xml:space="preserve">  formData.append('model', 'whisper-large-v3-turbo');</w:t>
              <w:br/>
              <w:t xml:space="preserve">  formData.append('temperature', '0.0');</w:t>
              <w:br/>
              <w:t xml:space="preserve">  formData.append('response_format', 'verbose_json');</w:t>
              <w:br/>
              <w:br/>
              <w:t xml:space="preserve">  const res = await fetch('https://api.groq.com/openai/v1/audio/transcriptions', {</w:t>
              <w:br/>
              <w:t xml:space="preserve">    method: 'POST',</w:t>
              <w:br/>
              <w:t xml:space="preserve">    headers: { 'Authorization': `Bearer ${apiKey}` },</w:t>
              <w:br/>
              <w:t xml:space="preserve">    body: formData</w:t>
              <w:br/>
              <w:t xml:space="preserve">  });</w:t>
              <w:br/>
              <w:t xml:space="preserve">  const data = await res.json();</w:t>
              <w:br/>
              <w:t xml:space="preserve">  return data.text;</w:t>
              <w:br/>
              <w:t>}</w:t>
            </w:r>
          </w:p>
        </w:tc>
      </w:tr>
    </w:tbl>
    <w:p>
      <w:pPr>
        <w:spacing w:after="120"/>
      </w:pPr>
    </w:p>
    <w:p>
      <w:pPr>
        <w:pStyle w:val="Heading1"/>
      </w:pPr>
      <w:r>
        <w:rPr>
          <w:rFonts w:ascii="Calibri" w:hAnsi="Calibri"/>
          <w:b/>
          <w:color w:val="0F172A"/>
          <w:sz w:val="30"/>
        </w:rPr>
        <w:t>4. Feature-by-Feature Deep Dive: LLM in Action</w:t>
      </w:r>
    </w:p>
    <w:p>
      <w:pPr>
        <w:pStyle w:val="Heading2"/>
      </w:pPr>
      <w:r>
        <w:rPr>
          <w:rFonts w:ascii="Calibri" w:hAnsi="Calibri"/>
          <w:b/>
          <w:color w:val="1E293B"/>
          <w:sz w:val="24"/>
        </w:rPr>
        <w:t>4.1 Socratic Pedagogical AI Tutor (src/pages/AITutor.jsx)</w:t>
      </w:r>
    </w:p>
    <w:p>
      <w:pPr>
        <w:spacing w:line="276" w:lineRule="auto" w:after="120"/>
      </w:pPr>
      <w:r>
        <w:t>The AI Tutor utilizes LLM reasoning to conduct Socratic dialogs with students. Instead of outputting direct solutions to coding or algorithm assignments, the LLM parses the student's buggy code, diagnoses the logical fault, and constructs progressive hints that nudge the student toward self-discovery. It formats output with syntax-highlighted code blocks, complexity analysis (Big-O), and conceptual analogies.</w:t>
      </w:r>
    </w:p>
    <w:p>
      <w:pPr>
        <w:pStyle w:val="Heading2"/>
      </w:pPr>
      <w:r>
        <w:rPr>
          <w:rFonts w:ascii="Calibri" w:hAnsi="Calibri"/>
          <w:b/>
          <w:color w:val="1E293B"/>
          <w:sz w:val="24"/>
        </w:rPr>
        <w:t>4.2 Multilingual Real-Time Voice Tutor (src/pages/VoiceTutor.jsx)</w:t>
      </w:r>
    </w:p>
    <w:p>
      <w:pPr>
        <w:spacing w:line="276" w:lineRule="auto" w:after="120"/>
      </w:pPr>
      <w:r>
        <w:t>The Voice Tutor connects Whisper STT, Groq/Gemini LLM, and Microsoft Edge Neural TTS (hi-IN-SwaraNeural) into an ultra-low latency audio loop. A critical innovation is DOAP's Spoken Code Canvas Projection: when the LLM generates a code snippet in markdown, the client extracts the code block, live-renders it into the interactive code editor canvas, and instructs the TTS to speak conversational explanations rather than dictating tedious syntax symbols.</w:t>
      </w:r>
    </w:p>
    <w:p>
      <w:pPr>
        <w:pStyle w:val="Heading2"/>
      </w:pPr>
      <w:r>
        <w:rPr>
          <w:rFonts w:ascii="Calibri" w:hAnsi="Calibri"/>
          <w:b/>
          <w:color w:val="1E293B"/>
          <w:sz w:val="24"/>
        </w:rPr>
        <w:t>4.3 Autonomous Technical Interviewer &amp; Proctoring (src/pages/InterviewPage.jsx)</w:t>
      </w:r>
    </w:p>
    <w:p>
      <w:pPr>
        <w:spacing w:line="276" w:lineRule="auto" w:after="120"/>
      </w:pPr>
      <w:r>
        <w:t>During mock interviews, the LLM dynamically formulates technical questions tailored to the candidate's target job role and seniority level. Concurrently, proctoring events (face tracking, multiple faces, tab switching) are aggregated. Upon completion, the server invokes Gemini with an evaluation schema to generate a structured JSON scorecard encompassing Technical Competence (0-100), Communication Clarity (0-100), Problem Solving (0-100), and personalized improvement roadmaps.</w:t>
      </w:r>
    </w:p>
    <w:p>
      <w:pPr>
        <w:pStyle w:val="Heading2"/>
      </w:pPr>
      <w:r>
        <w:rPr>
          <w:rFonts w:ascii="Calibri" w:hAnsi="Calibri"/>
          <w:b/>
          <w:color w:val="1E293B"/>
          <w:sz w:val="24"/>
        </w:rPr>
        <w:t>4.4 Claw Autonomous Agent Loop &amp; Function Calling (src/services/agentLoop.js)</w:t>
      </w:r>
    </w:p>
    <w:p>
      <w:pPr>
        <w:spacing w:line="276" w:lineRule="auto" w:after="120"/>
      </w:pPr>
      <w:r>
        <w:t>DOAP implements an iterative ReAct (Reason + Act) loop using LLM tool calling. When a student requests actions beyond raw text (such as launching a DSA quiz, evaluating code against test cases, or updating student memory profiles), the LLM emits a function call. The DOAP tool registry executes the action and returns the output to the LLM to complete its reasoning trajectory.</w:t>
      </w:r>
    </w:p>
    <w:p>
      <w:pPr>
        <w:pStyle w:val="Heading2"/>
      </w:pPr>
      <w:r>
        <w:rPr>
          <w:rFonts w:ascii="Calibri" w:hAnsi="Calibri"/>
          <w:b/>
          <w:color w:val="1E293B"/>
          <w:sz w:val="24"/>
        </w:rPr>
        <w:t>4.5 Career AI &amp; JD Resume Matcher (src/pages/IPArmySuite.jsx)</w:t>
      </w:r>
    </w:p>
    <w:p>
      <w:pPr>
        <w:spacing w:line="276" w:lineRule="auto" w:after="120"/>
      </w:pPr>
      <w:r>
        <w:t>The LLM parses complex Job Descriptions (JDs) from top tech employers, extracts hard technical requirements, and evaluates the candidate's student portfolio. It then rewrites resume bullets into high-impact Google XYZ format ('Accomplished [X] as measured by [Y], by doing [Z]') to ensure maximal ATS (Applicant Tracking System) ranking scores.</w:t>
      </w:r>
    </w:p>
    <w:p>
      <w:pPr>
        <w:spacing w:after="120"/>
      </w:pPr>
    </w:p>
    <w:p>
      <w:pPr>
        <w:pStyle w:val="Heading1"/>
      </w:pPr>
      <w:r>
        <w:rPr>
          <w:rFonts w:ascii="Calibri" w:hAnsi="Calibri"/>
          <w:b/>
          <w:color w:val="0F172A"/>
          <w:sz w:val="30"/>
        </w:rPr>
        <w:t>5. The Symbiosis: LLM vs. RAG in DOAP</w:t>
      </w:r>
    </w:p>
    <w:p>
      <w:pPr>
        <w:spacing w:line="276" w:lineRule="auto" w:after="120"/>
      </w:pPr>
      <w:r>
        <w:t>A common point of ambiguity in modern AI engineering is distinguishing between LLM capabilities and RAG architecture. In DOAP, LLMs and RAG are complementary halves of a unified cognitive system:</w:t>
      </w:r>
    </w:p>
    <w:tbl>
      <w:tblPr>
        <w:tblW w:type="auto" w:w="0"/>
        <w:jc w:val="center"/>
        <w:tblLook w:firstColumn="1" w:firstRow="1" w:lastColumn="0" w:lastRow="0" w:noHBand="0" w:noVBand="1" w:val="04A0"/>
      </w:tblPr>
      <w:tblGrid>
        <w:gridCol w:w="2448"/>
        <w:gridCol w:w="2448"/>
        <w:gridCol w:w="2448"/>
        <w:gridCol w:w="2448"/>
      </w:tblGrid>
      <w:tr>
        <w:tc>
          <w:tcPr>
            <w:tcW w:type="dxa" w:w="2448"/>
            <w:shd w:fill="1E293B"/>
            <w:tcMar>
              <w:top w:w="100" w:type="dxa"/>
              <w:bottom w:w="100" w:type="dxa"/>
              <w:left w:w="100" w:type="dxa"/>
              <w:right w:w="100" w:type="dxa"/>
            </w:tcMar>
          </w:tcPr>
          <w:p>
            <w:pPr>
              <w:spacing w:before="20" w:after="20"/>
            </w:pPr>
            <w:r>
              <w:rPr>
                <w:b/>
                <w:color w:val="FFFFFF"/>
                <w:sz w:val="17"/>
              </w:rPr>
              <w:t>Architectural Dimension</w:t>
            </w:r>
          </w:p>
        </w:tc>
        <w:tc>
          <w:tcPr>
            <w:tcW w:type="dxa" w:w="2448"/>
            <w:shd w:fill="1E293B"/>
            <w:tcMar>
              <w:top w:w="100" w:type="dxa"/>
              <w:bottom w:w="100" w:type="dxa"/>
              <w:left w:w="100" w:type="dxa"/>
              <w:right w:w="100" w:type="dxa"/>
            </w:tcMar>
          </w:tcPr>
          <w:p>
            <w:pPr>
              <w:spacing w:before="20" w:after="20"/>
            </w:pPr>
            <w:r>
              <w:rPr>
                <w:b/>
                <w:color w:val="FFFFFF"/>
                <w:sz w:val="17"/>
              </w:rPr>
              <w:t>Large Language Model (LLM)</w:t>
            </w:r>
          </w:p>
        </w:tc>
        <w:tc>
          <w:tcPr>
            <w:tcW w:type="dxa" w:w="2448"/>
            <w:shd w:fill="1E293B"/>
            <w:tcMar>
              <w:top w:w="100" w:type="dxa"/>
              <w:bottom w:w="100" w:type="dxa"/>
              <w:left w:w="100" w:type="dxa"/>
              <w:right w:w="100" w:type="dxa"/>
            </w:tcMar>
          </w:tcPr>
          <w:p>
            <w:pPr>
              <w:spacing w:before="20" w:after="20"/>
            </w:pPr>
            <w:r>
              <w:rPr>
                <w:b/>
                <w:color w:val="FFFFFF"/>
                <w:sz w:val="17"/>
              </w:rPr>
              <w:t>Retrieval-Augmented Generation (RAG)</w:t>
            </w:r>
          </w:p>
        </w:tc>
        <w:tc>
          <w:tcPr>
            <w:tcW w:type="dxa" w:w="2448"/>
            <w:shd w:fill="1E293B"/>
            <w:tcMar>
              <w:top w:w="100" w:type="dxa"/>
              <w:bottom w:w="100" w:type="dxa"/>
              <w:left w:w="100" w:type="dxa"/>
              <w:right w:w="100" w:type="dxa"/>
            </w:tcMar>
          </w:tcPr>
          <w:p>
            <w:pPr>
              <w:spacing w:before="20" w:after="20"/>
            </w:pPr>
            <w:r>
              <w:rPr>
                <w:b/>
                <w:color w:val="FFFFFF"/>
                <w:sz w:val="17"/>
              </w:rPr>
              <w:t>DOAP Unified Synergy</w:t>
            </w:r>
          </w:p>
        </w:tc>
      </w:tr>
      <w:tr>
        <w:tc>
          <w:tcPr>
            <w:tcW w:type="dxa" w:w="2448"/>
            <w:shd w:fill="FFFFFF"/>
            <w:tcMar>
              <w:top w:w="80" w:type="dxa"/>
              <w:bottom w:w="80" w:type="dxa"/>
              <w:left w:w="100" w:type="dxa"/>
              <w:right w:w="100" w:type="dxa"/>
            </w:tcMar>
          </w:tcPr>
          <w:p>
            <w:pPr>
              <w:spacing w:before="20" w:after="20"/>
            </w:pPr>
            <w:r>
              <w:rPr>
                <w:b/>
                <w:color w:val="0F172A"/>
                <w:sz w:val="17"/>
              </w:rPr>
              <w:t>Analogy &amp; Function</w:t>
            </w:r>
          </w:p>
        </w:tc>
        <w:tc>
          <w:tcPr>
            <w:tcW w:type="dxa" w:w="2448"/>
            <w:shd w:fill="FFFFFF"/>
            <w:tcMar>
              <w:top w:w="80" w:type="dxa"/>
              <w:bottom w:w="80" w:type="dxa"/>
              <w:left w:w="100" w:type="dxa"/>
              <w:right w:w="100" w:type="dxa"/>
            </w:tcMar>
          </w:tcPr>
          <w:p>
            <w:pPr>
              <w:spacing w:before="20" w:after="20"/>
            </w:pPr>
            <w:r>
              <w:rPr>
                <w:color w:val="334155"/>
                <w:sz w:val="17"/>
              </w:rPr>
              <w:t>The Cognitive Brain &amp; Reasoning Engine</w:t>
            </w:r>
          </w:p>
        </w:tc>
        <w:tc>
          <w:tcPr>
            <w:tcW w:type="dxa" w:w="2448"/>
            <w:shd w:fill="FFFFFF"/>
            <w:tcMar>
              <w:top w:w="80" w:type="dxa"/>
              <w:bottom w:w="80" w:type="dxa"/>
              <w:left w:w="100" w:type="dxa"/>
              <w:right w:w="100" w:type="dxa"/>
            </w:tcMar>
          </w:tcPr>
          <w:p>
            <w:pPr>
              <w:spacing w:before="20" w:after="20"/>
            </w:pPr>
            <w:r>
              <w:rPr>
                <w:color w:val="334155"/>
                <w:sz w:val="17"/>
              </w:rPr>
              <w:t>The Memory Store &amp; Fact Retrieval System</w:t>
            </w:r>
          </w:p>
        </w:tc>
        <w:tc>
          <w:tcPr>
            <w:tcW w:type="dxa" w:w="2448"/>
            <w:shd w:fill="FFFFFF"/>
            <w:tcMar>
              <w:top w:w="80" w:type="dxa"/>
              <w:bottom w:w="80" w:type="dxa"/>
              <w:left w:w="100" w:type="dxa"/>
              <w:right w:w="100" w:type="dxa"/>
            </w:tcMar>
          </w:tcPr>
          <w:p>
            <w:pPr>
              <w:spacing w:before="20" w:after="20"/>
            </w:pPr>
            <w:r>
              <w:rPr>
                <w:b/>
                <w:color w:val="10B981"/>
                <w:sz w:val="17"/>
              </w:rPr>
              <w:t>A brilliant mind with perfect real-time recall</w:t>
            </w:r>
          </w:p>
        </w:tc>
      </w:tr>
      <w:tr>
        <w:tc>
          <w:tcPr>
            <w:tcW w:type="dxa" w:w="2448"/>
            <w:shd w:fill="F8FAFC"/>
            <w:tcMar>
              <w:top w:w="80" w:type="dxa"/>
              <w:bottom w:w="80" w:type="dxa"/>
              <w:left w:w="100" w:type="dxa"/>
              <w:right w:w="100" w:type="dxa"/>
            </w:tcMar>
          </w:tcPr>
          <w:p>
            <w:pPr>
              <w:spacing w:before="20" w:after="20"/>
            </w:pPr>
            <w:r>
              <w:rPr>
                <w:b/>
                <w:color w:val="0F172A"/>
                <w:sz w:val="17"/>
              </w:rPr>
              <w:t>Data Source</w:t>
            </w:r>
          </w:p>
        </w:tc>
        <w:tc>
          <w:tcPr>
            <w:tcW w:type="dxa" w:w="2448"/>
            <w:shd w:fill="F8FAFC"/>
            <w:tcMar>
              <w:top w:w="80" w:type="dxa"/>
              <w:bottom w:w="80" w:type="dxa"/>
              <w:left w:w="100" w:type="dxa"/>
              <w:right w:w="100" w:type="dxa"/>
            </w:tcMar>
          </w:tcPr>
          <w:p>
            <w:pPr>
              <w:spacing w:before="20" w:after="20"/>
            </w:pPr>
            <w:r>
              <w:rPr>
                <w:color w:val="334155"/>
                <w:sz w:val="17"/>
              </w:rPr>
              <w:t>Pre-trained parameters (static weights)</w:t>
            </w:r>
          </w:p>
        </w:tc>
        <w:tc>
          <w:tcPr>
            <w:tcW w:type="dxa" w:w="2448"/>
            <w:shd w:fill="F8FAFC"/>
            <w:tcMar>
              <w:top w:w="80" w:type="dxa"/>
              <w:bottom w:w="80" w:type="dxa"/>
              <w:left w:w="100" w:type="dxa"/>
              <w:right w:w="100" w:type="dxa"/>
            </w:tcMar>
          </w:tcPr>
          <w:p>
            <w:pPr>
              <w:spacing w:before="20" w:after="20"/>
            </w:pPr>
            <w:r>
              <w:rPr>
                <w:color w:val="334155"/>
                <w:sz w:val="17"/>
              </w:rPr>
              <w:t>Dynamic campus directories &amp; student profiles</w:t>
            </w:r>
          </w:p>
        </w:tc>
        <w:tc>
          <w:tcPr>
            <w:tcW w:type="dxa" w:w="2448"/>
            <w:shd w:fill="F8FAFC"/>
            <w:tcMar>
              <w:top w:w="80" w:type="dxa"/>
              <w:bottom w:w="80" w:type="dxa"/>
              <w:left w:w="100" w:type="dxa"/>
              <w:right w:w="100" w:type="dxa"/>
            </w:tcMar>
          </w:tcPr>
          <w:p>
            <w:pPr>
              <w:spacing w:before="20" w:after="20"/>
            </w:pPr>
            <w:r>
              <w:rPr>
                <w:b/>
                <w:color w:val="10B981"/>
                <w:sz w:val="17"/>
              </w:rPr>
              <w:t>Zero hallucinations on institutional facts</w:t>
            </w:r>
          </w:p>
        </w:tc>
      </w:tr>
      <w:tr>
        <w:tc>
          <w:tcPr>
            <w:tcW w:type="dxa" w:w="2448"/>
            <w:shd w:fill="FFFFFF"/>
            <w:tcMar>
              <w:top w:w="80" w:type="dxa"/>
              <w:bottom w:w="80" w:type="dxa"/>
              <w:left w:w="100" w:type="dxa"/>
              <w:right w:w="100" w:type="dxa"/>
            </w:tcMar>
          </w:tcPr>
          <w:p>
            <w:pPr>
              <w:spacing w:before="20" w:after="20"/>
            </w:pPr>
            <w:r>
              <w:rPr>
                <w:b/>
                <w:color w:val="0F172A"/>
                <w:sz w:val="17"/>
              </w:rPr>
              <w:t>Campus Specifics</w:t>
            </w:r>
          </w:p>
        </w:tc>
        <w:tc>
          <w:tcPr>
            <w:tcW w:type="dxa" w:w="2448"/>
            <w:shd w:fill="FFFFFF"/>
            <w:tcMar>
              <w:top w:w="80" w:type="dxa"/>
              <w:bottom w:w="80" w:type="dxa"/>
              <w:left w:w="100" w:type="dxa"/>
              <w:right w:w="100" w:type="dxa"/>
            </w:tcMar>
          </w:tcPr>
          <w:p>
            <w:pPr>
              <w:spacing w:before="20" w:after="20"/>
            </w:pPr>
            <w:r>
              <w:rPr>
                <w:color w:val="334155"/>
                <w:sz w:val="17"/>
              </w:rPr>
              <w:t>Does not natively know Sanjivani HODs/cabins</w:t>
            </w:r>
          </w:p>
        </w:tc>
        <w:tc>
          <w:tcPr>
            <w:tcW w:type="dxa" w:w="2448"/>
            <w:shd w:fill="FFFFFF"/>
            <w:tcMar>
              <w:top w:w="80" w:type="dxa"/>
              <w:bottom w:w="80" w:type="dxa"/>
              <w:left w:w="100" w:type="dxa"/>
              <w:right w:w="100" w:type="dxa"/>
            </w:tcMar>
          </w:tcPr>
          <w:p>
            <w:pPr>
              <w:spacing w:before="20" w:after="20"/>
            </w:pPr>
            <w:r>
              <w:rPr>
                <w:color w:val="334155"/>
                <w:sz w:val="17"/>
              </w:rPr>
              <w:t>Retrieves exact phone numbers, HODs, cabins</w:t>
            </w:r>
          </w:p>
        </w:tc>
        <w:tc>
          <w:tcPr>
            <w:tcW w:type="dxa" w:w="2448"/>
            <w:shd w:fill="FFFFFF"/>
            <w:tcMar>
              <w:top w:w="80" w:type="dxa"/>
              <w:bottom w:w="80" w:type="dxa"/>
              <w:left w:w="100" w:type="dxa"/>
              <w:right w:w="100" w:type="dxa"/>
            </w:tcMar>
          </w:tcPr>
          <w:p>
            <w:pPr>
              <w:spacing w:before="20" w:after="20"/>
            </w:pPr>
            <w:r>
              <w:rPr>
                <w:b/>
                <w:color w:val="10B981"/>
                <w:sz w:val="17"/>
              </w:rPr>
              <w:t>Accurate campus guidance with human-like tone</w:t>
            </w:r>
          </w:p>
        </w:tc>
      </w:tr>
      <w:tr>
        <w:tc>
          <w:tcPr>
            <w:tcW w:type="dxa" w:w="2448"/>
            <w:shd w:fill="F8FAFC"/>
            <w:tcMar>
              <w:top w:w="80" w:type="dxa"/>
              <w:bottom w:w="80" w:type="dxa"/>
              <w:left w:w="100" w:type="dxa"/>
              <w:right w:w="100" w:type="dxa"/>
            </w:tcMar>
          </w:tcPr>
          <w:p>
            <w:pPr>
              <w:spacing w:before="20" w:after="20"/>
            </w:pPr>
            <w:r>
              <w:rPr>
                <w:b/>
                <w:color w:val="0F172A"/>
                <w:sz w:val="17"/>
              </w:rPr>
              <w:t>Personalization</w:t>
            </w:r>
          </w:p>
        </w:tc>
        <w:tc>
          <w:tcPr>
            <w:tcW w:type="dxa" w:w="2448"/>
            <w:shd w:fill="F8FAFC"/>
            <w:tcMar>
              <w:top w:w="80" w:type="dxa"/>
              <w:bottom w:w="80" w:type="dxa"/>
              <w:left w:w="100" w:type="dxa"/>
              <w:right w:w="100" w:type="dxa"/>
            </w:tcMar>
          </w:tcPr>
          <w:p>
            <w:pPr>
              <w:spacing w:before="20" w:after="20"/>
            </w:pPr>
            <w:r>
              <w:rPr>
                <w:color w:val="334155"/>
                <w:sz w:val="17"/>
              </w:rPr>
              <w:t>Generic computer science tutoring</w:t>
            </w:r>
          </w:p>
        </w:tc>
        <w:tc>
          <w:tcPr>
            <w:tcW w:type="dxa" w:w="2448"/>
            <w:shd w:fill="F8FAFC"/>
            <w:tcMar>
              <w:top w:w="80" w:type="dxa"/>
              <w:bottom w:w="80" w:type="dxa"/>
              <w:left w:w="100" w:type="dxa"/>
              <w:right w:w="100" w:type="dxa"/>
            </w:tcMar>
          </w:tcPr>
          <w:p>
            <w:pPr>
              <w:spacing w:before="20" w:after="20"/>
            </w:pPr>
            <w:r>
              <w:rPr>
                <w:color w:val="334155"/>
                <w:sz w:val="17"/>
              </w:rPr>
              <w:t>Fetches student's active cognitive weaknesses</w:t>
            </w:r>
          </w:p>
        </w:tc>
        <w:tc>
          <w:tcPr>
            <w:tcW w:type="dxa" w:w="2448"/>
            <w:shd w:fill="F8FAFC"/>
            <w:tcMar>
              <w:top w:w="80" w:type="dxa"/>
              <w:bottom w:w="80" w:type="dxa"/>
              <w:left w:w="100" w:type="dxa"/>
              <w:right w:w="100" w:type="dxa"/>
            </w:tcMar>
          </w:tcPr>
          <w:p>
            <w:pPr>
              <w:spacing w:before="20" w:after="20"/>
            </w:pPr>
            <w:r>
              <w:rPr>
                <w:b/>
                <w:color w:val="10B981"/>
                <w:sz w:val="17"/>
              </w:rPr>
              <w:t>Tailors hints directly to individual gaps</w:t>
            </w:r>
          </w:p>
        </w:tc>
      </w:tr>
      <w:tr>
        <w:tc>
          <w:tcPr>
            <w:tcW w:type="dxa" w:w="2448"/>
            <w:shd w:fill="FFFFFF"/>
            <w:tcMar>
              <w:top w:w="80" w:type="dxa"/>
              <w:bottom w:w="80" w:type="dxa"/>
              <w:left w:w="100" w:type="dxa"/>
              <w:right w:w="100" w:type="dxa"/>
            </w:tcMar>
          </w:tcPr>
          <w:p>
            <w:pPr>
              <w:spacing w:before="20" w:after="20"/>
            </w:pPr>
            <w:r>
              <w:rPr>
                <w:b/>
                <w:color w:val="0F172A"/>
                <w:sz w:val="17"/>
              </w:rPr>
              <w:t>Execution Speed</w:t>
            </w:r>
          </w:p>
        </w:tc>
        <w:tc>
          <w:tcPr>
            <w:tcW w:type="dxa" w:w="2448"/>
            <w:shd w:fill="FFFFFF"/>
            <w:tcMar>
              <w:top w:w="80" w:type="dxa"/>
              <w:bottom w:w="80" w:type="dxa"/>
              <w:left w:w="100" w:type="dxa"/>
              <w:right w:w="100" w:type="dxa"/>
            </w:tcMar>
          </w:tcPr>
          <w:p>
            <w:pPr>
              <w:spacing w:before="20" w:after="20"/>
            </w:pPr>
            <w:r>
              <w:rPr>
                <w:color w:val="334155"/>
                <w:sz w:val="17"/>
              </w:rPr>
              <w:t>120ms - 650ms token generation</w:t>
            </w:r>
          </w:p>
        </w:tc>
        <w:tc>
          <w:tcPr>
            <w:tcW w:type="dxa" w:w="2448"/>
            <w:shd w:fill="FFFFFF"/>
            <w:tcMar>
              <w:top w:w="80" w:type="dxa"/>
              <w:bottom w:w="80" w:type="dxa"/>
              <w:left w:w="100" w:type="dxa"/>
              <w:right w:w="100" w:type="dxa"/>
            </w:tcMar>
          </w:tcPr>
          <w:p>
            <w:pPr>
              <w:spacing w:before="20" w:after="20"/>
            </w:pPr>
            <w:r>
              <w:rPr>
                <w:color w:val="334155"/>
                <w:sz w:val="17"/>
              </w:rPr>
              <w:t>Sub-20ms memory / dataset lookup</w:t>
            </w:r>
          </w:p>
        </w:tc>
        <w:tc>
          <w:tcPr>
            <w:tcW w:type="dxa" w:w="2448"/>
            <w:shd w:fill="FFFFFF"/>
            <w:tcMar>
              <w:top w:w="80" w:type="dxa"/>
              <w:bottom w:w="80" w:type="dxa"/>
              <w:left w:w="100" w:type="dxa"/>
              <w:right w:w="100" w:type="dxa"/>
            </w:tcMar>
          </w:tcPr>
          <w:p>
            <w:pPr>
              <w:spacing w:before="20" w:after="20"/>
            </w:pPr>
            <w:r>
              <w:rPr>
                <w:b/>
                <w:color w:val="10B981"/>
                <w:sz w:val="17"/>
              </w:rPr>
              <w:t>Real-time interactive tutoring (&lt; 200ms total)</w:t>
            </w:r>
          </w:p>
        </w:tc>
      </w:tr>
    </w:tbl>
    <w:p>
      <w:pPr>
        <w:spacing w:after="200"/>
      </w:pPr>
    </w:p>
    <w:p>
      <w:pPr>
        <w:pStyle w:val="Heading1"/>
      </w:pPr>
      <w:r>
        <w:rPr>
          <w:rFonts w:ascii="Calibri" w:hAnsi="Calibri"/>
          <w:b/>
          <w:color w:val="0F172A"/>
          <w:sz w:val="30"/>
        </w:rPr>
        <w:t>6. Resilience Cascade, Latency &amp; Responsible AI Safety</w:t>
      </w:r>
    </w:p>
    <w:p>
      <w:pPr>
        <w:spacing w:line="276" w:lineRule="auto" w:after="80"/>
      </w:pPr>
      <w:r>
        <w:t>Production AI systems in educational institutions require unconditional uptime and strict guardrails. DOAP enforces three primary architectural controls:</w:t>
      </w:r>
    </w:p>
    <w:p>
      <w:pPr>
        <w:pStyle w:val="ListBullet"/>
        <w:spacing w:after="60" w:line="276" w:lineRule="auto"/>
      </w:pPr>
      <w:r>
        <w:rPr>
          <w:b/>
          <w:color w:val="0F172A"/>
        </w:rPr>
        <w:t xml:space="preserve">Four-Tier Automatic Failover Cascade: </w:t>
      </w:r>
      <w:r>
        <w:rPr>
          <w:color w:val="334155"/>
        </w:rPr>
        <w:t>If Groq API experiences rate limits or network degradation, requests cascade automatically to OpenRouter, then to Google Gemini, and finally to the client-side deterministic campus rule engine. No student ever encounters a blank error screen.</w:t>
      </w:r>
    </w:p>
    <w:p>
      <w:pPr>
        <w:pStyle w:val="ListBullet"/>
        <w:spacing w:after="60" w:line="276" w:lineRule="auto"/>
      </w:pPr>
      <w:r>
        <w:rPr>
          <w:b/>
          <w:color w:val="0F172A"/>
        </w:rPr>
        <w:t xml:space="preserve">Strict Prompt Hardening &amp; Anti-Jailbreaking: </w:t>
      </w:r>
      <w:r>
        <w:rPr>
          <w:color w:val="334155"/>
        </w:rPr>
        <w:t>System prompts contain explicit boundaries preventing the model from acting outside its role as an academic mentor. Queries attempting system prompt extraction or toxic outputs are intercepted and sanitized.</w:t>
      </w:r>
    </w:p>
    <w:p>
      <w:pPr>
        <w:pStyle w:val="ListBullet"/>
        <w:spacing w:after="60" w:line="276" w:lineRule="auto"/>
      </w:pPr>
      <w:r>
        <w:rPr>
          <w:b/>
          <w:color w:val="0F172A"/>
        </w:rPr>
        <w:t xml:space="preserve">Pedagogical Leakage Defense: </w:t>
      </w:r>
      <w:r>
        <w:rPr>
          <w:color w:val="334155"/>
        </w:rPr>
        <w:t>When tutoring students on live Hackerrank/LeetCode challenges, the system prompt strictly instructs the LLM: 'Do NOT give the full code solution immediately. Guide the student step-by-step using questions and pseudo-code.'</w:t>
      </w:r>
    </w:p>
    <w:p>
      <w:pPr>
        <w:spacing w:after="240"/>
      </w:pPr>
    </w:p>
    <w:tbl>
      <w:tblPr>
        <w:tblW w:type="auto" w:w="0"/>
        <w:jc w:val="center"/>
        <w:tblLook w:firstColumn="1" w:firstRow="1" w:lastColumn="0" w:lastRow="0" w:noHBand="0" w:noVBand="1" w:val="04A0"/>
      </w:tblPr>
      <w:tblGrid>
        <w:gridCol w:w="9792"/>
      </w:tblGrid>
      <w:tr>
        <w:tc>
          <w:tcPr>
            <w:tcW w:type="dxa" w:w="9792"/>
            <w:shd w:fill="F8FAFC"/>
            <w:tcMar>
              <w:top w:w="140" w:type="dxa"/>
              <w:bottom w:w="140" w:type="dxa"/>
              <w:left w:w="200" w:type="dxa"/>
              <w:right w:w="180" w:type="dxa"/>
            </w:tcMar>
            <w:tcBorders>
              <w:left w:val="single" w:sz="24" w:space="0" w:color="0F172A"/>
              <w:top w:val="none"/>
              <w:right w:val="none"/>
              <w:bottom w:val="none"/>
            </w:tcBorders>
          </w:tcPr>
          <w:p>
            <w:pPr>
              <w:spacing w:before="40" w:after="40" w:line="276" w:lineRule="auto"/>
            </w:pPr>
            <w:r>
              <w:rPr>
                <w:rFonts w:ascii="Calibri" w:hAnsi="Calibri"/>
                <w:b/>
                <w:color w:val="16A34A"/>
                <w:sz w:val="20"/>
              </w:rPr>
              <w:t>📌 CONCLUDING ARCHITECTURAL VERDICT</w:t>
              <w:br/>
            </w:r>
            <w:r>
              <w:rPr>
                <w:rFonts w:ascii="Calibri" w:hAnsi="Calibri"/>
                <w:color w:val="1E293B"/>
                <w:sz w:val="19"/>
              </w:rPr>
              <w:t>DOAP demonstrates that world-class AI learning environments are not built by merely embedding third-party chatbots. By orchestrating specialized LLMs (Groq LPUs, Google Gemini, and Whisper) with institutional knowledge graphs and autonomous tool loops, DOAP provides an industry-defining standard for next-generation personalized engineering education.</w:t>
            </w:r>
          </w:p>
        </w:tc>
      </w:tr>
    </w:tbl>
    <w:p>
      <w:pPr>
        <w:spacing w:after="120"/>
      </w:pP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