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5f78180c2d1300f77b2717ad336121a7a7b2389"/>
    <w:p>
      <w:pPr>
        <w:pStyle w:val="Heading1"/>
      </w:pPr>
      <w:r>
        <w:t xml:space="preserve">Rapport Technique – Pipeline de Données et Visualisation du Conflit en Ukraine (2014–2022)</w:t>
      </w:r>
    </w:p>
    <w:p>
      <w:pPr>
        <w:pStyle w:val="FirstParagraph"/>
      </w:pPr>
      <w:r>
        <w:rPr>
          <w:b/>
          <w:bCs/>
        </w:rPr>
        <w:t xml:space="preserve">Auteur : Dylan Llodra</w:t>
      </w:r>
      <w:r>
        <w:br/>
      </w:r>
      <w:r>
        <w:rPr>
          <w:b/>
          <w:bCs/>
        </w:rPr>
        <w:t xml:space="preserve">Outil principal : Power BI Desktop</w:t>
      </w:r>
      <w:r>
        <w:br/>
      </w:r>
      <w:r>
        <w:rPr>
          <w:b/>
          <w:bCs/>
        </w:rPr>
        <w:t xml:space="preserve">Technologies : Power Query (M), CSV, Modèle tabulaire Power BI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Ce projet vise à analyser les conflits armés en Ukraine entre 2014 et 2022 à partir de plusieurs sources ouvertes. L’objectif est de concevoir une chaîne de traitement robuste permettant :</w:t>
      </w:r>
    </w:p>
    <w:p>
      <w:pPr>
        <w:pStyle w:val="Compact"/>
        <w:numPr>
          <w:ilvl w:val="0"/>
          <w:numId w:val="1001"/>
        </w:numPr>
      </w:pPr>
      <w:r>
        <w:t xml:space="preserve">L’intégration de données hétérogènes,</w:t>
      </w:r>
    </w:p>
    <w:p>
      <w:pPr>
        <w:pStyle w:val="Compact"/>
        <w:numPr>
          <w:ilvl w:val="0"/>
          <w:numId w:val="1001"/>
        </w:numPr>
      </w:pPr>
      <w:r>
        <w:t xml:space="preserve">Leur nettoyage et enrichissement,</w:t>
      </w:r>
    </w:p>
    <w:p>
      <w:pPr>
        <w:pStyle w:val="Compact"/>
        <w:numPr>
          <w:ilvl w:val="0"/>
          <w:numId w:val="1001"/>
        </w:numPr>
      </w:pPr>
      <w:r>
        <w:t xml:space="preserve">La consolidation multi-sources,</w:t>
      </w:r>
    </w:p>
    <w:p>
      <w:pPr>
        <w:pStyle w:val="Compact"/>
        <w:numPr>
          <w:ilvl w:val="0"/>
          <w:numId w:val="1001"/>
        </w:numPr>
      </w:pPr>
      <w:r>
        <w:t xml:space="preserve">La visualisation interactive à destination des décideurs.</w:t>
      </w:r>
    </w:p>
    <w:p>
      <w:pPr>
        <w:pStyle w:val="FirstParagraph"/>
      </w:pPr>
      <w:r>
        <w:t xml:space="preserve">L’architecture adoptée suit le modèle</w:t>
      </w:r>
      <w:r>
        <w:t xml:space="preserve"> </w:t>
      </w:r>
      <w:r>
        <w:rPr>
          <w:b/>
          <w:bCs/>
        </w:rPr>
        <w:t xml:space="preserve">Medallion Architecture (Bronze / Silver / Gold)</w:t>
      </w:r>
      <w:r>
        <w:t xml:space="preserve"> </w:t>
      </w:r>
      <w:r>
        <w:t xml:space="preserve">afin de garantir la qualité, la traçabilité et la performance analytique.</w:t>
      </w:r>
    </w:p>
    <w:p>
      <w:r>
        <w:pict>
          <v:rect style="width:0;height:1.5pt" o:hralign="center" o:hrstd="t" o:hr="t"/>
        </w:pict>
      </w:r>
    </w:p>
    <w:bookmarkEnd w:id="20"/>
    <w:bookmarkStart w:id="25" w:name="architecture-globale-du-projet"/>
    <w:p>
      <w:pPr>
        <w:pStyle w:val="Heading2"/>
      </w:pPr>
      <w:r>
        <w:t xml:space="preserve">2. Architecture globale du projet</w:t>
      </w:r>
    </w:p>
    <w:bookmarkStart w:id="21" w:name="organisation-des-couches"/>
    <w:p>
      <w:pPr>
        <w:pStyle w:val="Heading3"/>
      </w:pPr>
      <w:r>
        <w:t xml:space="preserve">2.1 Organisation des couches</w:t>
      </w:r>
    </w:p>
    <w:p>
      <w:pPr>
        <w:pStyle w:val="FirstParagraph"/>
      </w:pPr>
      <w:r>
        <w:t xml:space="preserve">Le projet est structuré en trois niveaux :</w:t>
      </w:r>
    </w:p>
    <w:bookmarkEnd w:id="21"/>
    <w:bookmarkStart w:id="22" w:name="bronze-raw"/>
    <w:p>
      <w:pPr>
        <w:pStyle w:val="Heading3"/>
      </w:pPr>
      <w:r>
        <w:t xml:space="preserve">Bronze (Raw)</w:t>
      </w:r>
    </w:p>
    <w:p>
      <w:pPr>
        <w:pStyle w:val="Compact"/>
        <w:numPr>
          <w:ilvl w:val="0"/>
          <w:numId w:val="1002"/>
        </w:numPr>
      </w:pPr>
      <w:r>
        <w:t xml:space="preserve">Fichiers CSV sources</w:t>
      </w:r>
    </w:p>
    <w:p>
      <w:pPr>
        <w:pStyle w:val="Compact"/>
        <w:numPr>
          <w:ilvl w:val="0"/>
          <w:numId w:val="1002"/>
        </w:numPr>
      </w:pPr>
      <w:r>
        <w:t xml:space="preserve">Données non modifiées</w:t>
      </w:r>
    </w:p>
    <w:p>
      <w:pPr>
        <w:pStyle w:val="Compact"/>
        <w:numPr>
          <w:ilvl w:val="0"/>
          <w:numId w:val="1002"/>
        </w:numPr>
      </w:pPr>
      <w:r>
        <w:t xml:space="preserve">Conservation du format original</w:t>
      </w:r>
    </w:p>
    <w:p>
      <w:pPr>
        <w:pStyle w:val="FirstParagraph"/>
      </w:pPr>
      <w:r>
        <w:t xml:space="preserve">Sources principales :</w:t>
      </w:r>
    </w:p>
    <w:p>
      <w:pPr>
        <w:pStyle w:val="Compact"/>
        <w:numPr>
          <w:ilvl w:val="0"/>
          <w:numId w:val="1003"/>
        </w:numPr>
      </w:pPr>
      <w:r>
        <w:t xml:space="preserve">ACLED (événements de conflits)</w:t>
      </w:r>
    </w:p>
    <w:p>
      <w:pPr>
        <w:pStyle w:val="Compact"/>
        <w:numPr>
          <w:ilvl w:val="0"/>
          <w:numId w:val="1003"/>
        </w:numPr>
      </w:pPr>
      <w:r>
        <w:t xml:space="preserve">UCDP (données de violence et mortalité)</w:t>
      </w:r>
    </w:p>
    <w:bookmarkEnd w:id="22"/>
    <w:bookmarkStart w:id="23" w:name="silver-nettoyage-et-enrichissement"/>
    <w:p>
      <w:pPr>
        <w:pStyle w:val="Heading3"/>
      </w:pPr>
      <w:r>
        <w:t xml:space="preserve">Silver (Nettoyage et enrichissement)</w:t>
      </w:r>
    </w:p>
    <w:p>
      <w:pPr>
        <w:pStyle w:val="Compact"/>
        <w:numPr>
          <w:ilvl w:val="0"/>
          <w:numId w:val="1004"/>
        </w:numPr>
      </w:pPr>
      <w:r>
        <w:t xml:space="preserve">Typage strict des colonnes</w:t>
      </w:r>
    </w:p>
    <w:p>
      <w:pPr>
        <w:pStyle w:val="Compact"/>
        <w:numPr>
          <w:ilvl w:val="0"/>
          <w:numId w:val="1004"/>
        </w:numPr>
      </w:pPr>
      <w:r>
        <w:t xml:space="preserve">Harmonisation des noms</w:t>
      </w:r>
    </w:p>
    <w:p>
      <w:pPr>
        <w:pStyle w:val="Compact"/>
        <w:numPr>
          <w:ilvl w:val="0"/>
          <w:numId w:val="1004"/>
        </w:numPr>
      </w:pPr>
      <w:r>
        <w:t xml:space="preserve">Nettoyage des valeurs manquantes</w:t>
      </w:r>
    </w:p>
    <w:p>
      <w:pPr>
        <w:pStyle w:val="Compact"/>
        <w:numPr>
          <w:ilvl w:val="0"/>
          <w:numId w:val="1004"/>
        </w:numPr>
      </w:pPr>
      <w:r>
        <w:t xml:space="preserve">Enrichissement temporel</w:t>
      </w:r>
    </w:p>
    <w:p>
      <w:pPr>
        <w:pStyle w:val="Compact"/>
        <w:numPr>
          <w:ilvl w:val="0"/>
          <w:numId w:val="1004"/>
        </w:numPr>
      </w:pPr>
      <w:r>
        <w:t xml:space="preserve">Normalisation géographique</w:t>
      </w:r>
    </w:p>
    <w:p>
      <w:pPr>
        <w:pStyle w:val="FirstParagraph"/>
      </w:pPr>
      <w:r>
        <w:t xml:space="preserve">Tables Silver 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[SILVER]2019-07-16-2022-07-24-Ukraine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[SILVER]conflict_data_ukr</w:t>
      </w:r>
    </w:p>
    <w:bookmarkEnd w:id="23"/>
    <w:bookmarkStart w:id="24" w:name="gold-modèle-analytique"/>
    <w:p>
      <w:pPr>
        <w:pStyle w:val="Heading3"/>
      </w:pPr>
      <w:r>
        <w:t xml:space="preserve">Gold (Modèle analytique)</w:t>
      </w:r>
    </w:p>
    <w:p>
      <w:pPr>
        <w:pStyle w:val="Compact"/>
        <w:numPr>
          <w:ilvl w:val="0"/>
          <w:numId w:val="1006"/>
        </w:numPr>
      </w:pPr>
      <w:r>
        <w:t xml:space="preserve">Fusion multi-sources</w:t>
      </w:r>
    </w:p>
    <w:p>
      <w:pPr>
        <w:pStyle w:val="Compact"/>
        <w:numPr>
          <w:ilvl w:val="0"/>
          <w:numId w:val="1006"/>
        </w:numPr>
      </w:pPr>
      <w:r>
        <w:t xml:space="preserve">Normalisation sémantique</w:t>
      </w:r>
    </w:p>
    <w:p>
      <w:pPr>
        <w:pStyle w:val="Compact"/>
        <w:numPr>
          <w:ilvl w:val="0"/>
          <w:numId w:val="1006"/>
        </w:numPr>
      </w:pPr>
      <w:r>
        <w:t xml:space="preserve">Suppression des colonnes inutiles</w:t>
      </w:r>
    </w:p>
    <w:p>
      <w:pPr>
        <w:pStyle w:val="Compact"/>
        <w:numPr>
          <w:ilvl w:val="0"/>
          <w:numId w:val="1006"/>
        </w:numPr>
      </w:pPr>
      <w:r>
        <w:t xml:space="preserve">Création de mesures métiers</w:t>
      </w:r>
    </w:p>
    <w:p>
      <w:pPr>
        <w:pStyle w:val="FirstParagraph"/>
      </w:pPr>
      <w:r>
        <w:t xml:space="preserve">Tables Gold 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[GOLD]ukraine_2014_2022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[GOLD]Mesures_Globales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pipeline-etl-source-acled"/>
    <w:p>
      <w:pPr>
        <w:pStyle w:val="Heading2"/>
      </w:pPr>
      <w:r>
        <w:t xml:space="preserve">3. Pipeline ETL – Source ACLED</w:t>
      </w:r>
    </w:p>
    <w:bookmarkStart w:id="26" w:name="chargement"/>
    <w:p>
      <w:pPr>
        <w:pStyle w:val="Heading3"/>
      </w:pPr>
      <w:r>
        <w:t xml:space="preserve">3.1 Chargement</w:t>
      </w:r>
    </w:p>
    <w:p>
      <w:pPr>
        <w:pStyle w:val="FirstParagraph"/>
      </w:pPr>
      <w:r>
        <w:t xml:space="preserve">Chargement du fichier CSV contenant les événements :</w:t>
      </w:r>
    </w:p>
    <w:p>
      <w:pPr>
        <w:pStyle w:val="Compact"/>
        <w:numPr>
          <w:ilvl w:val="0"/>
          <w:numId w:val="1008"/>
        </w:numPr>
      </w:pPr>
      <w:r>
        <w:t xml:space="preserve">Délimiteur :</w:t>
      </w:r>
      <w:r>
        <w:t xml:space="preserve"> </w:t>
      </w:r>
      <w:r>
        <w:t xml:space="preserve">“,”</w:t>
      </w:r>
    </w:p>
    <w:p>
      <w:pPr>
        <w:pStyle w:val="Compact"/>
        <w:numPr>
          <w:ilvl w:val="0"/>
          <w:numId w:val="1008"/>
        </w:numPr>
      </w:pPr>
      <w:r>
        <w:t xml:space="preserve">Encodage : Windows-1252</w:t>
      </w:r>
    </w:p>
    <w:p>
      <w:pPr>
        <w:pStyle w:val="Compact"/>
        <w:numPr>
          <w:ilvl w:val="0"/>
          <w:numId w:val="1008"/>
        </w:numPr>
      </w:pPr>
      <w:r>
        <w:t xml:space="preserve">31 colonnes</w:t>
      </w:r>
    </w:p>
    <w:bookmarkEnd w:id="26"/>
    <w:bookmarkStart w:id="27" w:name="promotion-des-en-têtes"/>
    <w:p>
      <w:pPr>
        <w:pStyle w:val="Heading3"/>
      </w:pPr>
      <w:r>
        <w:t xml:space="preserve">3.2 Promotion des en-têtes</w:t>
      </w:r>
    </w:p>
    <w:p>
      <w:pPr>
        <w:pStyle w:val="FirstParagraph"/>
      </w:pPr>
      <w:r>
        <w:t xml:space="preserve">Les premières lignes sont converties en noms de colonnes afin d’obtenir un schéma exploitable.</w:t>
      </w:r>
    </w:p>
    <w:bookmarkEnd w:id="27"/>
    <w:bookmarkStart w:id="28" w:name="typage-des-données"/>
    <w:p>
      <w:pPr>
        <w:pStyle w:val="Heading3"/>
      </w:pPr>
      <w:r>
        <w:t xml:space="preserve">3.3 Typage des données</w:t>
      </w:r>
    </w:p>
    <w:p>
      <w:pPr>
        <w:pStyle w:val="FirstParagraph"/>
      </w:pPr>
      <w:r>
        <w:t xml:space="preserve">Typage strict des colonnes critiques :</w:t>
      </w:r>
    </w:p>
    <w:p>
      <w:pPr>
        <w:pStyle w:val="Compact"/>
        <w:numPr>
          <w:ilvl w:val="0"/>
          <w:numId w:val="1009"/>
        </w:numPr>
      </w:pPr>
      <w:r>
        <w:t xml:space="preserve">Dates → type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0"/>
          <w:numId w:val="1009"/>
        </w:numPr>
      </w:pPr>
      <w:r>
        <w:t xml:space="preserve">Coordonnées →</w:t>
      </w:r>
      <w:r>
        <w:t xml:space="preserve"> </w:t>
      </w:r>
      <w:r>
        <w:rPr>
          <w:rStyle w:val="VerbatimChar"/>
        </w:rPr>
        <w:t xml:space="preserve">number</w:t>
      </w:r>
    </w:p>
    <w:p>
      <w:pPr>
        <w:pStyle w:val="Compact"/>
        <w:numPr>
          <w:ilvl w:val="0"/>
          <w:numId w:val="1009"/>
        </w:numPr>
      </w:pPr>
      <w:r>
        <w:t xml:space="preserve">Identifiants →</w:t>
      </w:r>
      <w:r>
        <w:t xml:space="preserve"> </w:t>
      </w:r>
      <w:r>
        <w:rPr>
          <w:rStyle w:val="VerbatimChar"/>
        </w:rPr>
        <w:t xml:space="preserve">Int64</w:t>
      </w:r>
    </w:p>
    <w:p>
      <w:pPr>
        <w:pStyle w:val="FirstParagraph"/>
      </w:pPr>
      <w:r>
        <w:t xml:space="preserve">Cela permet :</w:t>
      </w:r>
    </w:p>
    <w:p>
      <w:pPr>
        <w:pStyle w:val="Compact"/>
        <w:numPr>
          <w:ilvl w:val="0"/>
          <w:numId w:val="1010"/>
        </w:numPr>
      </w:pPr>
      <w:r>
        <w:t xml:space="preserve">d’éviter les erreurs de calcul,</w:t>
      </w:r>
    </w:p>
    <w:p>
      <w:pPr>
        <w:pStyle w:val="Compact"/>
        <w:numPr>
          <w:ilvl w:val="0"/>
          <w:numId w:val="1010"/>
        </w:numPr>
      </w:pPr>
      <w:r>
        <w:t xml:space="preserve">d’améliorer les performances,</w:t>
      </w:r>
    </w:p>
    <w:p>
      <w:pPr>
        <w:pStyle w:val="Compact"/>
        <w:numPr>
          <w:ilvl w:val="0"/>
          <w:numId w:val="1010"/>
        </w:numPr>
      </w:pPr>
      <w:r>
        <w:t xml:space="preserve">d’assurer la cohérence analytique.</w:t>
      </w:r>
    </w:p>
    <w:bookmarkEnd w:id="28"/>
    <w:bookmarkStart w:id="29" w:name="harmonisation-des-noms"/>
    <w:p>
      <w:pPr>
        <w:pStyle w:val="Heading3"/>
      </w:pPr>
      <w:r>
        <w:t xml:space="preserve">3.4 Harmonisation des noms</w:t>
      </w:r>
    </w:p>
    <w:p>
      <w:pPr>
        <w:pStyle w:val="FirstParagraph"/>
      </w:pPr>
      <w:r>
        <w:t xml:space="preserve">Standardisation des colonnes 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iso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code_ISO_country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event_date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start_event_date</w:t>
      </w:r>
    </w:p>
    <w:p>
      <w:pPr>
        <w:pStyle w:val="FirstParagraph"/>
      </w:pPr>
      <w:r>
        <w:t xml:space="preserve">Objectif : aligner les noms entre sources.</w:t>
      </w:r>
    </w:p>
    <w:bookmarkEnd w:id="29"/>
    <w:bookmarkStart w:id="30" w:name="nettoyage-des-valeurs-manquantes"/>
    <w:p>
      <w:pPr>
        <w:pStyle w:val="Heading3"/>
      </w:pPr>
      <w:r>
        <w:t xml:space="preserve">3.5 Nettoyage des valeurs manquantes</w:t>
      </w:r>
    </w:p>
    <w:p>
      <w:pPr>
        <w:pStyle w:val="FirstParagraph"/>
      </w:pPr>
      <w:r>
        <w:t xml:space="preserve">Remplacement des valeurs vides par :</w:t>
      </w:r>
    </w:p>
    <w:p>
      <w:pPr>
        <w:pStyle w:val="SourceCode"/>
      </w:pPr>
      <w:r>
        <w:rPr>
          <w:rStyle w:val="VerbatimChar"/>
        </w:rPr>
        <w:t xml:space="preserve">"no information"</w:t>
      </w:r>
    </w:p>
    <w:p>
      <w:pPr>
        <w:pStyle w:val="FirstParagraph"/>
      </w:pPr>
      <w:r>
        <w:t xml:space="preserve">Sur les colonnes textuelles sensibles :</w:t>
      </w:r>
    </w:p>
    <w:p>
      <w:pPr>
        <w:pStyle w:val="Compact"/>
        <w:numPr>
          <w:ilvl w:val="0"/>
          <w:numId w:val="1012"/>
        </w:numPr>
      </w:pPr>
      <w:r>
        <w:t xml:space="preserve">acteurs</w:t>
      </w:r>
    </w:p>
    <w:p>
      <w:pPr>
        <w:pStyle w:val="Compact"/>
        <w:numPr>
          <w:ilvl w:val="0"/>
          <w:numId w:val="1012"/>
        </w:numPr>
      </w:pPr>
      <w:r>
        <w:t xml:space="preserve">zones administratives</w:t>
      </w:r>
    </w:p>
    <w:bookmarkEnd w:id="30"/>
    <w:bookmarkStart w:id="32" w:name="enrichissement-métier"/>
    <w:p>
      <w:pPr>
        <w:pStyle w:val="Heading3"/>
      </w:pPr>
      <w:r>
        <w:t xml:space="preserve">3.6 Enrichissement métier</w:t>
      </w:r>
    </w:p>
    <w:bookmarkStart w:id="31" w:name="calcul-des-morts-civiles"/>
    <w:p>
      <w:pPr>
        <w:pStyle w:val="Heading4"/>
      </w:pPr>
      <w:r>
        <w:t xml:space="preserve">Calcul des morts civiles</w:t>
      </w:r>
    </w:p>
    <w:p>
      <w:pPr>
        <w:pStyle w:val="FirstParagraph"/>
      </w:pPr>
      <w:r>
        <w:t xml:space="preserve">Création d’une colonne calculée :</w:t>
      </w:r>
    </w:p>
    <w:p>
      <w:pPr>
        <w:pStyle w:val="Compact"/>
        <w:numPr>
          <w:ilvl w:val="0"/>
          <w:numId w:val="1013"/>
        </w:numPr>
      </w:pPr>
      <w:r>
        <w:t xml:space="preserve">Analyse des champs</w:t>
      </w:r>
      <w:r>
        <w:t xml:space="preserve"> </w:t>
      </w:r>
      <w:r>
        <w:rPr>
          <w:rStyle w:val="VerbatimChar"/>
        </w:rPr>
        <w:t xml:space="preserve">actor1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actor2</w:t>
      </w:r>
    </w:p>
    <w:p>
      <w:pPr>
        <w:pStyle w:val="Compact"/>
        <w:numPr>
          <w:ilvl w:val="0"/>
          <w:numId w:val="1013"/>
        </w:numPr>
      </w:pPr>
      <w:r>
        <w:t xml:space="preserve">Si présence du mot</w:t>
      </w:r>
      <w:r>
        <w:t xml:space="preserve"> </w:t>
      </w:r>
      <w:r>
        <w:rPr>
          <w:rStyle w:val="VerbatimChar"/>
        </w:rPr>
        <w:t xml:space="preserve">civilians</w:t>
      </w:r>
    </w:p>
    <w:p>
      <w:pPr>
        <w:pStyle w:val="Compact"/>
        <w:numPr>
          <w:ilvl w:val="0"/>
          <w:numId w:val="1013"/>
        </w:numPr>
      </w:pPr>
      <w:r>
        <w:t xml:space="preserve">Attribution des fatalities à</w:t>
      </w:r>
      <w:r>
        <w:t xml:space="preserve"> </w:t>
      </w:r>
      <w:r>
        <w:rPr>
          <w:rStyle w:val="VerbatimChar"/>
        </w:rPr>
        <w:t xml:space="preserve">fatalities_civilians</w:t>
      </w:r>
    </w:p>
    <w:p>
      <w:pPr>
        <w:pStyle w:val="FirstParagraph"/>
      </w:pPr>
      <w:r>
        <w:t xml:space="preserve">Cela permet une analyse différenciée :</w:t>
      </w:r>
    </w:p>
    <w:p>
      <w:pPr>
        <w:pStyle w:val="Compact"/>
        <w:numPr>
          <w:ilvl w:val="0"/>
          <w:numId w:val="1014"/>
        </w:numPr>
      </w:pPr>
      <w:r>
        <w:t xml:space="preserve">pertes civiles</w:t>
      </w:r>
    </w:p>
    <w:p>
      <w:pPr>
        <w:pStyle w:val="Compact"/>
        <w:numPr>
          <w:ilvl w:val="0"/>
          <w:numId w:val="1014"/>
        </w:numPr>
      </w:pPr>
      <w:r>
        <w:t xml:space="preserve">pertes militaires</w:t>
      </w:r>
    </w:p>
    <w:bookmarkEnd w:id="31"/>
    <w:bookmarkEnd w:id="32"/>
    <w:bookmarkStart w:id="33" w:name="conversion-du-timestamp-unix"/>
    <w:p>
      <w:pPr>
        <w:pStyle w:val="Heading3"/>
      </w:pPr>
      <w:r>
        <w:t xml:space="preserve">3.7 Conversion du timestamp Unix</w:t>
      </w:r>
    </w:p>
    <w:p>
      <w:pPr>
        <w:pStyle w:val="FirstParagraph"/>
      </w:pPr>
      <w:r>
        <w:t xml:space="preserve">Transformation du timestamp en date réelle :</w:t>
      </w:r>
    </w:p>
    <w:p>
      <w:pPr>
        <w:pStyle w:val="Compact"/>
        <w:numPr>
          <w:ilvl w:val="0"/>
          <w:numId w:val="1015"/>
        </w:numPr>
      </w:pPr>
      <w:r>
        <w:t xml:space="preserve">Base : 01/01/1970</w:t>
      </w:r>
    </w:p>
    <w:p>
      <w:pPr>
        <w:pStyle w:val="Compact"/>
        <w:numPr>
          <w:ilvl w:val="0"/>
          <w:numId w:val="1015"/>
        </w:numPr>
      </w:pPr>
      <w:r>
        <w:t xml:space="preserve">Ajout de la durée en secondes</w:t>
      </w:r>
    </w:p>
    <w:p>
      <w:pPr>
        <w:pStyle w:val="FirstParagraph"/>
      </w:pPr>
      <w:r>
        <w:t xml:space="preserve">Résultat 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end_event_date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pipeline-etl-source-ucdp"/>
    <w:p>
      <w:pPr>
        <w:pStyle w:val="Heading2"/>
      </w:pPr>
      <w:r>
        <w:t xml:space="preserve">4. Pipeline ETL – Source UCDP</w:t>
      </w:r>
    </w:p>
    <w:bookmarkStart w:id="35" w:name="chargement-et-nettoyage-initial"/>
    <w:p>
      <w:pPr>
        <w:pStyle w:val="Heading3"/>
      </w:pPr>
      <w:r>
        <w:t xml:space="preserve">4.1 Chargement et nettoyage initial</w:t>
      </w:r>
    </w:p>
    <w:p>
      <w:pPr>
        <w:pStyle w:val="Compact"/>
        <w:numPr>
          <w:ilvl w:val="0"/>
          <w:numId w:val="1017"/>
        </w:numPr>
      </w:pPr>
      <w:r>
        <w:t xml:space="preserve">Encodage UTF-8</w:t>
      </w:r>
    </w:p>
    <w:p>
      <w:pPr>
        <w:pStyle w:val="Compact"/>
        <w:numPr>
          <w:ilvl w:val="0"/>
          <w:numId w:val="1017"/>
        </w:numPr>
      </w:pPr>
      <w:r>
        <w:t xml:space="preserve">Suppression de la première ligne parasite</w:t>
      </w:r>
    </w:p>
    <w:p>
      <w:pPr>
        <w:pStyle w:val="Compact"/>
        <w:numPr>
          <w:ilvl w:val="0"/>
          <w:numId w:val="1017"/>
        </w:numPr>
      </w:pPr>
      <w:r>
        <w:t xml:space="preserve">Suppression des lignes en erreur</w:t>
      </w:r>
    </w:p>
    <w:bookmarkEnd w:id="35"/>
    <w:bookmarkStart w:id="36" w:name="typage-et-normalisation"/>
    <w:p>
      <w:pPr>
        <w:pStyle w:val="Heading3"/>
      </w:pPr>
      <w:r>
        <w:t xml:space="preserve">4.2 Typage et normalisation</w:t>
      </w:r>
    </w:p>
    <w:p>
      <w:pPr>
        <w:pStyle w:val="FirstParagraph"/>
      </w:pPr>
      <w:r>
        <w:t xml:space="preserve">Colonnes critiques :</w:t>
      </w:r>
    </w:p>
    <w:p>
      <w:pPr>
        <w:pStyle w:val="Compact"/>
        <w:numPr>
          <w:ilvl w:val="0"/>
          <w:numId w:val="1018"/>
        </w:numPr>
      </w:pPr>
      <w:r>
        <w:t xml:space="preserve">années</w:t>
      </w:r>
    </w:p>
    <w:p>
      <w:pPr>
        <w:pStyle w:val="Compact"/>
        <w:numPr>
          <w:ilvl w:val="0"/>
          <w:numId w:val="1018"/>
        </w:numPr>
      </w:pPr>
      <w:r>
        <w:t xml:space="preserve">coordonnées</w:t>
      </w:r>
    </w:p>
    <w:p>
      <w:pPr>
        <w:pStyle w:val="Compact"/>
        <w:numPr>
          <w:ilvl w:val="0"/>
          <w:numId w:val="1018"/>
        </w:numPr>
      </w:pPr>
      <w:r>
        <w:t xml:space="preserve">dates début/fin</w:t>
      </w:r>
    </w:p>
    <w:p>
      <w:pPr>
        <w:pStyle w:val="FirstParagraph"/>
      </w:pPr>
      <w:r>
        <w:t xml:space="preserve">Conversion des formats américains vers standards Power BI.</w:t>
      </w:r>
    </w:p>
    <w:bookmarkEnd w:id="36"/>
    <w:bookmarkStart w:id="37" w:name="enrichissement-sémantique"/>
    <w:p>
      <w:pPr>
        <w:pStyle w:val="Heading3"/>
      </w:pPr>
      <w:r>
        <w:t xml:space="preserve">4.3 Enrichissement sémantique</w:t>
      </w:r>
    </w:p>
    <w:p>
      <w:pPr>
        <w:pStyle w:val="FirstParagraph"/>
      </w:pPr>
      <w:r>
        <w:t xml:space="preserve">Création d’une colonne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à partir du code</w:t>
      </w:r>
      <w:r>
        <w:t xml:space="preserve"> </w:t>
      </w:r>
      <w:r>
        <w:rPr>
          <w:rStyle w:val="VerbatimChar"/>
        </w:rPr>
        <w:t xml:space="preserve">type_of_violence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Traduction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State armed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Non-state violence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Autre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</w:tr>
    </w:tbl>
    <w:bookmarkEnd w:id="37"/>
    <w:bookmarkStart w:id="38" w:name="nettoyage-texte"/>
    <w:p>
      <w:pPr>
        <w:pStyle w:val="Heading3"/>
      </w:pPr>
      <w:r>
        <w:t xml:space="preserve">4.4 Nettoyage texte</w:t>
      </w:r>
    </w:p>
    <w:p>
      <w:pPr>
        <w:pStyle w:val="FirstParagraph"/>
      </w:pPr>
      <w:r>
        <w:t xml:space="preserve">Uniformisation des libellés administratifs et géographiques.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consolidation-gold-ukraine-20142022"/>
    <w:p>
      <w:pPr>
        <w:pStyle w:val="Heading2"/>
      </w:pPr>
      <w:r>
        <w:t xml:space="preserve">5. Consolidation Gold – Ukraine 2014–2022</w:t>
      </w:r>
    </w:p>
    <w:bookmarkStart w:id="40" w:name="fusion-multi-sources"/>
    <w:p>
      <w:pPr>
        <w:pStyle w:val="Heading3"/>
      </w:pPr>
      <w:r>
        <w:t xml:space="preserve">5.1 Fusion multi-sources</w:t>
      </w:r>
    </w:p>
    <w:p>
      <w:pPr>
        <w:pStyle w:val="FirstParagraph"/>
      </w:pPr>
      <w:r>
        <w:t xml:space="preserve">Utilisation de :</w:t>
      </w:r>
    </w:p>
    <w:p>
      <w:pPr>
        <w:pStyle w:val="SourceCode"/>
      </w:pPr>
      <w:r>
        <w:rPr>
          <w:rStyle w:val="VerbatimChar"/>
        </w:rPr>
        <w:t xml:space="preserve">Table.Combine()</w:t>
      </w:r>
    </w:p>
    <w:p>
      <w:pPr>
        <w:pStyle w:val="FirstParagraph"/>
      </w:pPr>
      <w:r>
        <w:t xml:space="preserve">Objectif :</w:t>
      </w:r>
    </w:p>
    <w:p>
      <w:pPr>
        <w:pStyle w:val="Compact"/>
        <w:numPr>
          <w:ilvl w:val="0"/>
          <w:numId w:val="1019"/>
        </w:numPr>
      </w:pPr>
      <w:r>
        <w:t xml:space="preserve">agréger ACLED + UCDP</w:t>
      </w:r>
    </w:p>
    <w:p>
      <w:pPr>
        <w:pStyle w:val="Compact"/>
        <w:numPr>
          <w:ilvl w:val="0"/>
          <w:numId w:val="1019"/>
        </w:numPr>
      </w:pPr>
      <w:r>
        <w:t xml:space="preserve">produire une table analytique unique</w:t>
      </w:r>
    </w:p>
    <w:bookmarkEnd w:id="40"/>
    <w:bookmarkStart w:id="41" w:name="suppression-des-colonnes-inutiles"/>
    <w:p>
      <w:pPr>
        <w:pStyle w:val="Heading3"/>
      </w:pPr>
      <w:r>
        <w:t xml:space="preserve">5.2 Suppression des colonnes inutiles</w:t>
      </w:r>
    </w:p>
    <w:p>
      <w:pPr>
        <w:pStyle w:val="FirstParagraph"/>
      </w:pPr>
      <w:r>
        <w:t xml:space="preserve">Optimisation du modèle :</w:t>
      </w:r>
    </w:p>
    <w:p>
      <w:pPr>
        <w:pStyle w:val="Compact"/>
        <w:numPr>
          <w:ilvl w:val="0"/>
          <w:numId w:val="1020"/>
        </w:numPr>
      </w:pPr>
      <w:r>
        <w:t xml:space="preserve">suppression des colonnes techniques</w:t>
      </w:r>
    </w:p>
    <w:p>
      <w:pPr>
        <w:pStyle w:val="Compact"/>
        <w:numPr>
          <w:ilvl w:val="0"/>
          <w:numId w:val="1020"/>
        </w:numPr>
      </w:pPr>
      <w:r>
        <w:t xml:space="preserve">retrait des métadonnées inutiles</w:t>
      </w:r>
    </w:p>
    <w:p>
      <w:pPr>
        <w:pStyle w:val="Compact"/>
        <w:numPr>
          <w:ilvl w:val="0"/>
          <w:numId w:val="1020"/>
        </w:numPr>
      </w:pPr>
      <w:r>
        <w:t xml:space="preserve">réduction mémoire</w:t>
      </w:r>
    </w:p>
    <w:bookmarkEnd w:id="41"/>
    <w:bookmarkStart w:id="42" w:name="harmonisation-géographique"/>
    <w:p>
      <w:pPr>
        <w:pStyle w:val="Heading3"/>
      </w:pPr>
      <w:r>
        <w:t xml:space="preserve">5.3 Harmonisation géographique</w:t>
      </w:r>
    </w:p>
    <w:p>
      <w:pPr>
        <w:pStyle w:val="FirstParagraph"/>
      </w:pPr>
      <w:r>
        <w:t xml:space="preserve">Normalisation manuelle des régions :</w:t>
      </w:r>
    </w:p>
    <w:p>
      <w:pPr>
        <w:pStyle w:val="Compact"/>
        <w:numPr>
          <w:ilvl w:val="0"/>
          <w:numId w:val="1021"/>
        </w:numPr>
      </w:pPr>
      <w:r>
        <w:t xml:space="preserve">Kyiv City → Kyiv</w:t>
      </w:r>
    </w:p>
    <w:p>
      <w:pPr>
        <w:pStyle w:val="Compact"/>
        <w:numPr>
          <w:ilvl w:val="0"/>
          <w:numId w:val="1021"/>
        </w:numPr>
      </w:pPr>
      <w:r>
        <w:t xml:space="preserve">Odessa Oblast → Odesa</w:t>
      </w:r>
    </w:p>
    <w:p>
      <w:pPr>
        <w:pStyle w:val="Compact"/>
        <w:numPr>
          <w:ilvl w:val="0"/>
          <w:numId w:val="1021"/>
        </w:numPr>
      </w:pPr>
      <w:r>
        <w:t xml:space="preserve">Autonomous Republic of Crimea → Crimea</w:t>
      </w:r>
    </w:p>
    <w:bookmarkEnd w:id="42"/>
    <w:bookmarkStart w:id="43" w:name="normalisation-régionale"/>
    <w:p>
      <w:pPr>
        <w:pStyle w:val="Heading3"/>
      </w:pPr>
      <w:r>
        <w:t xml:space="preserve">5.4 Normalisation régionale</w:t>
      </w:r>
    </w:p>
    <w:p>
      <w:pPr>
        <w:pStyle w:val="FirstParagraph"/>
      </w:pPr>
      <w:r>
        <w:t xml:space="preserve">Correction automatique :</w:t>
      </w:r>
    </w:p>
    <w:p>
      <w:pPr>
        <w:pStyle w:val="Compact"/>
        <w:numPr>
          <w:ilvl w:val="0"/>
          <w:numId w:val="1022"/>
        </w:numPr>
      </w:pPr>
      <w:r>
        <w:t xml:space="preserve">valeurs nulles remplacées par</w:t>
      </w:r>
      <w:r>
        <w:t xml:space="preserve"> </w:t>
      </w:r>
      <w:r>
        <w:rPr>
          <w:rStyle w:val="VerbatimChar"/>
        </w:rPr>
        <w:t xml:space="preserve">Europe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modèle-analytique-power-bi"/>
    <w:p>
      <w:pPr>
        <w:pStyle w:val="Heading2"/>
      </w:pPr>
      <w:r>
        <w:t xml:space="preserve">6. Modèle analytique Power BI</w:t>
      </w:r>
    </w:p>
    <w:bookmarkStart w:id="45" w:name="tables-principales"/>
    <w:p>
      <w:pPr>
        <w:pStyle w:val="Heading3"/>
      </w:pPr>
      <w:r>
        <w:t xml:space="preserve">6.1 Tables principales</w:t>
      </w:r>
    </w:p>
    <w:p>
      <w:pPr>
        <w:pStyle w:val="Compact"/>
        <w:numPr>
          <w:ilvl w:val="0"/>
          <w:numId w:val="1023"/>
        </w:numPr>
      </w:pPr>
      <w:r>
        <w:t xml:space="preserve">Ukraine_2014_2022</w:t>
      </w:r>
    </w:p>
    <w:p>
      <w:pPr>
        <w:pStyle w:val="Compact"/>
        <w:numPr>
          <w:ilvl w:val="0"/>
          <w:numId w:val="1023"/>
        </w:numPr>
      </w:pPr>
      <w:r>
        <w:t xml:space="preserve">Mesures_Globales</w:t>
      </w:r>
    </w:p>
    <w:bookmarkEnd w:id="45"/>
    <w:bookmarkStart w:id="46" w:name="mesures-calculées"/>
    <w:p>
      <w:pPr>
        <w:pStyle w:val="Heading3"/>
      </w:pPr>
      <w:r>
        <w:t xml:space="preserve">6.2 Mesures calculées</w:t>
      </w:r>
    </w:p>
    <w:p>
      <w:pPr>
        <w:pStyle w:val="FirstParagraph"/>
      </w:pPr>
      <w:r>
        <w:t xml:space="preserve">Principaux KPI :</w:t>
      </w:r>
    </w:p>
    <w:p>
      <w:pPr>
        <w:pStyle w:val="Compact"/>
        <w:numPr>
          <w:ilvl w:val="0"/>
          <w:numId w:val="1024"/>
        </w:numPr>
      </w:pPr>
      <w:r>
        <w:t xml:space="preserve">Nombre total d’événements</w:t>
      </w:r>
    </w:p>
    <w:p>
      <w:pPr>
        <w:pStyle w:val="Compact"/>
        <w:numPr>
          <w:ilvl w:val="0"/>
          <w:numId w:val="1024"/>
        </w:numPr>
      </w:pPr>
      <w:r>
        <w:t xml:space="preserve">Total fatalities</w:t>
      </w:r>
    </w:p>
    <w:p>
      <w:pPr>
        <w:pStyle w:val="Compact"/>
        <w:numPr>
          <w:ilvl w:val="0"/>
          <w:numId w:val="1024"/>
        </w:numPr>
      </w:pPr>
      <w:r>
        <w:t xml:space="preserve">Décès civils</w:t>
      </w:r>
    </w:p>
    <w:p>
      <w:pPr>
        <w:pStyle w:val="Compact"/>
        <w:numPr>
          <w:ilvl w:val="0"/>
          <w:numId w:val="1024"/>
        </w:numPr>
      </w:pPr>
      <w:r>
        <w:t xml:space="preserve">Décès militaires</w:t>
      </w:r>
    </w:p>
    <w:p>
      <w:pPr>
        <w:pStyle w:val="Compact"/>
        <w:numPr>
          <w:ilvl w:val="0"/>
          <w:numId w:val="1024"/>
        </w:numPr>
      </w:pPr>
      <w:r>
        <w:t xml:space="preserve">Nombre de régions impactées</w:t>
      </w:r>
    </w:p>
    <w:bookmarkEnd w:id="46"/>
    <w:bookmarkStart w:id="47" w:name="relations"/>
    <w:p>
      <w:pPr>
        <w:pStyle w:val="Heading3"/>
      </w:pPr>
      <w:r>
        <w:t xml:space="preserve">6.3 Relations</w:t>
      </w:r>
    </w:p>
    <w:p>
      <w:pPr>
        <w:pStyle w:val="FirstParagraph"/>
      </w:pPr>
      <w:r>
        <w:t xml:space="preserve">Relations basées sur :</w:t>
      </w:r>
    </w:p>
    <w:p>
      <w:pPr>
        <w:pStyle w:val="Compact"/>
        <w:numPr>
          <w:ilvl w:val="0"/>
          <w:numId w:val="1025"/>
        </w:numPr>
      </w:pPr>
      <w:r>
        <w:t xml:space="preserve">Dates</w:t>
      </w:r>
    </w:p>
    <w:p>
      <w:pPr>
        <w:pStyle w:val="Compact"/>
        <w:numPr>
          <w:ilvl w:val="0"/>
          <w:numId w:val="1025"/>
        </w:numPr>
      </w:pPr>
      <w:r>
        <w:t xml:space="preserve">Régions</w:t>
      </w:r>
    </w:p>
    <w:p>
      <w:pPr>
        <w:pStyle w:val="Compact"/>
        <w:numPr>
          <w:ilvl w:val="0"/>
          <w:numId w:val="1025"/>
        </w:numPr>
      </w:pPr>
      <w:r>
        <w:t xml:space="preserve">Types d’événements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visualisations-du-dashboard"/>
    <w:p>
      <w:pPr>
        <w:pStyle w:val="Heading2"/>
      </w:pPr>
      <w:r>
        <w:t xml:space="preserve">7. Visualisations du Dashboard</w:t>
      </w:r>
    </w:p>
    <w:bookmarkStart w:id="49" w:name="analyse-temporelle"/>
    <w:p>
      <w:pPr>
        <w:pStyle w:val="Heading3"/>
      </w:pPr>
      <w:r>
        <w:t xml:space="preserve">7.1 Analyse temporelle</w:t>
      </w:r>
    </w:p>
    <w:p>
      <w:pPr>
        <w:pStyle w:val="Compact"/>
        <w:numPr>
          <w:ilvl w:val="0"/>
          <w:numId w:val="1026"/>
        </w:numPr>
      </w:pPr>
      <w:r>
        <w:t xml:space="preserve">évolution annuelle</w:t>
      </w:r>
    </w:p>
    <w:p>
      <w:pPr>
        <w:pStyle w:val="Compact"/>
        <w:numPr>
          <w:ilvl w:val="0"/>
          <w:numId w:val="1026"/>
        </w:numPr>
      </w:pPr>
      <w:r>
        <w:t xml:space="preserve">évolution mensuelle</w:t>
      </w:r>
    </w:p>
    <w:p>
      <w:pPr>
        <w:pStyle w:val="Compact"/>
        <w:numPr>
          <w:ilvl w:val="0"/>
          <w:numId w:val="1026"/>
        </w:numPr>
      </w:pPr>
      <w:r>
        <w:t xml:space="preserve">pics de violence</w:t>
      </w:r>
    </w:p>
    <w:bookmarkEnd w:id="49"/>
    <w:bookmarkStart w:id="50" w:name="analyse-géographique"/>
    <w:p>
      <w:pPr>
        <w:pStyle w:val="Heading3"/>
      </w:pPr>
      <w:r>
        <w:t xml:space="preserve">7.2 Analyse géographique</w:t>
      </w:r>
    </w:p>
    <w:p>
      <w:pPr>
        <w:pStyle w:val="Compact"/>
        <w:numPr>
          <w:ilvl w:val="0"/>
          <w:numId w:val="1027"/>
        </w:numPr>
      </w:pPr>
      <w:r>
        <w:t xml:space="preserve">Carte Azure Maps</w:t>
      </w:r>
    </w:p>
    <w:p>
      <w:pPr>
        <w:pStyle w:val="Compact"/>
        <w:numPr>
          <w:ilvl w:val="0"/>
          <w:numId w:val="1027"/>
        </w:numPr>
      </w:pPr>
      <w:r>
        <w:t xml:space="preserve">densité d’événements</w:t>
      </w:r>
    </w:p>
    <w:p>
      <w:pPr>
        <w:pStyle w:val="Compact"/>
        <w:numPr>
          <w:ilvl w:val="0"/>
          <w:numId w:val="1027"/>
        </w:numPr>
      </w:pPr>
      <w:r>
        <w:t xml:space="preserve">concentration des décès</w:t>
      </w:r>
    </w:p>
    <w:bookmarkEnd w:id="50"/>
    <w:bookmarkStart w:id="51" w:name="analyse-par-type"/>
    <w:p>
      <w:pPr>
        <w:pStyle w:val="Heading3"/>
      </w:pPr>
      <w:r>
        <w:t xml:space="preserve">7.3 Analyse par type</w:t>
      </w:r>
    </w:p>
    <w:p>
      <w:pPr>
        <w:pStyle w:val="Compact"/>
        <w:numPr>
          <w:ilvl w:val="0"/>
          <w:numId w:val="1028"/>
        </w:numPr>
      </w:pPr>
      <w:r>
        <w:t xml:space="preserve">Battles</w:t>
      </w:r>
    </w:p>
    <w:p>
      <w:pPr>
        <w:pStyle w:val="Compact"/>
        <w:numPr>
          <w:ilvl w:val="0"/>
          <w:numId w:val="1028"/>
        </w:numPr>
      </w:pPr>
      <w:r>
        <w:t xml:space="preserve">Explosions</w:t>
      </w:r>
    </w:p>
    <w:p>
      <w:pPr>
        <w:pStyle w:val="Compact"/>
        <w:numPr>
          <w:ilvl w:val="0"/>
          <w:numId w:val="1028"/>
        </w:numPr>
      </w:pPr>
      <w:r>
        <w:t xml:space="preserve">Violence against civilians</w:t>
      </w:r>
    </w:p>
    <w:bookmarkEnd w:id="51"/>
    <w:bookmarkStart w:id="52" w:name="analyse-avancée"/>
    <w:p>
      <w:pPr>
        <w:pStyle w:val="Heading3"/>
      </w:pPr>
      <w:r>
        <w:t xml:space="preserve">7.4 Analyse avancée</w:t>
      </w:r>
    </w:p>
    <w:p>
      <w:pPr>
        <w:pStyle w:val="Compact"/>
        <w:numPr>
          <w:ilvl w:val="0"/>
          <w:numId w:val="1029"/>
        </w:numPr>
      </w:pPr>
      <w:r>
        <w:t xml:space="preserve">corrélation durée / décès</w:t>
      </w:r>
    </w:p>
    <w:p>
      <w:pPr>
        <w:pStyle w:val="Compact"/>
        <w:numPr>
          <w:ilvl w:val="0"/>
          <w:numId w:val="1029"/>
        </w:numPr>
      </w:pPr>
      <w:r>
        <w:t xml:space="preserve">comparaison inter-annuelle</w:t>
      </w:r>
    </w:p>
    <w:p>
      <w:pPr>
        <w:pStyle w:val="Compact"/>
        <w:numPr>
          <w:ilvl w:val="0"/>
          <w:numId w:val="1029"/>
        </w:numPr>
      </w:pPr>
      <w:r>
        <w:t xml:space="preserve">analyse multi-dimensionnelle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performance-et-optimisation"/>
    <w:p>
      <w:pPr>
        <w:pStyle w:val="Heading2"/>
      </w:pPr>
      <w:r>
        <w:t xml:space="preserve">8. Performance et optimisation</w:t>
      </w:r>
    </w:p>
    <w:bookmarkStart w:id="54" w:name="bonnes-pratiques-appliquées"/>
    <w:p>
      <w:pPr>
        <w:pStyle w:val="Heading3"/>
      </w:pPr>
      <w:r>
        <w:t xml:space="preserve">8.1 Bonnes pratiques appliquées</w:t>
      </w:r>
    </w:p>
    <w:p>
      <w:pPr>
        <w:pStyle w:val="Compact"/>
        <w:numPr>
          <w:ilvl w:val="0"/>
          <w:numId w:val="1030"/>
        </w:numPr>
      </w:pPr>
      <w:r>
        <w:t xml:space="preserve">typage en amont</w:t>
      </w:r>
    </w:p>
    <w:p>
      <w:pPr>
        <w:pStyle w:val="Compact"/>
        <w:numPr>
          <w:ilvl w:val="0"/>
          <w:numId w:val="1030"/>
        </w:numPr>
      </w:pPr>
      <w:r>
        <w:t xml:space="preserve">suppression colonnes inutiles</w:t>
      </w:r>
    </w:p>
    <w:p>
      <w:pPr>
        <w:pStyle w:val="Compact"/>
        <w:numPr>
          <w:ilvl w:val="0"/>
          <w:numId w:val="1030"/>
        </w:numPr>
      </w:pPr>
      <w:r>
        <w:t xml:space="preserve">calculs déplacés dans Power Query</w:t>
      </w:r>
    </w:p>
    <w:p>
      <w:pPr>
        <w:pStyle w:val="Compact"/>
        <w:numPr>
          <w:ilvl w:val="0"/>
          <w:numId w:val="1030"/>
        </w:numPr>
      </w:pPr>
      <w:r>
        <w:t xml:space="preserve">réduction cardinalité texte</w:t>
      </w:r>
    </w:p>
    <w:bookmarkEnd w:id="54"/>
    <w:bookmarkStart w:id="55" w:name="avantages-obtenus"/>
    <w:p>
      <w:pPr>
        <w:pStyle w:val="Heading3"/>
      </w:pPr>
      <w:r>
        <w:t xml:space="preserve">8.2 Avantages obtenus</w:t>
      </w:r>
    </w:p>
    <w:p>
      <w:pPr>
        <w:pStyle w:val="Compact"/>
        <w:numPr>
          <w:ilvl w:val="0"/>
          <w:numId w:val="1031"/>
        </w:numPr>
      </w:pPr>
      <w:r>
        <w:t xml:space="preserve">modèle plus léger</w:t>
      </w:r>
    </w:p>
    <w:p>
      <w:pPr>
        <w:pStyle w:val="Compact"/>
        <w:numPr>
          <w:ilvl w:val="0"/>
          <w:numId w:val="1031"/>
        </w:numPr>
      </w:pPr>
      <w:r>
        <w:t xml:space="preserve">temps de chargement réduit</w:t>
      </w:r>
    </w:p>
    <w:p>
      <w:pPr>
        <w:pStyle w:val="Compact"/>
        <w:numPr>
          <w:ilvl w:val="0"/>
          <w:numId w:val="1031"/>
        </w:numPr>
      </w:pPr>
      <w:r>
        <w:t xml:space="preserve">meilleure réactivité dashboard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limites-du-projet"/>
    <w:p>
      <w:pPr>
        <w:pStyle w:val="Heading2"/>
      </w:pPr>
      <w:r>
        <w:t xml:space="preserve">9. Limites du projet</w:t>
      </w:r>
    </w:p>
    <w:p>
      <w:pPr>
        <w:pStyle w:val="Compact"/>
        <w:numPr>
          <w:ilvl w:val="0"/>
          <w:numId w:val="1032"/>
        </w:numPr>
      </w:pPr>
      <w:r>
        <w:t xml:space="preserve">dépendance aux sources ouvertes</w:t>
      </w:r>
    </w:p>
    <w:p>
      <w:pPr>
        <w:pStyle w:val="Compact"/>
        <w:numPr>
          <w:ilvl w:val="0"/>
          <w:numId w:val="1032"/>
        </w:numPr>
      </w:pPr>
      <w:r>
        <w:t xml:space="preserve">possibles biais de déclaration</w:t>
      </w:r>
    </w:p>
    <w:p>
      <w:pPr>
        <w:pStyle w:val="Compact"/>
        <w:numPr>
          <w:ilvl w:val="0"/>
          <w:numId w:val="1032"/>
        </w:numPr>
      </w:pPr>
      <w:r>
        <w:t xml:space="preserve">données incomplètes pour certaines régions</w:t>
      </w:r>
    </w:p>
    <w:p>
      <w:r>
        <w:pict>
          <v:rect style="width:0;height:1.5pt" o:hralign="center" o:hrstd="t" o:hr="t"/>
        </w:pict>
      </w:r>
    </w:p>
    <w:bookmarkEnd w:id="57"/>
    <w:bookmarkStart w:id="58" w:name="perspectives-damélioration"/>
    <w:p>
      <w:pPr>
        <w:pStyle w:val="Heading2"/>
      </w:pPr>
      <w:r>
        <w:t xml:space="preserve">10. Perspectives d’amélioration</w:t>
      </w:r>
    </w:p>
    <w:p>
      <w:pPr>
        <w:pStyle w:val="Compact"/>
        <w:numPr>
          <w:ilvl w:val="0"/>
          <w:numId w:val="1033"/>
        </w:numPr>
      </w:pPr>
      <w:r>
        <w:t xml:space="preserve">ajout de données ONU</w:t>
      </w:r>
    </w:p>
    <w:p>
      <w:pPr>
        <w:pStyle w:val="Compact"/>
        <w:numPr>
          <w:ilvl w:val="0"/>
          <w:numId w:val="1033"/>
        </w:numPr>
      </w:pPr>
      <w:r>
        <w:t xml:space="preserve">intégration temps réel</w:t>
      </w:r>
    </w:p>
    <w:p>
      <w:pPr>
        <w:pStyle w:val="Compact"/>
        <w:numPr>
          <w:ilvl w:val="0"/>
          <w:numId w:val="1033"/>
        </w:numPr>
      </w:pPr>
      <w:r>
        <w:t xml:space="preserve">modèle prédictif</w:t>
      </w:r>
    </w:p>
    <w:p>
      <w:pPr>
        <w:pStyle w:val="Compact"/>
        <w:numPr>
          <w:ilvl w:val="0"/>
          <w:numId w:val="1033"/>
        </w:numPr>
      </w:pPr>
      <w:r>
        <w:t xml:space="preserve">segmentation par acteurs</w:t>
      </w:r>
    </w:p>
    <w:p>
      <w:pPr>
        <w:pStyle w:val="Compact"/>
        <w:numPr>
          <w:ilvl w:val="0"/>
          <w:numId w:val="1033"/>
        </w:numPr>
      </w:pPr>
      <w:r>
        <w:t xml:space="preserve">analyse de corrélation économique</w:t>
      </w:r>
    </w:p>
    <w:p>
      <w:r>
        <w:pict>
          <v:rect style="width:0;height:1.5pt" o:hralign="center" o:hrstd="t" o:hr="t"/>
        </w:pict>
      </w:r>
    </w:p>
    <w:bookmarkEnd w:id="58"/>
    <w:bookmarkStart w:id="5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Ce projet démontre :</w:t>
      </w:r>
    </w:p>
    <w:p>
      <w:pPr>
        <w:pStyle w:val="Compact"/>
        <w:numPr>
          <w:ilvl w:val="0"/>
          <w:numId w:val="1034"/>
        </w:numPr>
      </w:pPr>
      <w:r>
        <w:t xml:space="preserve">la robustesse d’une architecture Medallion</w:t>
      </w:r>
    </w:p>
    <w:p>
      <w:pPr>
        <w:pStyle w:val="Compact"/>
        <w:numPr>
          <w:ilvl w:val="0"/>
          <w:numId w:val="1034"/>
        </w:numPr>
      </w:pPr>
      <w:r>
        <w:t xml:space="preserve">l’efficacité de Power Query pour l’ETL</w:t>
      </w:r>
    </w:p>
    <w:p>
      <w:pPr>
        <w:pStyle w:val="Compact"/>
        <w:numPr>
          <w:ilvl w:val="0"/>
          <w:numId w:val="1034"/>
        </w:numPr>
      </w:pPr>
      <w:r>
        <w:t xml:space="preserve">la valeur stratégique d’un dashboard décisionnel</w:t>
      </w:r>
    </w:p>
    <w:p>
      <w:pPr>
        <w:pStyle w:val="FirstParagraph"/>
      </w:pPr>
      <w:r>
        <w:t xml:space="preserve">Il constitue une base solide pour des analyses géopolitiques avancées et une aide à la décision institutionnelle.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2026-01-20T19:15:13Z</dcterms:created>
  <dcterms:modified xsi:type="dcterms:W3CDTF">2026-01-20T19:15:13Z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