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ourier New" w:cs="Courier New" w:eastAsia="Courier New" w:hAnsi="Courier New"/>
          <w:b/>
          <w:bCs/>
          <w:i w:val="false"/>
          <w:iCs w:val="false"/>
          <w:sz w:val="26"/>
          <w:szCs w:val="26"/>
        </w:rPr>
        <w:t xml:space="preserve">DALLAS COUNTY CORONER’S OFFICE</w:t>
      </w:r>
    </w:p>
    <w:p>
      <w:pPr>
        <w:spacing w:after="120" w:before="0"/>
        <w:jc w:val="center"/>
      </w:pPr>
      <w:r>
        <w:rPr>
          <w:rFonts w:ascii="Courier New" w:cs="Courier New" w:eastAsia="Courier New" w:hAnsi="Courier New"/>
          <w:b w:val="false"/>
          <w:bCs w:val="false"/>
          <w:i w:val="false"/>
          <w:iCs w:val="false"/>
          <w:sz w:val="18"/>
          <w:szCs w:val="18"/>
        </w:rPr>
        <w:t xml:space="preserve">Medical Examiner Division • 411 Elm Street, Dallas, Texas</w:t>
      </w:r>
    </w:p>
    <w:p>
      <w:pPr>
        <w:spacing w:after="40" w:before="0"/>
        <w:jc w:val="center"/>
      </w:pPr>
      <w:r>
        <w:rPr>
          <w:rFonts w:ascii="Courier New" w:cs="Courier New" w:eastAsia="Courier New" w:hAnsi="Courier New"/>
          <w:b/>
          <w:bCs/>
          <w:i w:val="false"/>
          <w:iCs w:val="false"/>
          <w:sz w:val="24"/>
          <w:szCs w:val="24"/>
        </w:rPr>
        <w:t xml:space="preserve">PRELIMINARY AUTOPSY REPORT</w:t>
      </w:r>
    </w:p>
    <w:p>
      <w:pPr>
        <w:spacing w:after="200" w:before="0"/>
        <w:jc w:val="center"/>
      </w:pPr>
      <w:r>
        <w:rPr>
          <w:rFonts w:ascii="Courier New" w:cs="Courier New" w:eastAsia="Courier New" w:hAnsi="Courier New"/>
          <w:b w:val="false"/>
          <w:bCs w:val="false"/>
          <w:i w:val="false"/>
          <w:iCs w:val="false"/>
          <w:sz w:val="18"/>
          <w:szCs w:val="18"/>
        </w:rPr>
        <w:t xml:space="preserve">Case No. 1935-0312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Decedent:</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William Thoreson, Sr.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Date of Death:</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March 21, 1935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Time of Death:</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Approximately 6:15 PM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Location:</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Thoreson Estate, Highland Park, Dallas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Age:</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77 years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b/>
                <w:bCs/>
                <w:sz w:val="20"/>
                <w:szCs w:val="20"/>
              </w:rPr>
              <w:t xml:space="preserve">Attending:</w:t>
            </w:r>
          </w:p>
        </w:tc>
        <w:tc>
          <w:tcPr>
            <w:tcW w:type="dxa" w:w="6160"/>
            <w:tcBorders>
              <w:top w:val="none" w:color="FFFFFF" w:sz="0"/>
              <w:left w:val="none" w:color="FFFFFF" w:sz="0"/>
              <w:bottom w:val="none" w:color="FFFFFF" w:sz="0"/>
              <w:right w:val="none" w:color="FFFFFF" w:sz="0"/>
            </w:tcBorders>
            <w:tcMar>
              <w:top w:type="dxa" w:w="40"/>
              <w:left w:type="dxa" w:w="80"/>
              <w:bottom w:type="dxa" w:w="40"/>
              <w:right w:type="dxa" w:w="80"/>
            </w:tcMar>
          </w:tcPr>
          <w:p>
            <w:r>
              <w:rPr>
                <w:rFonts w:ascii="Courier New" w:cs="Courier New" w:eastAsia="Courier New" w:hAnsi="Courier New"/>
                <w:sz w:val="20"/>
                <w:szCs w:val="20"/>
              </w:rPr>
              <w:t xml:space="preserve">Dr. H. W. Calloway, M.D.</w:t>
            </w:r>
          </w:p>
        </w:tc>
      </w:tr>
    </w:tbl>
    <w:p>
      <w:pPr>
        <w:spacing w:after="100" w:before="300"/>
        <w:jc w:val="left"/>
      </w:pPr>
      <w:r>
        <w:rPr>
          <w:rFonts w:ascii="Courier New" w:cs="Courier New" w:eastAsia="Courier New" w:hAnsi="Courier New"/>
          <w:b/>
          <w:bCs/>
          <w:i w:val="false"/>
          <w:iCs w:val="false"/>
          <w:sz w:val="20"/>
          <w:szCs w:val="20"/>
        </w:rPr>
        <w:t xml:space="preserve">EXTERNAL EXAMINATION:</w:t>
      </w:r>
    </w:p>
    <w:p>
      <w:pPr>
        <w:spacing w:after="60" w:before="0"/>
        <w:jc w:val="left"/>
      </w:pPr>
      <w:r>
        <w:rPr>
          <w:rFonts w:ascii="Courier New" w:cs="Courier New" w:eastAsia="Courier New" w:hAnsi="Courier New"/>
          <w:b w:val="false"/>
          <w:bCs w:val="false"/>
          <w:i w:val="false"/>
          <w:iCs w:val="false"/>
          <w:sz w:val="20"/>
          <w:szCs w:val="20"/>
        </w:rPr>
        <w:t xml:space="preserve">Well-nourished male, 5’9”, 215 lbs. Liver mortis consistent with seated position. Rigor in early stages. No trauma, contusion, laceration, or puncture wounds. No defensive injuries. Mild periorbital cyanosis. Pupils fixed, dilated bilaterally 7mm. Slight oral frothing. Cyanotic nail beds.</w:t>
      </w:r>
    </w:p>
    <w:p>
      <w:pPr>
        <w:spacing w:after="100" w:before="200"/>
        <w:jc w:val="left"/>
      </w:pPr>
      <w:r>
        <w:rPr>
          <w:rFonts w:ascii="Courier New" w:cs="Courier New" w:eastAsia="Courier New" w:hAnsi="Courier New"/>
          <w:b/>
          <w:bCs/>
          <w:i w:val="false"/>
          <w:iCs w:val="false"/>
          <w:sz w:val="20"/>
          <w:szCs w:val="20"/>
        </w:rPr>
        <w:t xml:space="preserve">INTERNAL EXAMINATION:</w:t>
      </w:r>
    </w:p>
    <w:p>
      <w:pPr>
        <w:spacing w:after="60" w:before="0"/>
        <w:jc w:val="left"/>
      </w:pPr>
      <w:r>
        <w:rPr>
          <w:rFonts w:ascii="Courier New" w:cs="Courier New" w:eastAsia="Courier New" w:hAnsi="Courier New"/>
          <w:b w:val="false"/>
          <w:bCs w:val="false"/>
          <w:i w:val="false"/>
          <w:iCs w:val="false"/>
          <w:sz w:val="20"/>
          <w:szCs w:val="20"/>
        </w:rPr>
        <w:t xml:space="preserve">Cranial: No hemorrhage, no CVA. Brain 1,340g. Thoracic: Heart 382g (mildly enlarged), LV wall 1.6cm. Mild atherosclerotic plaque LAD/RCA, 30–40% occlusion. Acute arrhythmic pattern w/ irregular fiber disruption. Lungs: bilateral congestion, 620g/580g, no aspiration. Abdominal: Liver 1,580g, normal architecture. Kidneys normal. Stomach: 200mL food, 80mL liquid. No foreign particulate. Mild fundal mucosal irritation.</w:t>
      </w:r>
    </w:p>
    <w:p>
      <w:pPr>
        <w:spacing w:after="60" w:before="200"/>
        <w:jc w:val="left"/>
      </w:pPr>
      <w:r>
        <w:rPr>
          <w:rFonts w:ascii="Courier New" w:cs="Courier New" w:eastAsia="Courier New" w:hAnsi="Courier New"/>
          <w:b/>
          <w:bCs/>
          <w:i w:val="false"/>
          <w:iCs w:val="false"/>
          <w:sz w:val="20"/>
          <w:szCs w:val="20"/>
        </w:rPr>
        <w:t xml:space="preserve">TOXICOLOGY PANEL — FULL SPECTRUM:</w:t>
      </w:r>
    </w:p>
    <w:p>
      <w:pPr>
        <w:spacing w:after="120" w:before="0"/>
        <w:jc w:val="left"/>
      </w:pPr>
      <w:r>
        <w:rPr>
          <w:rFonts w:ascii="Courier New" w:cs="Courier New" w:eastAsia="Courier New" w:hAnsi="Courier New"/>
          <w:b w:val="false"/>
          <w:bCs w:val="false"/>
          <w:i/>
          <w:iCs/>
          <w:sz w:val="20"/>
          <w:szCs w:val="20"/>
        </w:rPr>
        <w:t xml:space="preserve">Blood, urine, vitreous samples collected 8:00 PM, March 21. Dallas County Laboratory, Dr. R. M. Whitfield.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60"/>
        <w:gridCol w:w="3000"/>
      </w:tblGrid>
      <w:tr>
        <w:tc>
          <w:tcPr>
            <w:tcW w:type="dxa" w:w="30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r>
              <w:rPr>
                <w:rFonts w:ascii="Courier New" w:cs="Courier New" w:eastAsia="Courier New" w:hAnsi="Courier New"/>
                <w:b/>
                <w:bCs/>
                <w:sz w:val="18"/>
                <w:szCs w:val="18"/>
              </w:rPr>
              <w:t xml:space="preserve">Substance</w:t>
            </w:r>
          </w:p>
        </w:tc>
        <w:tc>
          <w:tcPr>
            <w:tcW w:type="dxa" w:w="18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pPr>
              <w:jc w:val="center"/>
            </w:pPr>
            <w:r>
              <w:rPr>
                <w:rFonts w:ascii="Courier New" w:cs="Courier New" w:eastAsia="Courier New" w:hAnsi="Courier New"/>
                <w:b/>
                <w:bCs/>
                <w:sz w:val="18"/>
                <w:szCs w:val="18"/>
              </w:rPr>
              <w:t xml:space="preserve">Conc.</w:t>
            </w:r>
          </w:p>
        </w:tc>
        <w:tc>
          <w:tcPr>
            <w:tcW w:type="dxa" w:w="156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pPr>
              <w:jc w:val="center"/>
            </w:pPr>
            <w:r>
              <w:rPr>
                <w:rFonts w:ascii="Courier New" w:cs="Courier New" w:eastAsia="Courier New" w:hAnsi="Courier New"/>
                <w:b/>
                <w:bCs/>
                <w:sz w:val="18"/>
                <w:szCs w:val="18"/>
              </w:rPr>
              <w:t xml:space="preserve">Unit</w:t>
            </w:r>
          </w:p>
        </w:tc>
        <w:tc>
          <w:tcPr>
            <w:tcW w:type="dxa" w:w="3000"/>
            <w:tcBorders>
              <w:top w:val="single" w:color="000000" w:sz="1"/>
              <w:left w:val="single" w:color="000000" w:sz="1"/>
              <w:bottom w:val="single" w:color="000000" w:sz="1"/>
              <w:right w:val="single" w:color="000000" w:sz="1"/>
            </w:tcBorders>
            <w:shd w:fill="DDDDDD" w:val="clear"/>
            <w:tcMar>
              <w:top w:type="dxa" w:w="40"/>
              <w:left w:type="dxa" w:w="80"/>
              <w:bottom w:type="dxa" w:w="40"/>
              <w:right w:type="dxa" w:w="80"/>
            </w:tcMar>
          </w:tcPr>
          <w:p>
            <w:r>
              <w:rPr>
                <w:rFonts w:ascii="Courier New" w:cs="Courier New" w:eastAsia="Courier New" w:hAnsi="Courier New"/>
                <w:b/>
                <w:bCs/>
                <w:sz w:val="18"/>
                <w:szCs w:val="18"/>
              </w:rPr>
              <w:t xml:space="preserve">Reference Range</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Ethanol (blood)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0.08</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Ethanol (vitreous)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0.03</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0.08</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Caffeine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4.8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 – 10.0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Nicotine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18.2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50.0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Cotinine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142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500.0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Salicylic acid</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8.4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2.0 – 20.0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Phenobarbital</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12.6</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40.0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Digitalis glycosides</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1.4</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0.5 – 2.0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Bromide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4.2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mg/dL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 – 15.0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Quinine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1.8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 – 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Codeine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µg/mL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Morphine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µg/mL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Theophylline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6.2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5.0 – 15.0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Aconitine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3.2</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0.5 mg/L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Atropine</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ND</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&lt; 0.03 mg/L</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Bismuth</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0.08</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mg/L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0.00 – 0.50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Carbon monoxide (COHb)</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2.1</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0.0 – 5.0</w:t>
            </w:r>
          </w:p>
        </w:tc>
      </w:tr>
      <w:tr>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Acetaminophen</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&lt; 1.0</w:t>
            </w:r>
          </w:p>
        </w:tc>
        <w:tc>
          <w:tcPr>
            <w:tcW w:type="dxa" w:w="15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center"/>
            </w:pPr>
            <w:r>
              <w:rPr>
                <w:rFonts w:ascii="Courier New" w:cs="Courier New" w:eastAsia="Courier New" w:hAnsi="Courier New"/>
                <w:sz w:val="18"/>
                <w:szCs w:val="18"/>
              </w:rPr>
              <w:t xml:space="preserve">µg/mL</w:t>
            </w:r>
          </w:p>
        </w:tc>
        <w:tc>
          <w:tcPr>
            <w:tcW w:type="dxa" w:w="3000"/>
            <w:tcBorders>
              <w:top w:val="single" w:color="000000" w:sz="1"/>
              <w:left w:val="single" w:color="000000" w:sz="1"/>
              <w:bottom w:val="single" w:color="000000" w:sz="1"/>
              <w:right w:val="single" w:color="000000" w:sz="1"/>
            </w:tcBorders>
            <w:tcMar>
              <w:top w:type="dxa" w:w="40"/>
              <w:left w:type="dxa" w:w="80"/>
              <w:bottom w:type="dxa" w:w="40"/>
              <w:right w:type="dxa" w:w="80"/>
            </w:tcMar>
          </w:tcPr>
          <w:p>
            <w:r>
              <w:rPr>
                <w:rFonts w:ascii="Courier New" w:cs="Courier New" w:eastAsia="Courier New" w:hAnsi="Courier New"/>
                <w:sz w:val="18"/>
                <w:szCs w:val="18"/>
              </w:rPr>
              <w:t xml:space="preserve">10.0 – 30.0</w:t>
            </w:r>
          </w:p>
        </w:tc>
      </w:tr>
    </w:tbl>
    <w:p>
      <w:pPr>
        <w:spacing w:after="100" w:before="300"/>
        <w:jc w:val="left"/>
      </w:pPr>
      <w:r>
        <w:rPr>
          <w:rFonts w:ascii="Courier New" w:cs="Courier New" w:eastAsia="Courier New" w:hAnsi="Courier New"/>
          <w:b/>
          <w:bCs/>
          <w:i w:val="false"/>
          <w:iCs w:val="false"/>
          <w:sz w:val="20"/>
          <w:szCs w:val="20"/>
        </w:rPr>
        <w:t xml:space="preserve">PRELIMINARY FINDING:</w:t>
      </w:r>
    </w:p>
    <w:p>
      <w:pPr>
        <w:spacing w:after="60" w:before="0"/>
        <w:jc w:val="left"/>
      </w:pPr>
      <w:r>
        <w:rPr>
          <w:rFonts w:ascii="Courier New" w:cs="Courier New" w:eastAsia="Courier New" w:hAnsi="Courier New"/>
          <w:b w:val="false"/>
          <w:bCs w:val="false"/>
          <w:i w:val="false"/>
          <w:iCs w:val="false"/>
          <w:sz w:val="20"/>
          <w:szCs w:val="20"/>
        </w:rPr>
        <w:t xml:space="preserve">Cause of death consistent with acute cardiac arrhythmia. Contributing factors may include coronary artery disease and LV hypertrophy. Toxicology forwarded for clinical interpretation. Gastric irritation of uncertain significance. Manner of death pending further review.</w:t>
      </w:r>
    </w:p>
    <w:p>
      <w:pPr>
        <w:spacing w:after="60" w:before="300"/>
        <w:jc w:val="left"/>
      </w:pPr>
      <w:r>
        <w:rPr>
          <w:rFonts w:ascii="Courier New" w:cs="Courier New" w:eastAsia="Courier New" w:hAnsi="Courier New"/>
          <w:b w:val="false"/>
          <w:bCs w:val="false"/>
          <w:i w:val="false"/>
          <w:iCs w:val="false"/>
          <w:sz w:val="20"/>
          <w:szCs w:val="20"/>
        </w:rPr>
        <w:t xml:space="preserve"/>
      </w:r>
    </w:p>
    <w:p>
      <w:pPr>
        <w:spacing w:after="60" w:before="0"/>
        <w:jc w:val="left"/>
      </w:pPr>
      <w:r>
        <w:rPr>
          <w:rFonts w:ascii="Courier New" w:cs="Courier New" w:eastAsia="Courier New" w:hAnsi="Courier New"/>
          <w:b w:val="false"/>
          <w:bCs w:val="false"/>
          <w:i/>
          <w:iCs/>
          <w:sz w:val="20"/>
          <w:szCs w:val="20"/>
        </w:rPr>
        <w:t xml:space="preserve">Examining Physician: H. W. Calloway, M.D.</w:t>
      </w:r>
    </w:p>
    <w:p>
      <w:pPr>
        <w:spacing w:after="60" w:before="0"/>
        <w:jc w:val="left"/>
      </w:pPr>
      <w:r>
        <w:rPr>
          <w:rFonts w:ascii="Courier New" w:cs="Courier New" w:eastAsia="Courier New" w:hAnsi="Courier New"/>
          <w:b w:val="false"/>
          <w:bCs w:val="false"/>
          <w:i w:val="false"/>
          <w:iCs w:val="false"/>
          <w:sz w:val="20"/>
          <w:szCs w:val="20"/>
        </w:rPr>
        <w:t xml:space="preserve">Date: March 21, 1935</w:t>
      </w:r>
    </w:p>
    <w:p>
      <w:pPr>
        <w:spacing w:after="60" w:before="0"/>
        <w:jc w:val="left"/>
      </w:pPr>
      <w:r>
        <w:rPr>
          <w:rFonts w:ascii="Courier New" w:cs="Courier New" w:eastAsia="Courier New" w:hAnsi="Courier New"/>
          <w:b w:val="false"/>
          <w:bCs w:val="false"/>
          <w:i w:val="false"/>
          <w:iCs w:val="false"/>
          <w:sz w:val="20"/>
          <w:szCs w:val="20"/>
        </w:rPr>
        <w:t xml:space="preserve"/>
      </w:r>
    </w:p>
    <w:p>
      <w:pPr>
        <w:spacing w:after="60" w:before="0"/>
        <w:jc w:val="left"/>
      </w:pPr>
      <w:r>
        <w:rPr>
          <w:rFonts w:ascii="Courier New" w:cs="Courier New" w:eastAsia="Courier New" w:hAnsi="Courier New"/>
          <w:b w:val="false"/>
          <w:bCs w:val="false"/>
          <w:i/>
          <w:iCs/>
          <w:sz w:val="18"/>
          <w:szCs w:val="18"/>
        </w:rPr>
        <w:t xml:space="preserve">Toxicology interpretation pending. This report does not constitute a final determination.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2026-03-17T18:14:23.689Z</dcterms:created>
  <dcterms:modified xsi:type="dcterms:W3CDTF">2026-03-17T18:14:23.690Z</dcterms:modified>
</cp:coreProperties>
</file>

<file path=docProps/custom.xml><?xml version="1.0" encoding="utf-8"?>
<Properties xmlns="http://schemas.openxmlformats.org/officeDocument/2006/custom-properties" xmlns:vt="http://schemas.openxmlformats.org/officeDocument/2006/docPropsVTypes"/>
</file>