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 xml:space="preserve">Uchwała nr </w:t>
      </w:r>
      <w:r>
        <w:rPr>
          <w:rFonts w:ascii="Times New Roman" w:hAnsi="Times New Roman"/>
          <w:b/>
          <w:i w:val="0"/>
          <w:sz w:val="26"/>
          <w:u w:val="none"/>
        </w:rPr>
        <w:t>1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 xml:space="preserve">akcjonariuszy spółki </w:t>
      </w:r>
      <w:r>
        <w:rPr>
          <w:rFonts w:ascii="Times New Roman" w:hAnsi="Times New Roman"/>
          <w:b/>
          <w:i w:val="0"/>
          <w:sz w:val="26"/>
          <w:u w:val="none"/>
        </w:rPr>
        <w:t>CHARLIE UNICORN AI</w:t>
      </w:r>
      <w:r>
        <w:rPr>
          <w:rFonts w:ascii="Times New Roman" w:hAnsi="Times New Roman"/>
          <w:b/>
          <w:i w:val="0"/>
          <w:sz w:val="26"/>
          <w:u w:val="none"/>
        </w:rPr>
        <w:t xml:space="preserve"> prosta spółka akcyjna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 xml:space="preserve">z siedzibą w </w:t>
      </w:r>
      <w:r>
        <w:rPr>
          <w:rFonts w:ascii="Times New Roman" w:hAnsi="Times New Roman"/>
          <w:b/>
          <w:i w:val="0"/>
          <w:sz w:val="26"/>
          <w:u w:val="none"/>
        </w:rPr>
        <w:t>Warszawie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podjęta poza walnym zgromadzeniem, na piśmie,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 xml:space="preserve">w dniu </w:t>
      </w:r>
      <w:r>
        <w:rPr>
          <w:rFonts w:ascii="Times New Roman" w:hAnsi="Times New Roman"/>
          <w:b/>
          <w:i w:val="0"/>
          <w:sz w:val="26"/>
          <w:u w:val="none"/>
        </w:rPr>
        <w:t>12 sierpnia 2026 roku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w sprawie wyboru podmiotu prowadzącego rejestr akcjonariuszy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 xml:space="preserve">art. </w:t>
      </w:r>
      <w:r>
        <w:rPr>
          <w:rFonts w:ascii="Times New Roman" w:hAnsi="Times New Roman"/>
          <w:b w:val="0"/>
          <w:i/>
          <w:sz w:val="20"/>
          <w:u w:val="none"/>
        </w:rPr>
        <w:t>300</w:t>
      </w:r>
      <w:r>
        <w:rPr>
          <w:rFonts w:ascii="Times New Roman" w:hAnsi="Times New Roman"/>
          <w:b w:val="0"/>
          <w:i/>
          <w:sz w:val="20"/>
          <w:u w:val="none"/>
          <w:vertAlign w:val="superscript"/>
        </w:rPr>
        <w:t>31</w:t>
      </w:r>
      <w:r>
        <w:rPr>
          <w:rFonts w:ascii="Times New Roman" w:hAnsi="Times New Roman"/>
          <w:b w:val="0"/>
          <w:i/>
          <w:sz w:val="20"/>
          <w:u w:val="none"/>
        </w:rPr>
        <w:t xml:space="preserve"> § 5 w związku z art. </w:t>
      </w:r>
      <w:r>
        <w:rPr>
          <w:rFonts w:ascii="Times New Roman" w:hAnsi="Times New Roman"/>
          <w:b w:val="0"/>
          <w:i/>
          <w:sz w:val="20"/>
          <w:u w:val="none"/>
        </w:rPr>
        <w:t>300</w:t>
      </w:r>
      <w:r>
        <w:rPr>
          <w:rFonts w:ascii="Times New Roman" w:hAnsi="Times New Roman"/>
          <w:b w:val="0"/>
          <w:i/>
          <w:sz w:val="20"/>
          <w:u w:val="none"/>
          <w:vertAlign w:val="superscript"/>
        </w:rPr>
        <w:t>80</w:t>
      </w:r>
      <w:r>
        <w:rPr>
          <w:rFonts w:ascii="Times New Roman" w:hAnsi="Times New Roman"/>
          <w:b w:val="0"/>
          <w:i/>
          <w:sz w:val="20"/>
          <w:u w:val="none"/>
        </w:rPr>
        <w:t xml:space="preserve"> § 1 Kodeksu spółek handlowych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Akcjonariusze spółki działającej pod firmą </w:t>
      </w:r>
      <w:r>
        <w:rPr>
          <w:rFonts w:ascii="Times New Roman" w:hAnsi="Times New Roman"/>
          <w:b w:val="0"/>
          <w:i w:val="0"/>
          <w:sz w:val="24"/>
          <w:u w:val="none"/>
        </w:rPr>
        <w:t>CHARLIE UNICORN AI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 z siedzibą w </w:t>
      </w:r>
      <w:r>
        <w:rPr>
          <w:rFonts w:ascii="Times New Roman" w:hAnsi="Times New Roman"/>
          <w:b w:val="0"/>
          <w:i w:val="0"/>
          <w:sz w:val="24"/>
          <w:u w:val="none"/>
        </w:rPr>
        <w:t>Warszawie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</w:t>
      </w:r>
      <w:r>
        <w:rPr>
          <w:rFonts w:ascii="Times New Roman" w:hAnsi="Times New Roman"/>
          <w:b w:val="0"/>
          <w:i w:val="0"/>
          <w:sz w:val="24"/>
          <w:u w:val="none"/>
        </w:rPr>
        <w:t>00-697 Warszawa, ulica Aleje Jerozolimskie nr 51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), wpisanej do rejestru przedsiębiorców Krajowego Rejestru Sądowego prowadzonego przez </w:t>
      </w:r>
      <w:r>
        <w:rPr>
          <w:rFonts w:ascii="Times New Roman" w:hAnsi="Times New Roman"/>
          <w:b w:val="0"/>
          <w:i w:val="0"/>
          <w:sz w:val="24"/>
          <w:u w:val="none"/>
        </w:rPr>
        <w:t>Sąd Rejonowy dla m.st. Warszawy w Warszawie, XII Wydział Gospodarczy Krajowego Rejestru Sądowego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pod numerem KRS </w:t>
      </w:r>
      <w:r>
        <w:rPr>
          <w:rFonts w:ascii="Times New Roman" w:hAnsi="Times New Roman"/>
          <w:b w:val="0"/>
          <w:i w:val="0"/>
          <w:sz w:val="24"/>
          <w:u w:val="none"/>
        </w:rPr>
        <w:t>0001257646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4"/>
          <w:u w:val="none"/>
        </w:rPr>
        <w:t>7011325910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REGON </w:t>
      </w:r>
      <w:r>
        <w:rPr>
          <w:rFonts w:ascii="Times New Roman" w:hAnsi="Times New Roman"/>
          <w:b w:val="0"/>
          <w:i w:val="0"/>
          <w:sz w:val="24"/>
          <w:u w:val="none"/>
        </w:rPr>
        <w:t>545410859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działając na podstawie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5 Kodeksu spółek handlowych, dokonują wyboru notariusza </w:t>
      </w:r>
      <w:r>
        <w:rPr>
          <w:rFonts w:ascii="Times New Roman" w:hAnsi="Times New Roman"/>
          <w:b w:val="0"/>
          <w:i w:val="0"/>
          <w:sz w:val="24"/>
          <w:u w:val="none"/>
        </w:rPr>
        <w:t>Łukasza Kozona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prowadzącego Kancelarię Notarialną w </w:t>
      </w:r>
      <w:r>
        <w:rPr>
          <w:rFonts w:ascii="Times New Roman" w:hAnsi="Times New Roman"/>
          <w:b w:val="0"/>
          <w:i w:val="0"/>
          <w:sz w:val="24"/>
          <w:u w:val="none"/>
        </w:rPr>
        <w:t>Gdańsku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przy ulicy </w:t>
      </w:r>
      <w:r>
        <w:rPr>
          <w:rFonts w:ascii="Times New Roman" w:hAnsi="Times New Roman"/>
          <w:b w:val="0"/>
          <w:i w:val="0"/>
          <w:sz w:val="24"/>
          <w:u w:val="none"/>
        </w:rPr>
        <w:t>Bolesława Leśmiana nr 3/U10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4"/>
          <w:u w:val="none"/>
        </w:rPr>
        <w:t>9571165704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REGON </w:t>
      </w:r>
      <w:r>
        <w:rPr>
          <w:rFonts w:ascii="Times New Roman" w:hAnsi="Times New Roman"/>
          <w:b w:val="0"/>
          <w:i w:val="0"/>
          <w:sz w:val="24"/>
          <w:u w:val="none"/>
        </w:rPr>
        <w:t>526934899</w:t>
      </w:r>
      <w:r>
        <w:rPr>
          <w:rFonts w:ascii="Times New Roman" w:hAnsi="Times New Roman"/>
          <w:b w:val="0"/>
          <w:i w:val="0"/>
          <w:sz w:val="24"/>
          <w:u w:val="none"/>
        </w:rPr>
        <w:t>, jako podmiotu prowadzącego rejestr akcjonariuszy Spółki oraz wyrażają zgodę na zawarcie z nim umowy o prowadzenie rejestru akcjonariuszy prostej spółki akcyjnej.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Uchwała wchodzi w życie z dniem jej podjęcia.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§ 3</w:t>
      </w:r>
    </w:p>
    <w:p>
      <w:pPr>
        <w:spacing w:before="0" w:after="28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Niżej podpisani akcjonariusze wyrażają zgodę na podjęcie niniejszej uchwały poza walnym zgromadzeniem, w trybie pisemnym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80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2 zdanie drugie Kodeksu spółek handlowych). Złożenie podpisu pod niniejszą uchwałą jest równoznaczne z wyrażeniem tej zgody.</w:t>
      </w:r>
    </w:p>
    <w:p>
      <w:pPr>
        <w:spacing w:before="0" w:after="20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Uchwała została podjęta </w:t>
      </w:r>
      <w:r>
        <w:rPr>
          <w:rFonts w:ascii="Times New Roman" w:hAnsi="Times New Roman"/>
          <w:b w:val="0"/>
          <w:i w:val="0"/>
          <w:sz w:val="24"/>
          <w:u w:val="none"/>
        </w:rPr>
        <w:t>jednogłośnie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przy </w:t>
      </w:r>
      <w:r>
        <w:rPr>
          <w:rFonts w:ascii="Times New Roman" w:hAnsi="Times New Roman"/>
          <w:b w:val="0"/>
          <w:i w:val="0"/>
          <w:sz w:val="24"/>
          <w:u w:val="none"/>
        </w:rPr>
        <w:t>1000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głosach „za”, </w:t>
      </w:r>
      <w:r>
        <w:rPr>
          <w:rFonts w:ascii="Times New Roman" w:hAnsi="Times New Roman"/>
          <w:b w:val="0"/>
          <w:i w:val="0"/>
          <w:sz w:val="24"/>
          <w:u w:val="none"/>
        </w:rPr>
        <w:t>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głosach „przeciw” i </w:t>
      </w:r>
      <w:r>
        <w:rPr>
          <w:rFonts w:ascii="Times New Roman" w:hAnsi="Times New Roman"/>
          <w:b w:val="0"/>
          <w:i w:val="0"/>
          <w:sz w:val="24"/>
          <w:u w:val="none"/>
        </w:rPr>
        <w:t>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głosach „wstrzymujących się”, co stanowi </w:t>
      </w:r>
      <w:r>
        <w:rPr>
          <w:rFonts w:ascii="Times New Roman" w:hAnsi="Times New Roman"/>
          <w:b w:val="0"/>
          <w:i w:val="0"/>
          <w:sz w:val="24"/>
          <w:u w:val="none"/>
        </w:rPr>
        <w:t>100%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ogólnej liczby głosów.</w:t>
      </w:r>
    </w:p>
    <w:p>
      <w:pPr>
        <w:spacing w:before="160" w:after="16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Akcjonariusze biorący udział w głosowaniu: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Jan Kowalski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</w:t>
      </w:r>
      <w:r>
        <w:rPr>
          <w:rFonts w:ascii="Times New Roman" w:hAnsi="Times New Roman"/>
          <w:b w:val="0"/>
          <w:i w:val="0"/>
          <w:sz w:val="24"/>
          <w:u w:val="none"/>
        </w:rPr>
        <w:t>250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akcji dających uprawnienie do </w:t>
      </w:r>
      <w:r>
        <w:rPr>
          <w:rFonts w:ascii="Times New Roman" w:hAnsi="Times New Roman"/>
          <w:b w:val="0"/>
          <w:i w:val="0"/>
          <w:sz w:val="24"/>
          <w:u w:val="none"/>
        </w:rPr>
        <w:t>250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głosów</w:t>
      </w:r>
    </w:p>
    <w:p>
      <w:pPr>
        <w:spacing w:before="28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.....................................................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Łukasz Adrian Szymborski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– </w:t>
      </w:r>
      <w:r>
        <w:rPr>
          <w:rFonts w:ascii="Times New Roman" w:hAnsi="Times New Roman"/>
          <w:b w:val="0"/>
          <w:i w:val="0"/>
          <w:sz w:val="24"/>
          <w:u w:val="none"/>
        </w:rPr>
        <w:t>750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akcji dających uprawnienie do </w:t>
      </w:r>
      <w:r>
        <w:rPr>
          <w:rFonts w:ascii="Times New Roman" w:hAnsi="Times New Roman"/>
          <w:b w:val="0"/>
          <w:i w:val="0"/>
          <w:sz w:val="24"/>
          <w:u w:val="none"/>
        </w:rPr>
        <w:t>750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głosów</w:t>
      </w:r>
    </w:p>
    <w:p>
      <w:pPr>
        <w:spacing w:before="28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.....................................................</w:t>
      </w:r>
    </w:p>
    <w:p>
      <w:pPr>
        <w:spacing w:before="280" w:after="0" w:line="276" w:lineRule="auto"/>
        <w:jc w:val="left"/>
      </w:pPr>
      <w:r>
        <w:rPr>
          <w:rFonts w:ascii="Times New Roman" w:hAnsi="Times New Roman"/>
          <w:b w:val="0"/>
          <w:i/>
          <w:sz w:val="18"/>
          <w:u w:val="none"/>
        </w:rPr>
        <w:t xml:space="preserve">Uchwałę wpisuje się do księgi protokołów spółki (art. </w:t>
      </w:r>
      <w:r>
        <w:rPr>
          <w:rFonts w:ascii="Times New Roman" w:hAnsi="Times New Roman"/>
          <w:b w:val="0"/>
          <w:i/>
          <w:sz w:val="18"/>
          <w:u w:val="none"/>
        </w:rPr>
        <w:t>300</w:t>
      </w:r>
      <w:r>
        <w:rPr>
          <w:rFonts w:ascii="Times New Roman" w:hAnsi="Times New Roman"/>
          <w:b w:val="0"/>
          <w:i/>
          <w:sz w:val="18"/>
          <w:u w:val="none"/>
          <w:vertAlign w:val="superscript"/>
        </w:rPr>
        <w:t>10</w:t>
      </w:r>
      <w:r>
        <w:rPr>
          <w:rFonts w:ascii="Times New Roman" w:hAnsi="Times New Roman"/>
          <w:b w:val="0"/>
          <w:i/>
          <w:sz w:val="18"/>
          <w:u w:val="none"/>
        </w:rPr>
        <w:t>0 § 4 Kodeksu spółek handlowych).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