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Umowa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o prowadzenie rejestru akcjonariuszy prostej spółki akcyjnej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zawarta dnia </w:t>
      </w:r>
      <w:r>
        <w:rPr>
          <w:rFonts w:ascii="Times New Roman" w:hAnsi="Times New Roman"/>
          <w:b w:val="0"/>
          <w:i w:val="0"/>
          <w:sz w:val="24"/>
          <w:u w:val="none"/>
        </w:rPr>
        <w:t>{{umowa_data}}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roku w miejscowości </w:t>
      </w:r>
      <w:r>
        <w:rPr>
          <w:rFonts w:ascii="Times New Roman" w:hAnsi="Times New Roman"/>
          <w:b w:val="0"/>
          <w:i w:val="0"/>
          <w:sz w:val="24"/>
          <w:u w:val="none"/>
        </w:rPr>
        <w:t>{{kancelaria_miasto}}</w:t>
      </w:r>
      <w:r>
        <w:rPr>
          <w:rFonts w:ascii="Times New Roman" w:hAnsi="Times New Roman"/>
          <w:b w:val="0"/>
          <w:i w:val="0"/>
          <w:sz w:val="24"/>
          <w:u w:val="none"/>
        </w:rPr>
        <w:t>, pomiędzy: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Spółką pod firmą </w:t>
      </w:r>
      <w:r>
        <w:rPr>
          <w:rFonts w:ascii="Times New Roman" w:hAnsi="Times New Roman"/>
          <w:b w:val="0"/>
          <w:i w:val="0"/>
          <w:sz w:val="24"/>
          <w:u w:val="none"/>
        </w:rPr>
        <w:t>{{spolka_firma}}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prosta spółka akcyjna, siedziba: </w:t>
      </w:r>
      <w:r>
        <w:rPr>
          <w:rFonts w:ascii="Times New Roman" w:hAnsi="Times New Roman"/>
          <w:b w:val="0"/>
          <w:i w:val="0"/>
          <w:sz w:val="24"/>
          <w:u w:val="none"/>
        </w:rPr>
        <w:t>{{spolka_siedziba_mianownik}}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</w:t>
      </w:r>
      <w:r>
        <w:rPr>
          <w:rFonts w:ascii="Times New Roman" w:hAnsi="Times New Roman"/>
          <w:b w:val="0"/>
          <w:i w:val="0"/>
          <w:sz w:val="24"/>
          <w:u w:val="none"/>
        </w:rPr>
        <w:t>{{spolka_adres_pelny}}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), wpisaną do rejestru przedsiębiorców Krajowego Rejestru Sądowego prowadzonego przez </w:t>
      </w:r>
      <w:r>
        <w:rPr>
          <w:rFonts w:ascii="Times New Roman" w:hAnsi="Times New Roman"/>
          <w:b w:val="0"/>
          <w:i w:val="0"/>
          <w:sz w:val="24"/>
          <w:u w:val="none"/>
        </w:rPr>
        <w:t>{{spolka_sad_rejestrowy}}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pod numerem KRS </w:t>
      </w:r>
      <w:r>
        <w:rPr>
          <w:rFonts w:ascii="Times New Roman" w:hAnsi="Times New Roman"/>
          <w:b w:val="0"/>
          <w:i w:val="0"/>
          <w:sz w:val="24"/>
          <w:u w:val="none"/>
        </w:rPr>
        <w:t>{{spolka_krs}}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{{spolka_nip}}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REGON </w:t>
      </w:r>
      <w:r>
        <w:rPr>
          <w:rFonts w:ascii="Times New Roman" w:hAnsi="Times New Roman"/>
          <w:b w:val="0"/>
          <w:i w:val="0"/>
          <w:sz w:val="24"/>
          <w:u w:val="none"/>
        </w:rPr>
        <w:t>{{spolka_regon}}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(dalej jako „Spółka”),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reprezentowaną przez: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{{reprezentant_imie_nazwisko}}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imiona rodziców: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{{reprezentant_rodzice}}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dowód osobisty: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{{reprezentant_dowod}}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PESEL: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{{reprezentant_pesel}}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adres zamieszkania: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{{reprezentant_adres}}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działający jako: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{{reprezentant_funkcja}}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sposób reprezentacji: </w:t>
      </w:r>
      <w:r>
        <w:rPr>
          <w:rFonts w:ascii="Times New Roman" w:hAnsi="Times New Roman"/>
          <w:b w:val="0"/>
          <w:i w:val="0"/>
          <w:sz w:val="24"/>
          <w:u w:val="none"/>
        </w:rPr>
        <w:t>{{reprezentant_reprezentacja}}</w:t>
      </w:r>
      <w:r>
        <w:rPr>
          <w:rFonts w:ascii="Times New Roman" w:hAnsi="Times New Roman"/>
          <w:b w:val="0"/>
          <w:i w:val="0"/>
          <w:sz w:val="24"/>
          <w:u w:val="none"/>
        </w:rPr>
        <w:t>,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a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Kancelarią Notarialną, notariusz: </w:t>
      </w:r>
      <w:r>
        <w:rPr>
          <w:rFonts w:ascii="Times New Roman" w:hAnsi="Times New Roman"/>
          <w:b w:val="0"/>
          <w:i w:val="0"/>
          <w:sz w:val="24"/>
          <w:u w:val="none"/>
        </w:rPr>
        <w:t>{{notariusz_mianownik}}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adres: ulica </w:t>
      </w:r>
      <w:r>
        <w:rPr>
          <w:rFonts w:ascii="Times New Roman" w:hAnsi="Times New Roman"/>
          <w:b w:val="0"/>
          <w:i w:val="0"/>
          <w:sz w:val="24"/>
          <w:u w:val="none"/>
        </w:rPr>
        <w:t>{{kancelaria_ulica}}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</w:t>
      </w:r>
      <w:r>
        <w:rPr>
          <w:rFonts w:ascii="Times New Roman" w:hAnsi="Times New Roman"/>
          <w:b w:val="0"/>
          <w:i w:val="0"/>
          <w:sz w:val="24"/>
          <w:u w:val="none"/>
        </w:rPr>
        <w:t>{{kancelaria_kod}}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sz w:val="24"/>
          <w:u w:val="none"/>
        </w:rPr>
        <w:t>{{kancelaria_miasto}}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NIP: </w:t>
      </w:r>
      <w:r>
        <w:rPr>
          <w:rFonts w:ascii="Times New Roman" w:hAnsi="Times New Roman"/>
          <w:b w:val="0"/>
          <w:i w:val="0"/>
          <w:sz w:val="24"/>
          <w:u w:val="none"/>
        </w:rPr>
        <w:t>{{kancelaria_nip}}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REGON: </w:t>
      </w:r>
      <w:r>
        <w:rPr>
          <w:rFonts w:ascii="Times New Roman" w:hAnsi="Times New Roman"/>
          <w:b w:val="0"/>
          <w:i w:val="0"/>
          <w:sz w:val="24"/>
          <w:u w:val="none"/>
        </w:rPr>
        <w:t>{{kancelaria_regon}}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(dalej jako: „Notariusz”)</w:t>
      </w:r>
    </w:p>
    <w:p>
      <w:pPr>
        <w:spacing w:before="0" w:after="20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zwanymi dalej łącznie „Stronami”, a oddzielnie „Stroną”, o następującej treści: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I. Postanowienia ogólne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DEFINICJE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Przez użyte w Umowie pojęcia rozumie się: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1)</w:t>
        <w:tab/>
      </w:r>
      <w:r>
        <w:rPr>
          <w:rFonts w:ascii="Times New Roman" w:hAnsi="Times New Roman"/>
          <w:b/>
          <w:i w:val="0"/>
          <w:sz w:val="24"/>
          <w:u w:val="none"/>
        </w:rPr>
        <w:t>Akcje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akcje Spółki podlegające rejestracji w Rejestrze;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2)</w:t>
        <w:tab/>
      </w:r>
      <w:r>
        <w:rPr>
          <w:rFonts w:ascii="Times New Roman" w:hAnsi="Times New Roman"/>
          <w:b/>
          <w:i w:val="0"/>
          <w:sz w:val="24"/>
          <w:u w:val="none"/>
        </w:rPr>
        <w:t>Akcjonariusz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podmiot będący osobą fizyczną, osobą prawną lub jednostką organizacyjną nieposiadającą osobowości prawnej, o której mowa w art. </w:t>
      </w:r>
      <w:r>
        <w:rPr>
          <w:rFonts w:ascii="Times New Roman" w:hAnsi="Times New Roman"/>
          <w:b w:val="0"/>
          <w:i w:val="0"/>
          <w:sz w:val="24"/>
          <w:u w:val="none"/>
        </w:rPr>
        <w:t>33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Kodeksu cywilnego, która jest ujawniona w Rejestrze jako uprawniona z Akcji;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3)</w:t>
        <w:tab/>
      </w:r>
      <w:r>
        <w:rPr>
          <w:rFonts w:ascii="Times New Roman" w:hAnsi="Times New Roman"/>
          <w:b/>
          <w:i w:val="0"/>
          <w:sz w:val="24"/>
          <w:u w:val="none"/>
        </w:rPr>
        <w:t>Kancelaria Notarialna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Kancelaria Notarialna Notariusza prowadzącego Rejestr;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4)</w:t>
        <w:tab/>
      </w:r>
      <w:r>
        <w:rPr>
          <w:rFonts w:ascii="Times New Roman" w:hAnsi="Times New Roman"/>
          <w:b/>
          <w:i w:val="0"/>
          <w:sz w:val="24"/>
          <w:u w:val="none"/>
        </w:rPr>
        <w:t>Osoba mająca interes prawny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Akcjonariusz; nabywca Akcji, w tym spadkobierca, zapisobierca lub inny następca prawny Akcjonariusza; zastawnik Akcji; użytkownik Akcji lub inna osoba, która posiada interes prawny w dokonaniu Wpisu;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5)</w:t>
        <w:tab/>
      </w:r>
      <w:r>
        <w:rPr>
          <w:rFonts w:ascii="Times New Roman" w:hAnsi="Times New Roman"/>
          <w:b/>
          <w:i w:val="0"/>
          <w:sz w:val="24"/>
          <w:u w:val="none"/>
        </w:rPr>
        <w:t>Odpis KRS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odpis aktualny lub pełny z rejestru przedsiębiorców KRS wydany przez Centralną Informację KRS lub wydruk aktualnej albo pełnej informacji o podmiocie wpisanym do KRS pobrany w trybie art. 4 ust. 4aa ustawy o Krajowym Rejestrze Sądowym ze strony internetowej Ministerstwa Sprawiedliwości https://ekrs.ms.gov.pl/;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6)</w:t>
        <w:tab/>
      </w:r>
      <w:r>
        <w:rPr>
          <w:rFonts w:ascii="Times New Roman" w:hAnsi="Times New Roman"/>
          <w:b/>
          <w:i w:val="0"/>
          <w:sz w:val="24"/>
          <w:u w:val="none"/>
        </w:rPr>
        <w:t>Rejestr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rejestr akcjonariuszy prostej spółki akcyjnej, o którym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7)</w:t>
        <w:tab/>
      </w:r>
      <w:r>
        <w:rPr>
          <w:rFonts w:ascii="Times New Roman" w:hAnsi="Times New Roman"/>
          <w:b/>
          <w:i w:val="0"/>
          <w:sz w:val="24"/>
          <w:u w:val="none"/>
        </w:rPr>
        <w:t>Uchwała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uchwała Akcjonariuszy o wyborze Notariusza jako podmiotu prowadzącego Rejestr, o której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5 Kodeksu spółek handlowych;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8)</w:t>
        <w:tab/>
      </w:r>
      <w:r>
        <w:rPr>
          <w:rFonts w:ascii="Times New Roman" w:hAnsi="Times New Roman"/>
          <w:b/>
          <w:i w:val="0"/>
          <w:sz w:val="24"/>
          <w:u w:val="none"/>
        </w:rPr>
        <w:t>Usługa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usługa prowadzenia Rejestru i podejmowanie czynności z tym związanych;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9)</w:t>
        <w:tab/>
      </w:r>
      <w:r>
        <w:rPr>
          <w:rFonts w:ascii="Times New Roman" w:hAnsi="Times New Roman"/>
          <w:b/>
          <w:i w:val="0"/>
          <w:sz w:val="24"/>
          <w:u w:val="none"/>
        </w:rPr>
        <w:t>Wpis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wpis, zmiana oraz wykreślenie wpisu w Rejestrze;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10)</w:t>
        <w:tab/>
      </w:r>
      <w:r>
        <w:rPr>
          <w:rFonts w:ascii="Times New Roman" w:hAnsi="Times New Roman"/>
          <w:b/>
          <w:i w:val="0"/>
          <w:sz w:val="24"/>
          <w:u w:val="none"/>
        </w:rPr>
        <w:t>Taksa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maksymalne wynagrodzenie Notariusza określone w rozporządzeniu Ministra Sprawiedliwości w sprawie maksymalnych stawek taksy notarialnej.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2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UPRAWNIENIA NOTARIUSZA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Notariusz posiada uprawnienia do prowadzenia Rejestru na podstawie przepisów Rozdziału 8a ustawy Prawo o notariacie, na zasadach określonych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31</w:t>
      </w:r>
      <w:r>
        <w:rPr>
          <w:rFonts w:ascii="Times New Roman" w:hAnsi="Times New Roman"/>
          <w:b w:val="0"/>
          <w:i w:val="0"/>
          <w:sz w:val="24"/>
          <w:u w:val="none"/>
        </w:rPr>
        <w:t>–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35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Kodeksu spółek handlowych.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3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OŚWIADCZENIA SPÓŁKI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W związku z zawarciem niniejszej Umowy Spółka oświadcza, że: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nie zawarła z innym podmiotem obowiązującej umowy o prowadzenie rejestru akcjonariuszy Spółki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32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handlowych);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obrót Akcjami nie podlega ograniczeniom ustanowionym w powszechnie obowiązujących przepisach prawa, w szczególności ograniczeniom, o których mowa w art. 3a ust. 1 i art. 4 ust. 6 ustawy z dnia 11 kwietnia 2003 r. o kształtowaniu ustroju rolnego, w brzmieniu obowiązującym na dzień podpisania niniejszej Umowy;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wyraża zgodę na przekazywanie jej informacji przez Notariusza na trwałym nośniku informacji innym niż papier, na adres poczty elektronicznej wskazany w § 15 niniejszej Umowy;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wszelkie dokumenty i informacje, które zostały przekazane przez Spółkę Notariuszowi lub które będą przekazane w związku ze świadczeniem Usługi:</w:t>
      </w:r>
    </w:p>
    <w:p>
      <w:pPr>
        <w:tabs>
          <w:tab w:pos="1276" w:val="left"/>
        </w:tabs>
        <w:spacing w:before="0" w:after="60" w:line="276" w:lineRule="auto"/>
        <w:ind w:left="1276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–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są aktualne na dzień ich przekazania;</w:t>
      </w:r>
    </w:p>
    <w:p>
      <w:pPr>
        <w:tabs>
          <w:tab w:pos="1276" w:val="left"/>
        </w:tabs>
        <w:spacing w:before="0" w:after="60" w:line="276" w:lineRule="auto"/>
        <w:ind w:left="1276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–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są autentyczne, nie zostały podrobione lub przerobione oraz nie wprowadzają w błąd co do okoliczności prawnych i faktycznych, których dotyczą;</w:t>
      </w:r>
    </w:p>
    <w:p>
      <w:pPr>
        <w:tabs>
          <w:tab w:pos="1276" w:val="left"/>
        </w:tabs>
        <w:spacing w:before="0" w:after="60" w:line="276" w:lineRule="auto"/>
        <w:ind w:left="1276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–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są kompletne;</w:t>
      </w:r>
    </w:p>
    <w:p>
      <w:pPr>
        <w:tabs>
          <w:tab w:pos="1276" w:val="left"/>
        </w:tabs>
        <w:spacing w:before="0" w:after="60" w:line="276" w:lineRule="auto"/>
        <w:ind w:left="1276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–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ich przekazanie nie stanowi naruszenia obowiązujących przepisów prawa ani naruszenia zobowiązań i powinności Spółki wynikających z umów, których stroną jest Spółka.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II. Przedmiot Umowy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4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PRZEDMIOT UMOWY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Spółka powierza, a Notariusz przyjmuje zlecenie prowadzenia rejestru akcjonariuszy prostej spółki akcyjnej, o którym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handlowych, za wynagrodzeniem, w sposób i na zasadach opisanych w ustawie Prawo o notariacie, Kodeksie spółek handlowych i innych powszechnie obowiązujących przepisach prawa oraz w niniejszej Umowie.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Niniejsza Umowa określa całość praw i obowiązków Stron związanych z prowadzeniem Rejestru. Strony nie stosują odrębnego wzorca umownego.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5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DOKUMENTY NIEZBĘDNE DO ZAWARCIA UMOWY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 zawarcia Umowy konieczne jest uprzednie przedłożenie przez Spółkę Notariuszowi następujących dokumentów: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Uchwały;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aktualnej umowy Spółki;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Odpisu KRS dotyczącego Spółki, przy czym Notariusz może samodzielnie pobrać Odpis KRS ze strony internetowej Ministerstwa Sprawiedliwości https://ekrs.ms.gov.pl/;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dokumentów potwierdzających nadanie numeru statystycznego REGON oraz numeru identyfikacji podatkowej NIP, o ile identyfikatory te nie zostały zamieszczone w Odpisie KRS;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dokumentów na temat dodatkowych informacji ujawnianych w Rejestrze, o ile takie dokumenty okażą się niezbędne, oraz innych dokumentów, jeżeli obowiązek taki wynika z przepisów prawa w dniu zawarcia Umowy.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gdy Notariusz będzie posiadać uzasadnione wątpliwości co do prawidłowości podjęcia Uchwały, może według swego wyboru odmówić zawarcia Umowy lub wezwać Spółkę do usunięcia uchybień w terminie 7 dni.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razie odmowy zawarcia Umowy Notariusz jest zobowiązany do pisemnego poinformowania Spółki o odmowie, jeżeli Spółka zwróciła się do Notariusza w formie dokumentowej lub pisemnej o prowadzenie Rejestru.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okresie obowiązywania Umowy Spółka jest zobowiązana do aktualizacji danych zawartych w Umowie oraz do przekazywania Notariuszowi informacji o zdarzeniach mogących mieć wpływ na wykonywanie obowiązków Stron, nie później niż w terminie 7 dni od zmiany danych lub zajścia zdarzenia.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Dokumenty niezbędne do zawarcia Umowy lub dokonania Wpisów muszą być przedłożone Notariuszowi w formie wymaganej przez przepisy prawa, w oryginale lub notarialnie poświadczonej kopii, lub – o ile przewidują to przepisy prawa i zostało to uprzednio uzgodnione z Notariuszem – za pomocą elektronicznych nośników informacji. Dokumenty, informacje i oświadczenia Spółki sporządzane są w języku polskim; dokumenty obcojęzyczne wymagają tłumaczenia przysięgłego na język polski. W razie uzasadnionych wątpliwości, w szczególności co do autentyczności, prawdziwości czy pochodzenia przedłożonych dokumentów, Notariusz może zażądać dodatkowych dokumentów i informacji, a Spółka przekaże odpowiedź nie później niż w terminie 7 dni od otrzymania zapytania.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6.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Żadna ze Stron nie może przenieść praw i obowiązków wynikających z Umowy na rzecz osób trzecich.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III. Zasady prowadzenia Rejestru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6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FORMA PROWADZENIA REJESTRU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Rejestr prowadzony jest w postaci elektronicznej, przy wykorzystaniu oprogramowania do prowadzenia Rejestru Akcjonariuszy Prostej Spółki Akcyjnej udostępnionego przez Krajową Radę Notarialną na stronie internetowej https://rejestry-notarialne.pl, zapewniającego bezpieczeństwo i integralność danych zawartych w Rejestrze.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7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TREŚĆ REJESTRU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Rejestr zawiera następujące informacje: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a)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firmę, siedzibę i adres Spółki;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b)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oznaczenie sądu rejestrowego i numer, pod którym Spółka jest wpisana do rejestru przedsiębiorców;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c)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datę zarejestrowania Spółki i emisji Akcji;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d)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serię i numer, rodzaj danej Akcji i uprawnienia szczególne z Akcji;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e)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nazwisko i imię albo firmę (nazwę) Akcjonariusza oraz adres jego zamieszkania albo siedziby albo inny adres do doręczeń, a także adres poczty elektronicznej, jeżeli Akcjonariusz wyraził zgodę na komunikację w stosunkach ze Spółką i Notariuszem przy wykorzystaniu poczty elektronicznej;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f)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 żądanie Osoby mającej interes prawny – Wpis o przejściu Akcji lub praw zastawniczych na inną osobę albo o ustanowieniu na Akcji ograniczonego prawa rzeczowego wraz z datą Wpisu oraz wskazaniem nabywcy albo zastawnika lub użytkownika, adresu ich zamieszkania albo siedziby lub innych adresów do doręczeń, a także adresu poczty elektronicznej, jeżeli osoby te wyraziły zgodę na komunikację przy wykorzystaniu poczty elektronicznej, oraz liczby, rodzaju, serii i numerów nabytych albo obciążonych Akcji;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g)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 żądanie zastawnika albo użytkownika – Wpis, że przysługuje mu prawo wykonywania prawa głosu z obciążonej Akcji;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h)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 żądanie Akcjonariusza – Wpis o wykreśleniu obciążenia jego Akcji ograniczonym prawem rzeczowym;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i)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wzmiankę o tym, czy Akcje zostały w całości pokryte;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j)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ograniczenia co do rozporządzania Akcją;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k)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postanowienia umowy Spółki o związanych z Akcją obowiązkach wobec Spółki.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Rejestr może zawierać dodatkowe informacje poza wskazanymi w ust. 1, jeżeli umowa Spółki tak stanowi.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Wpisanie do Rejestru adresu poczty elektronicznej zgodnie z ust. 1 lit. e) i f) wymaga wyrażenia zgody na komunikację w stosunkach ze Spółką i Notariuszem przy wykorzystaniu poczty elektronicznej. Osoby te mogą w każdym czasie zażądać wykreślenia z Rejestru adresu poczty elektronicznej, co jest równoznaczne z cofnięciem zgody.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Spółka jest zobowiązana do zawiadomienia Notariusza o wszelkich zmianach informacji wymienionych w ust. 1 i 2 oraz zmianach umowy Spółki, a także przekazania Notariuszowi umowy Spółki w przypadku jej zmiany, nie później niż w terminie 7 dni od dnia zajścia zdarzenia powodującego obowiązek Wpisu.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8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JAWNOŚĆ REJESTRU I INFORMACJA Z REJESTRU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Rejestr jest jawny dla Spółki i każdego Akcjonariusza. Spółka i Akcjonariusze mają prawo dostępu do danych zawartych w Rejestrze za pośrednictwem Notariusza oraz mają prawo żądać wydania, w postaci papierowej lub elektronicznej, informacji z Rejestru.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Wniosek o wydanie informacji z Rejestru sporządza się w języku polskim; może być złożony w Kancelarii Notarialnej w formie pisemnej lub elektronicznie na adres poczty elektronicznej Notariusza wskazany w § 15 niniejszej Umowy.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Notariusz wydaje informację z Rejestru w terminie 7 dni od dnia złożenia wniosku, przesyłając ją na adres korespondencyjny albo na adres poczty elektronicznej wnioskodawcy. Na wniosek Spółki lub Akcjonariusza informacja może zostać wydana w formie papierowej w Kancelarii Notarialnej.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IV. Dokonywanie Wpisów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9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TRYB I PODSTAWA WPISU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Notariusz dokonuje Wpisu na żądanie Spółki lub Osoby mającej interes prawny w terminie nie dłuższym niż 7 dni od dnia otrzymania żądania. Jeżeli dokonanie Wpisu wymaga usunięcia przeszkody, Wpis następuje w terminie nie dłuższym niż 7 dni od dnia jej usunięcia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Podstawę dokonania Wpisu mogą stanowić wyłącznie dokumenty uzasadniające dokonanie Wpisu, przedłożone przez Spółkę lub Osobę mającą interes prawny. Podstawę Wpisu stanowi również oświadczenie Akcjonariusza o zobowiązaniu do przeniesienia Akcji lub obciążenia jej ograniczonym prawem rzeczowym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4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Przed dokonaniem Wpisu Notariusz sprawdza formę i treść dokumentów stanowiących podstawę Wpisu, weryfikuje tożsamość osoby żądającej Wpisu, ustala, czy czynność prawna stanowiąca podstawę Wpisu została dokonana w formie wymaganej przez przepisy prawa, oraz sprawdza, czy z treści przedłożonego dokumentu wynika, że Wpis o żądanej treści powinien zostać dokonany.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Notariusz nie weryfikuje zgodności z prawem ani prawdziwości dokumentów uzasadniających dokonanie Wpisu, w tym prawdziwości podpisów, chyba że poweźmie w tym względzie uzasadnione wątpliwości; w takim przypadku podejmuje dodatkowe czynności w celu ich wyjaśnienia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5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W przypadku gdy dokonania Wpisu żąda osoba prawna lub jednostka organizacyjna, o której mowa w art. </w:t>
      </w:r>
      <w:r>
        <w:rPr>
          <w:rFonts w:ascii="Times New Roman" w:hAnsi="Times New Roman"/>
          <w:b w:val="0"/>
          <w:i w:val="0"/>
          <w:sz w:val="24"/>
          <w:u w:val="none"/>
        </w:rPr>
        <w:t>33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Kodeksu cywilnego, jest ona zobowiązana do przedłożenia Odpisu KRS jej dotyczącego, przy czym Notariusz może pobrać Odpis KRS samodzielnie.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6.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Przed dokonaniem Wpisu Notariusz sprawdza w Rejestrze, czy w stosunku do Akcji będących przedmiotem Wpisu istnieją ograniczenia co do rozporządzania. Jeżeli takie ograniczenia występują, Notariusz odmawia dokonania Wpisu, gdy treść żądanego Wpisu pozostaje z nimi w sprzeczności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6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7.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objęcia Akcji Wpis może nastąpić nie wcześniej niż po wpisie Spółki do rejestru przedsiębiorców albo po wpisie nowej emisji Akcji w rejestrze przedsiębiorców.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8.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W przypadku gdy dokumenty przedłożone w celu dokonania Wpisu posiadają niewłaściwą formę lub treść albo gdy Notariusz poweźmie uzasadnione wątpliwości co do ich zgodności z prawem lub prawdziwości, Notariusz odmawia dokonania Wpisu i niezwłocznie zawiadamia o tym osobę żądającą Wpisu, podając przyczyny niedokonania Wpisu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7 zdanie drugie Kodeksu spółek handlowych).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10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POWIADOMIENIA I ZAWIADOMIENIA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Przed dokonaniem Wpisu, z wyłączeniem przypadku, o którym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2 Kodeksu spółek handlowych, Notariusz powiadamia o treści zamierzonego Wpisu osobę, której uprawnienia mają być wykreślone, zmienione lub obciążone przez Wpis, chyba że wyraziła ona na to zgodę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3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O dokonanym Wpisie Notariusz niezwłocznie zawiadamia osobę żądającą Wpisu oraz Spółkę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7 zdanie pierwsze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Powiadomienia i zawiadomienia następują na adres korespondencyjny wskazany w Rejestrze albo w żądaniu, chyba że wyrażono zgodę na komunikację przy użyciu poczty elektronicznej.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Po otrzymaniu zawiadomienia o dokonanym Wpisie Spółka niezwłocznie składa do sądu rejestrowego listę akcjonariuszy podpisaną przez wszystkich </w:t>
      </w:r>
      <w:r>
        <w:rPr>
          <w:rFonts w:ascii="Times New Roman" w:hAnsi="Times New Roman"/>
          <w:b w:val="0"/>
          <w:i w:val="0"/>
          <w:sz w:val="24"/>
          <w:u w:val="none"/>
        </w:rPr>
        <w:t>{{spolka_organ_czlonkowie}}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8 Kodeksu spółek handlowych). Notariusz przekazuje Spółce projekt tej listy sporządzony na podstawie stanu Rejestru.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V. Wynagrodzenie i zwrot wydatków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11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WYNAGRODZENIE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Za czynności związane z prowadzeniem Rejestru Notariuszowi przysługuje od Spółki wynagrodzenie w postaci Taksy, płatne z góry, w wysokości określonej w § 15b rozporządzenia Ministra Sprawiedliwości z dnia 28 czerwca 2004 r. w sprawie maksymalnych stawek taksy notarialnej, w brzmieniu obowiązującym na dzień dokonania danej czynności, to jest: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a)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za prowadzenie Rejestru – w stosunku rocznym, za każdy rozpoczęty rok – maksymalna stawka wynosi </w:t>
      </w:r>
      <w:r>
        <w:rPr>
          <w:rFonts w:ascii="Times New Roman" w:hAnsi="Times New Roman"/>
          <w:b w:val="0"/>
          <w:i w:val="0"/>
          <w:sz w:val="24"/>
          <w:u w:val="none"/>
        </w:rPr>
        <w:t>{{taksa_roczna}}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zł (</w:t>
      </w:r>
      <w:r>
        <w:rPr>
          <w:rFonts w:ascii="Times New Roman" w:hAnsi="Times New Roman"/>
          <w:b w:val="0"/>
          <w:i w:val="0"/>
          <w:sz w:val="24"/>
          <w:u w:val="none"/>
        </w:rPr>
        <w:t>{{taksa_roczna_slownie}}</w:t>
      </w:r>
      <w:r>
        <w:rPr>
          <w:rFonts w:ascii="Times New Roman" w:hAnsi="Times New Roman"/>
          <w:b w:val="0"/>
          <w:i w:val="0"/>
          <w:sz w:val="24"/>
          <w:u w:val="none"/>
        </w:rPr>
        <w:t>);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b)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za dokonanie Wpisu – maksymalna stawka wynosi </w:t>
      </w:r>
      <w:r>
        <w:rPr>
          <w:rFonts w:ascii="Times New Roman" w:hAnsi="Times New Roman"/>
          <w:b w:val="0"/>
          <w:i w:val="0"/>
          <w:sz w:val="24"/>
          <w:u w:val="none"/>
        </w:rPr>
        <w:t>{{taksa_wpis}}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zł (</w:t>
      </w:r>
      <w:r>
        <w:rPr>
          <w:rFonts w:ascii="Times New Roman" w:hAnsi="Times New Roman"/>
          <w:b w:val="0"/>
          <w:i w:val="0"/>
          <w:sz w:val="24"/>
          <w:u w:val="none"/>
        </w:rPr>
        <w:t>{{taksa_wpis_slownie}}</w:t>
      </w:r>
      <w:r>
        <w:rPr>
          <w:rFonts w:ascii="Times New Roman" w:hAnsi="Times New Roman"/>
          <w:b w:val="0"/>
          <w:i w:val="0"/>
          <w:sz w:val="24"/>
          <w:u w:val="none"/>
        </w:rPr>
        <w:t>);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c)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za udzielenie informacji z Rejestru, o której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35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3 Kodeksu spółek handlowych – maksymalna stawka wynosi </w:t>
      </w:r>
      <w:r>
        <w:rPr>
          <w:rFonts w:ascii="Times New Roman" w:hAnsi="Times New Roman"/>
          <w:b w:val="0"/>
          <w:i w:val="0"/>
          <w:sz w:val="24"/>
          <w:u w:val="none"/>
        </w:rPr>
        <w:t>{{taksa_informacja}}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zł (</w:t>
      </w:r>
      <w:r>
        <w:rPr>
          <w:rFonts w:ascii="Times New Roman" w:hAnsi="Times New Roman"/>
          <w:b w:val="0"/>
          <w:i w:val="0"/>
          <w:sz w:val="24"/>
          <w:u w:val="none"/>
        </w:rPr>
        <w:t>{{taksa_informacja_slownie}}</w:t>
      </w:r>
      <w:r>
        <w:rPr>
          <w:rFonts w:ascii="Times New Roman" w:hAnsi="Times New Roman"/>
          <w:b w:val="0"/>
          <w:i w:val="0"/>
          <w:sz w:val="24"/>
          <w:u w:val="none"/>
        </w:rPr>
        <w:t>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 kwot wskazanych w ust. 1 dolicza się podatek od towarów i usług (VAT) według stawki obowiązującej w dniu dokonania czynności.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Warunkiem rozpoczęcia prowadzenia Rejestru, dokonania Wpisu oraz udzielenia informacji z Rejestru jest uiszczenie Taksy.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Spółka wyraża zgodę na otrzymywanie faktur w postaci elektronicznej.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Niezależnie od Taksy Notariuszowi przysługuje zwrot poniesionych wydatków, w szczególności kosztów obowiązkowej korespondencji wynikającej z przepisów prawa, kierowanej do Spółki lub Akcjonariuszy i wysłanej pocztą tradycyjną. Zwrot wydatków następuje w terminie 7 dni od doręczenia Spółce faktury lub noty obciążeniowej.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VI. Odpowiedzialność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12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ODPOWIEDZIALNOŚĆ STRON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Notariusz wykonuje czynności dotyczące realizacji Usługi na podstawie Umowy, ustawy Prawo o notariacie, Kodeksu spółek handlowych i innych powszechnie obowiązujących przepisów prawa, w oparciu o dokumenty, informacje i oświadczenia przedkładane przez Spółkę oraz inne osoby uprawnione do składania żądań.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celu umożliwienia Notariuszowi prawidłowej realizacji Usługi Spółka zobowiązuje się do ścisłej współpracy z Notariuszem, niezwłocznego ujawniania mu wszystkich okoliczności mogących mieć wpływ na prawidłową realizację Usługi i niezwłocznego przekazywania wnioskowanych dokumentów i informacji.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Opóźnienia Spółki w wykonaniu jej obowiązków lub ich nienależyte wykonanie mogą spowodować przesunięcie terminu wykonania obowiązków Notariusza, bez konsekwencji po jego stronie za okres opóźnienia.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Spółka daje gwarancję prawdziwości i zupełności danych zawartych w informacjach, dokumentach oraz oświadczeniach przedkładanych Notariuszowi. Notariusz nie ponosi odpowiedzialności za niezupełność, nieprawdziwość lub niezgodność ze stanem faktycznym lub prawnym tych danych, w szczególności za dokonanie Wpisów zgodnych z przekazaną mu umową Spółki lub innymi dokumentami, jeżeli Spółka nie zawiadomiła Notariusza o ich zmianach.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niewykonania lub nienależytego wykonania Usługi przez Notariusza Spółce przysługuje odszkodowanie za rzeczywiste szkody będące bezpośrednim i normalnym następstwem tych zdarzeń, jeżeli szkody zostały wyrządzone umyślnie lub wynikają z rażącego niedbalstwa Notariusza, w wysokości nie wyższej niż dwukrotność wynagrodzenia za prowadzenie Rejestru w stosunku rocznym.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VII. Doręczenia i dane osobowe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13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ADRESY DO DORĘCZEŃ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Jeżeli niniejsza Umowa nie stanowi inaczej, wszelkie oświadczenia, żądania, wezwania, informacje i dokumenty związane z zawarciem i wykonaniem Umowy będą doręczane między Stronami na następujące adresy:</w:t>
      </w:r>
    </w:p>
    <w:p>
      <w:pPr>
        <w:spacing w:before="0" w:after="40" w:line="276" w:lineRule="auto"/>
        <w:ind w:left="85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 xml:space="preserve">Kancelaria Notarialna, notariusz: </w:t>
      </w:r>
      <w:r>
        <w:rPr>
          <w:rFonts w:ascii="Times New Roman" w:hAnsi="Times New Roman"/>
          <w:b/>
          <w:i w:val="0"/>
          <w:sz w:val="24"/>
          <w:u w:val="none"/>
        </w:rPr>
        <w:t>{{notariusz_mianownik}}</w:t>
      </w:r>
    </w:p>
    <w:p>
      <w:pPr>
        <w:spacing w:before="0" w:after="40" w:line="276" w:lineRule="auto"/>
        <w:ind w:left="85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– adres korespondencyjny: </w:t>
      </w:r>
      <w:r>
        <w:rPr>
          <w:rFonts w:ascii="Times New Roman" w:hAnsi="Times New Roman"/>
          <w:b w:val="0"/>
          <w:i w:val="0"/>
          <w:sz w:val="24"/>
          <w:u w:val="none"/>
        </w:rPr>
        <w:t>{{kancelaria_kod}}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sz w:val="24"/>
          <w:u w:val="none"/>
        </w:rPr>
        <w:t>{{kancelaria_miasto}}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ulica </w:t>
      </w:r>
      <w:r>
        <w:rPr>
          <w:rFonts w:ascii="Times New Roman" w:hAnsi="Times New Roman"/>
          <w:b w:val="0"/>
          <w:i w:val="0"/>
          <w:sz w:val="24"/>
          <w:u w:val="none"/>
        </w:rPr>
        <w:t>{{kancelaria_ulica}}</w:t>
      </w:r>
    </w:p>
    <w:p>
      <w:pPr>
        <w:spacing w:before="0" w:after="160" w:line="276" w:lineRule="auto"/>
        <w:ind w:left="85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– adres poczty elektronicznej: </w:t>
      </w:r>
      <w:r>
        <w:rPr>
          <w:rFonts w:ascii="Times New Roman" w:hAnsi="Times New Roman"/>
          <w:b w:val="0"/>
          <w:i w:val="0"/>
          <w:sz w:val="24"/>
          <w:u w:val="none"/>
        </w:rPr>
        <w:t>{{kancelaria_email}}</w:t>
      </w:r>
    </w:p>
    <w:p>
      <w:pPr>
        <w:spacing w:before="0" w:after="40" w:line="276" w:lineRule="auto"/>
        <w:ind w:left="85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 xml:space="preserve">Spółka </w:t>
      </w:r>
      <w:r>
        <w:rPr>
          <w:rFonts w:ascii="Times New Roman" w:hAnsi="Times New Roman"/>
          <w:b/>
          <w:i w:val="0"/>
          <w:sz w:val="24"/>
          <w:u w:val="none"/>
        </w:rPr>
        <w:t>{{spolka_firma}}</w:t>
      </w:r>
      <w:r>
        <w:rPr>
          <w:rFonts w:ascii="Times New Roman" w:hAnsi="Times New Roman"/>
          <w:b/>
          <w:i w:val="0"/>
          <w:sz w:val="24"/>
          <w:u w:val="none"/>
        </w:rPr>
        <w:t xml:space="preserve"> prosta spółka akcyjna, siedziba: </w:t>
      </w:r>
      <w:r>
        <w:rPr>
          <w:rFonts w:ascii="Times New Roman" w:hAnsi="Times New Roman"/>
          <w:b/>
          <w:i w:val="0"/>
          <w:sz w:val="24"/>
          <w:u w:val="none"/>
        </w:rPr>
        <w:t>{{spolka_siedziba_mianownik}}</w:t>
      </w:r>
    </w:p>
    <w:p>
      <w:pPr>
        <w:spacing w:before="0" w:after="40" w:line="276" w:lineRule="auto"/>
        <w:ind w:left="85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– adres korespondencyjny: </w:t>
      </w:r>
      <w:r>
        <w:rPr>
          <w:rFonts w:ascii="Times New Roman" w:hAnsi="Times New Roman"/>
          <w:b w:val="0"/>
          <w:i w:val="0"/>
          <w:sz w:val="24"/>
          <w:u w:val="none"/>
        </w:rPr>
        <w:t>{{spolka_adres_pelny}}</w:t>
      </w:r>
    </w:p>
    <w:p>
      <w:pPr>
        <w:spacing w:before="0" w:after="160" w:line="276" w:lineRule="auto"/>
        <w:ind w:left="85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– adres poczty elektronicznej: </w:t>
      </w:r>
      <w:r>
        <w:rPr>
          <w:rFonts w:ascii="Times New Roman" w:hAnsi="Times New Roman"/>
          <w:b w:val="0"/>
          <w:i w:val="0"/>
          <w:sz w:val="24"/>
          <w:u w:val="none"/>
        </w:rPr>
        <w:t>{{spolka_email}}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Jeżeli jedna ze Stron nie powiadomi drugiej o zmianie adresu do doręczeń, wszelkie oświadczenia, żądania, wezwania, informacje i dokumenty wysłane na podany powyżej adres, w tym adres poczty elektronicznej, będą uważane za skutecznie doręczone.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Zmiana adresu poczty elektronicznej nie stanowi zmiany Umowy.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Spółka wyraża zgodę na komunikację z Notariuszem przy użyciu poczty elektronicznej, w szczególności w zakresie powiadamiania o treści zamierzonego Wpisu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3 Kodeksu spółek handlowych) oraz o dokonanym Wpisie.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14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OCHRONA DANYCH OSOBOWYCH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Notariusz przetwarza dane osobowe jako niezależny administrator, na podstawie niniejszej Umowy, rozporządzenia Parlamentu Europejskiego i Rady (UE) 2016/679 z dnia 27 kwietnia 2016 r. (Dz. Urz. UE L 119 z 04.05.2016, s. 1), ustawy Prawo o notariacie i innych powszechnie obowiązujących przepisów prawa.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Informacja o przetwarzaniu danych osobowych stanowi Załącznik do niniejszej Umowy.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VIII. Obowiązywanie i rozwiązanie Umowy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15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WEJŚCIE W ŻYCIE I CZAS TRWANIA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gdy Spółka w dniu zawarcia niniejszej Umowy nie przedłoży Notariuszowi Uchwały, Umowa wchodzi w życie po jej przedłożeniu; za dzień wejścia w życie uznaje się wówczas dzień potwierdzenia przez Notariusza przedłożenia Uchwały przez Spółkę.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Umowa została zawarta na czas nieoznaczony.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16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ROZWIĄZANIE UMOWY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Spółka jest uprawniona do rozwiązania Umowy z zachowaniem jednomiesięcznego okresu wypowiedzenia wyłącznie w przypadku, gdy zawarła nową umowę o prowadzenie rejestru akcjonariuszy prostej spółki akcyjnej z innym podmiotem, o którym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handlowych. Warunkiem skuteczności rozwiązania Umowy jest uprzednie doręczenie Notariuszowi uchwały o wyborze nowego podmiotu prowadzącego rejestr akcjonariuszy oraz kopii nowej umowy.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Notariusz jest uprawniony do rozwiązania Umowy z zachowaniem trzymiesięcznego okresu wypowiedzenia z ważnych powodów, do których w szczególności należą: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naruszenie przez Spółkę postanowień Umowy;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naruszenie przez Spółkę przepisów prawa mogących w ocenie Notariusza zagrażać dalszemu wykonywaniu Usługi;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przedłożenie przez Spółkę podrobionych lub przerobionych dokumentów lub oczywiście nieprawdziwych informacji;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zaprzestanie prowadzenia działalności gospodarczej przez Spółkę;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wykorzystanie przez Spółkę lub Akcjonariusza Rejestru w celach sprzecznych z prawem;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6)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brak zapłaty wynagrodzenia lub zwrotu wydatków w terminie określonym w Umowie, pomimo uprzedniego wezwania;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7)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brak możliwości kontaktu ze Spółką, uniemożliwiający wykonywanie Usługi;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8)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zaistnienie braków w organach Spółki, uniemożliwiających jej funkcjonowanie;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9)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zajście zdarzenia uniemożliwiającego Notariuszowi wykonywanie Usługi.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okresie wypowiedzenia obie Strony zobowiązują się podejmować w dobrej wierze czynności zmierzające do zakończenia współpracy, w sposób zapewniający prowadzenie Rejestru zgodnie z Umową i przepisami prawa.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Umowa wygasa w przypadku wykreślenia Spółki z rejestru przedsiębiorców albo zaprzestania prowadzenia działalności przez Notariusza. Zamknięcie Rejestru następuje na podstawie postanowienia o wykreśleniu Spółki z rejestru przedsiębiorców.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17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ARCHIWIZACJA I PRZEKAZANIE DANYCH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Dokumenty i informacje związane z realizacją Usługi, w szczególności dokumenty będące podstawą Wpisu, przechowywane są przez Notariusza w postaci papierowej lub elektronicznej przez okres 6 lat, licząc od pierwszego dnia roku następującego po roku, w którym zostały sporządzone lub otrzymane.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rozwiązania Umowy dane zawarte w Rejestrze oraz dokumenty i informacje związane z realizacją Usługi zostaną niezwłocznie przekazane przez Notariusza podmiotowi, z którym Spółka zawarła nową umowę o prowadzenie rejestru akcjonariuszy. Notariusz jest uprawniony do sporządzenia i przechowywania ich kopii przez okres, o którym mowa w ust. 1. Spółka zobowiązana jest zapewnić Notariuszowi możliwość przekazania tych danych.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Jeśli po wykreśleniu Spółki z rejestru przedsiębiorców istnieje jej następca prawny, dane zawarte w Rejestrze oraz dokumenty i informacje związane z realizacją Usługi mogą zostać przekazane następcy prawnemu, o ile Spółka złożyła takie żądanie przed wykreśleniem z rejestru przedsiębiorców.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 chwilą zaprzestania prowadzenia działalności przez Notariusza dokumenty obejmujące dokonanie czynności notarialnych związanych z prowadzeniem Rejestru wraz z danymi stanowiącymi Rejestr Notariusz przekazuje radzie właściwej izby notarialnej, o czym prezes tej izby niezwłocznie zawiadamia Spółkę.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18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POSTANOWIENIA KOŃCOWE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Niniejsza Umowa została sporządzona w dwóch jednobrzmiących egzemplarzach, po jednym dla każdej ze Stron.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Wszelkie zmiany niniejszej Umowy wymagają dla swej ważności formy pisemnej lub formy elektronicznej pod rygorem nieważności.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Spory wynikające z niniejszej Umowy lub z nią związane rozstrzygane będą przez sąd powszechny właściwy dla siedziby Kancelarii Notarialnej.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Za Spółkę</w:t>
            </w:r>
          </w:p>
        </w:tc>
        <w:tc>
          <w:tcPr>
            <w:tcW w:type="dxa" w:w="4536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Za Notariusza</w:t>
            </w:r>
          </w:p>
        </w:tc>
      </w:tr>
      <w:tr>
        <w:tc>
          <w:tcPr>
            <w:tcW w:type="dxa" w:w="4536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..............................................</w:t>
            </w:r>
          </w:p>
        </w:tc>
        <w:tc>
          <w:tcPr>
            <w:tcW w:type="dxa" w:w="4536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..............................................</w:t>
            </w:r>
          </w:p>
        </w:tc>
      </w:tr>
    </w:tbl>
    <w:p>
      <w:pPr>
        <w:spacing w:before="320" w:after="40" w:line="276" w:lineRule="auto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Załącznik – Informacja o przetwarzaniu danych osobowych w rejestrze akcjonariuszy prostej spółki akcyjnej.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