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 xml:space="preserve">Kancelaria Notarialna, notariusz: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{{notariusz_mianownik}}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{{kancelaria_ulica}}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{{kancelaria_kod}}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{{kancelaria_email}}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tel.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{{kancelaria_telefon}}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podmiot prowadzący rejestr akcjonariuszy</w:t>
            </w:r>
          </w:p>
        </w:tc>
        <w:tc>
          <w:tcPr>
            <w:tcW w:type="dxa" w:w="4536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dnia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{{pismo_data}}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r.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Znak sprawy: </w:t>
      </w:r>
      <w:r>
        <w:rPr>
          <w:rFonts w:ascii="Times New Roman" w:hAnsi="Times New Roman"/>
          <w:b w:val="0"/>
          <w:i w:val="0"/>
          <w:sz w:val="20"/>
          <w:u w:val="none"/>
        </w:rPr>
        <w:t>{{sprawa_numer}}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Osoba żądająca wpisu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{{adresat_nazwa}}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{{adresat_adres}}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ZAWIADOMIENIE O NIEDOKONANIU WPISU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7 zdanie drugie Kodeksu spółek handlowych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Jako podmiot prowadzący rejestr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akcyjna, siedziba: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{{spolka_siedziba_mianownik}}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zawiadamiam, że nie dokonano wpisu żądanego w dniu </w:t>
      </w:r>
      <w:r>
        <w:rPr>
          <w:rFonts w:ascii="Times New Roman" w:hAnsi="Times New Roman"/>
          <w:b w:val="0"/>
          <w:i w:val="0"/>
          <w:sz w:val="24"/>
          <w:u w:val="none"/>
        </w:rPr>
        <w:t>{{zadanie_data_wplywu}}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dotyczącego: </w:t>
      </w:r>
      <w:r>
        <w:rPr>
          <w:rFonts w:ascii="Times New Roman" w:hAnsi="Times New Roman"/>
          <w:b w:val="0"/>
          <w:i w:val="0"/>
          <w:sz w:val="24"/>
          <w:u w:val="none"/>
        </w:rPr>
        <w:t>{{wpis_opis}}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Przyczyny niedokonania wpisu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{{#przyczyny}}</w:t>
      </w:r>
    </w:p>
    <w:p>
      <w:pPr>
        <w:spacing w:before="0" w:after="60" w:line="276" w:lineRule="auto"/>
        <w:ind w:left="425" w:hanging="283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— </w:t>
      </w:r>
      <w:r>
        <w:rPr>
          <w:rFonts w:ascii="Times New Roman" w:hAnsi="Times New Roman"/>
          <w:b w:val="0"/>
          <w:i w:val="0"/>
          <w:sz w:val="24"/>
          <w:u w:val="none"/>
        </w:rPr>
        <w:t>{{przyczyna_opis}}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{{/przyczyny}}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Niedokonanie wpisu nie zamyka drogi do ponownego złożenia żądania po ustaniu przyczyn wskazanych powyżej.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>Podmiot prowadzący rejestr akcjonariuszy nie rozstrzyga sporów o prawo do akcji. W razie sporu podstawę wpisu może stanowić orzeczenie sądu.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Wobec spółki za akcjonariusza uważa się tylko tę osobę, która jest wpisana do rejestru akcjonariuszy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38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Kodeksu spółek handlowych).</w:t>
      </w:r>
    </w:p>
    <w:p>
      <w:pPr>
        <w:spacing w:before="520" w:after="0" w:line="276" w:lineRule="auto"/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2"/>
          <w:u w:val="none"/>
        </w:rPr>
        <w:t>{{podpisujacy_funkcja}}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2"/>
          <w:u w:val="none"/>
        </w:rPr>
        <w:t>{{podpisujacy_mianownik}}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/>
          <w:sz w:val="18"/>
          <w:u w:val="none"/>
        </w:rPr>
        <w:t>podmiot prowadzący rejestr akcjonariuszy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