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 xml:space="preserve">Kancelaria Notarialna Notariusza </w:t>
            </w: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{{notariusz_dopelniacz}}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ulica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{{kancelaria_ulica}}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{{kancelaria_kod}}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{{kancelaria_miasto}}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{{kancelaria_email}}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tel.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{{kancelaria_telefon}}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podmiot prowadzący rejestr akcjonariuszy</w:t>
            </w:r>
          </w:p>
        </w:tc>
        <w:tc>
          <w:tcPr>
            <w:tcW w:type="dxa" w:w="4536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{{kancelaria_miasto}}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dnia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{{pismo_data}}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r.</w:t>
            </w:r>
          </w:p>
        </w:tc>
      </w:tr>
    </w:tbl>
    <w:p/>
    <w:p>
      <w:pPr>
        <w:spacing w:before="0" w:after="20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Znak sprawy: </w:t>
      </w:r>
      <w:r>
        <w:rPr>
          <w:rFonts w:ascii="Times New Roman" w:hAnsi="Times New Roman"/>
          <w:b w:val="0"/>
          <w:i w:val="0"/>
          <w:sz w:val="20"/>
          <w:u w:val="none"/>
        </w:rPr>
        <w:t>{{sprawa_numer}}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Osoba żądająca wpisu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{{adresat_nazwa}}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{{adresat_adres}}</w:t>
            </w:r>
          </w:p>
        </w:tc>
      </w:tr>
    </w:tbl>
    <w:p/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ZAWIADOMIENIE O NIEDOKONANIU WPISU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34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7 zdanie drugie Kodeksu spółek handlowych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Jako podmiot prowadzący rejestr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{{spolka_firma}}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 z siedzibą w </w:t>
      </w:r>
      <w:r>
        <w:rPr>
          <w:rFonts w:ascii="Times New Roman" w:hAnsi="Times New Roman"/>
          <w:b w:val="0"/>
          <w:i w:val="0"/>
          <w:sz w:val="24"/>
          <w:u w:val="none"/>
        </w:rPr>
        <w:t>{{spolka_siedziba_miejscownik}}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wpisanej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{{spolka_sad_rejestrowy}}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{{spolka_krs}}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{{spolka_nip}}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zawiadamiam, że nie dokonano wpisu żądanego w dniu </w:t>
      </w:r>
      <w:r>
        <w:rPr>
          <w:rFonts w:ascii="Times New Roman" w:hAnsi="Times New Roman"/>
          <w:b w:val="0"/>
          <w:i w:val="0"/>
          <w:sz w:val="24"/>
          <w:u w:val="none"/>
        </w:rPr>
        <w:t>{{zadanie_data_wplywu}}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dotyczącego: </w:t>
      </w:r>
      <w:r>
        <w:rPr>
          <w:rFonts w:ascii="Times New Roman" w:hAnsi="Times New Roman"/>
          <w:b w:val="0"/>
          <w:i w:val="0"/>
          <w:sz w:val="24"/>
          <w:u w:val="none"/>
        </w:rPr>
        <w:t>{{wpis_opis}}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Przyczyny niedokonania wpisu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{{#przyczyny}}</w:t>
      </w:r>
    </w:p>
    <w:p>
      <w:pPr>
        <w:spacing w:before="0" w:after="60" w:line="276" w:lineRule="auto"/>
        <w:ind w:left="425" w:hanging="283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— </w:t>
      </w:r>
      <w:r>
        <w:rPr>
          <w:rFonts w:ascii="Times New Roman" w:hAnsi="Times New Roman"/>
          <w:b w:val="0"/>
          <w:i w:val="0"/>
          <w:sz w:val="24"/>
          <w:u w:val="none"/>
        </w:rPr>
        <w:t>{{przyczyna_opis}}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{{/przyczyny}}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Pouczenie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Niedokonanie wpisu nie zamyka drogi do ponownego złożenia żądania po ustaniu przyczyn wskazanych powyżej.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Podmiot prowadzący rejestr akcjonariuszy nie rozstrzyga sporów o prawo do akcji. W razie sporu podstawę wpisu może stanowić orzeczenie sądu.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Wobec spółki za akcjonariusza uważa się tylko tę osobę, która jest wpisana do rejestru akcjonariuszy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38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p>
      <w:pPr>
        <w:spacing w:before="520" w:after="0" w:line="276" w:lineRule="auto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sz w:val="22"/>
          <w:u w:val="none"/>
        </w:rPr>
        <w:t>{{podpisujacy_funkcja}}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2"/>
          <w:u w:val="none"/>
        </w:rPr>
        <w:t>{{podpisujacy_mianownik}}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sz w:val="18"/>
          <w:u w:val="none"/>
        </w:rPr>
        <w:t>podmiot prowadzący rejestr akcjonariuszy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