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sz w:val="20"/>
          <w:u w:val="none"/>
        </w:rPr>
        <w:t>CHARLIE UNICORN AI</w:t>
      </w:r>
      <w:r>
        <w:rPr>
          <w:rFonts w:ascii="Times New Roman" w:hAnsi="Times New Roman"/>
          <w:b/>
          <w:i w:val="0"/>
          <w:sz w:val="20"/>
          <w:u w:val="none"/>
        </w:rPr>
        <w:t xml:space="preserve"> prosta spółka akcyjna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>00-697 Warszawa, ulica Aleje Jerozolimskie nr 51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KRS </w:t>
      </w:r>
      <w:r>
        <w:rPr>
          <w:rFonts w:ascii="Times New Roman" w:hAnsi="Times New Roman"/>
          <w:b w:val="0"/>
          <w:i w:val="0"/>
          <w:sz w:val="20"/>
          <w:u w:val="none"/>
        </w:rPr>
        <w:t>0001257646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0"/>
          <w:u w:val="none"/>
        </w:rPr>
        <w:t>7011325910</w:t>
      </w:r>
    </w:p>
    <w:p>
      <w:pPr>
        <w:spacing w:before="120" w:after="200" w:line="276" w:lineRule="auto"/>
        <w:jc w:val="right"/>
      </w:pPr>
      <w:r>
        <w:rPr>
          <w:rFonts w:ascii="Times New Roman" w:hAnsi="Times New Roman"/>
          <w:b w:val="0"/>
          <w:i w:val="0"/>
          <w:sz w:val="20"/>
          <w:u w:val="none"/>
        </w:rPr>
        <w:t>Warszawa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, dnia </w:t>
      </w:r>
      <w:r>
        <w:rPr>
          <w:rFonts w:ascii="Times New Roman" w:hAnsi="Times New Roman"/>
          <w:b w:val="0"/>
          <w:i w:val="0"/>
          <w:sz w:val="20"/>
          <w:u w:val="none"/>
        </w:rPr>
        <w:t>13.08.2026</w:t>
      </w:r>
      <w:r>
        <w:rPr>
          <w:rFonts w:ascii="Times New Roman" w:hAnsi="Times New Roman"/>
          <w:b w:val="0"/>
          <w:i w:val="0"/>
          <w:sz w:val="20"/>
          <w:u w:val="none"/>
        </w:rPr>
        <w:t xml:space="preserve"> 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Do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Jan Kowalski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80-180 Gdańsk, ulica Kwiatowa nr 4 m. 2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LISTA AKCJONARIUSZY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8 Kodeksu spółek handlowych</w:t>
      </w:r>
    </w:p>
    <w:p>
      <w:pPr>
        <w:spacing w:before="0" w:after="20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Niniejsza lista obejmuje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CHARLIE UNICORN 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według stanu rejestru akcjonariuszy na dzień </w:t>
      </w:r>
      <w:r>
        <w:rPr>
          <w:rFonts w:ascii="Times New Roman" w:hAnsi="Times New Roman"/>
          <w:b w:val="0"/>
          <w:i w:val="0"/>
          <w:sz w:val="24"/>
          <w:u w:val="none"/>
        </w:rPr>
        <w:t>13.08.2026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Lp.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Nazwisko i imię albo firma (nazwa)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Seria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Liczba akcji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Wzmianka o zastawie lub użytkowaniu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Jan Kowalski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250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brak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Łukasz Adrian Szymborski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750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brak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</w:r>
          </w:p>
        </w:tc>
      </w:tr>
    </w:tbl>
    <w:p>
      <w:pPr>
        <w:spacing w:before="200" w:after="12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Łączna liczba akcji: </w:t>
      </w:r>
      <w:r>
        <w:rPr>
          <w:rFonts w:ascii="Times New Roman" w:hAnsi="Times New Roman"/>
          <w:b w:val="0"/>
          <w:i w:val="0"/>
          <w:sz w:val="24"/>
          <w:u w:val="none"/>
        </w:rPr>
        <w:t>1000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Rejestr akcjonariuszy spółki prowadzi Kancelaria Notarialna Notariusza </w:t>
      </w:r>
      <w:r>
        <w:rPr>
          <w:rFonts w:ascii="Times New Roman" w:hAnsi="Times New Roman"/>
          <w:b w:val="0"/>
          <w:i w:val="0"/>
          <w:sz w:val="24"/>
          <w:u w:val="none"/>
        </w:rPr>
        <w:t>Łukasza Kozona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ulica </w:t>
      </w:r>
      <w:r>
        <w:rPr>
          <w:rFonts w:ascii="Times New Roman" w:hAnsi="Times New Roman"/>
          <w:b w:val="0"/>
          <w:i w:val="0"/>
          <w:sz w:val="24"/>
          <w:u w:val="none"/>
        </w:rPr>
        <w:t>Bolesława Leśmiana nr 3/U10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Times New Roman" w:hAnsi="Times New Roman"/>
          <w:b w:val="0"/>
          <w:i w:val="0"/>
          <w:sz w:val="24"/>
          <w:u w:val="none"/>
        </w:rPr>
        <w:t>80-280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4"/>
          <w:u w:val="none"/>
        </w:rPr>
        <w:t>Gdańsk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320" w:after="0" w:line="276" w:lineRule="auto"/>
        <w:jc w:val="left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Łukasz Adrian Szymborski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/>
          <w:sz w:val="18"/>
          <w:u w:val="none"/>
        </w:rPr>
        <w:t>Prezes Zarządu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