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 xml:space="preserve">Kancelaria Notarialna Notariusza </w:t>
            </w:r>
            <w:r>
              <w:rPr>
                <w:rFonts w:ascii="Times New Roman" w:hAnsi="Times New Roman"/>
                <w:b/>
                <w:i w:val="0"/>
                <w:sz w:val="20"/>
                <w:u w:val="none"/>
              </w:rPr>
              <w:t>Łukasza Kozona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ulica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Bolesława Leśmiana nr 3/U10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,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80-280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Gdańsk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biuro@notariusz.gdansk.pl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, tel.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+48 455 406 290</w:t>
            </w:r>
          </w:p>
          <w:p>
            <w:pPr>
              <w:spacing w:after="0"/>
              <w:jc w:val="left"/>
            </w:pPr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podmiot prowadzący rejestr akcjonariuszy</w:t>
            </w:r>
          </w:p>
        </w:tc>
        <w:tc>
          <w:tcPr>
            <w:tcW w:type="dxa" w:w="4536"/>
          </w:tcPr>
          <w:p>
            <w:pPr>
              <w:jc w:val="righ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Gdańsk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, dnia 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>13.08.2026</w:t>
            </w:r>
            <w:r>
              <w:rPr>
                <w:rFonts w:ascii="Times New Roman" w:hAnsi="Times New Roman"/>
                <w:b w:val="0"/>
                <w:i w:val="0"/>
                <w:sz w:val="20"/>
                <w:u w:val="none"/>
              </w:rPr>
              <w:t xml:space="preserve"> r.</w:t>
            </w:r>
          </w:p>
        </w:tc>
      </w:tr>
    </w:tbl>
    <w:p/>
    <w:p>
      <w:pPr>
        <w:spacing w:before="0" w:after="200" w:line="276" w:lineRule="auto"/>
        <w:jc w:val="left"/>
      </w:pPr>
      <w:r>
        <w:rPr>
          <w:rFonts w:ascii="Times New Roman" w:hAnsi="Times New Roman"/>
          <w:b w:val="0"/>
          <w:i w:val="0"/>
          <w:sz w:val="20"/>
          <w:u w:val="none"/>
        </w:rPr>
        <w:t xml:space="preserve">Znak sprawy: </w:t>
      </w:r>
      <w:r>
        <w:rPr>
          <w:rFonts w:ascii="Times New Roman" w:hAnsi="Times New Roman"/>
          <w:b w:val="0"/>
          <w:i w:val="0"/>
          <w:sz w:val="20"/>
          <w:u w:val="none"/>
        </w:rPr>
        <w:t>RA/2026/0042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Times New Roman" w:hAnsi="Times New Roman"/>
                <w:b w:val="0"/>
                <w:i/>
                <w:sz w:val="20"/>
                <w:u w:val="none"/>
              </w:rPr>
              <w:t>Osoba żądająca wpisu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Jan Kowalski</w:t>
            </w:r>
          </w:p>
          <w:p>
            <w:pPr>
              <w:spacing w:after="0"/>
            </w:pPr>
            <w:r>
              <w:rPr>
                <w:rFonts w:ascii="Times New Roman" w:hAnsi="Times New Roman"/>
                <w:b w:val="0"/>
                <w:i w:val="0"/>
                <w:sz w:val="24"/>
                <w:u w:val="none"/>
              </w:rPr>
              <w:t>80-180 Gdańsk, ulica Kwiatowa nr 4 m. 2</w:t>
            </w:r>
          </w:p>
        </w:tc>
      </w:tr>
    </w:tbl>
    <w:p/>
    <w:p>
      <w:pPr>
        <w:spacing w:before="120" w:after="40" w:line="276" w:lineRule="auto"/>
        <w:jc w:val="center"/>
      </w:pPr>
      <w:r>
        <w:rPr>
          <w:rFonts w:ascii="Times New Roman" w:hAnsi="Times New Roman"/>
          <w:b/>
          <w:i w:val="0"/>
          <w:sz w:val="26"/>
          <w:u w:val="none"/>
        </w:rPr>
        <w:t>ZAWIADOMIENIE O NIEDOKONANIU WPISU</w:t>
      </w:r>
    </w:p>
    <w:p>
      <w:pPr>
        <w:spacing w:before="0" w:after="280" w:line="276" w:lineRule="auto"/>
        <w:jc w:val="center"/>
      </w:pPr>
      <w:r>
        <w:rPr>
          <w:rFonts w:ascii="Times New Roman" w:hAnsi="Times New Roman"/>
          <w:b w:val="0"/>
          <w:i/>
          <w:sz w:val="20"/>
          <w:u w:val="none"/>
        </w:rPr>
        <w:t xml:space="preserve">art. </w:t>
      </w:r>
      <w:r>
        <w:rPr>
          <w:rFonts w:ascii="Times New Roman" w:hAnsi="Times New Roman"/>
          <w:b w:val="0"/>
          <w:i/>
          <w:sz w:val="20"/>
          <w:u w:val="none"/>
        </w:rPr>
        <w:t>300</w:t>
      </w:r>
      <w:r>
        <w:rPr>
          <w:rFonts w:ascii="Times New Roman" w:hAnsi="Times New Roman"/>
          <w:b w:val="0"/>
          <w:i/>
          <w:sz w:val="20"/>
          <w:u w:val="none"/>
          <w:vertAlign w:val="superscript"/>
        </w:rPr>
        <w:t>34</w:t>
      </w:r>
      <w:r>
        <w:rPr>
          <w:rFonts w:ascii="Times New Roman" w:hAnsi="Times New Roman"/>
          <w:b w:val="0"/>
          <w:i/>
          <w:sz w:val="20"/>
          <w:u w:val="none"/>
        </w:rPr>
        <w:t xml:space="preserve"> § 7 zdanie drugie Kodeksu spółek handlowych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Jako podmiot prowadzący rejestr akcjonariuszy spółki </w:t>
      </w:r>
      <w:r>
        <w:rPr>
          <w:rFonts w:ascii="Times New Roman" w:hAnsi="Times New Roman"/>
          <w:b w:val="0"/>
          <w:i w:val="0"/>
          <w:sz w:val="24"/>
          <w:u w:val="none"/>
        </w:rPr>
        <w:t>CHARLIE UNICORN AI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prosta spółka akcyjna z siedzibą w </w:t>
      </w:r>
      <w:r>
        <w:rPr>
          <w:rFonts w:ascii="Times New Roman" w:hAnsi="Times New Roman"/>
          <w:b w:val="0"/>
          <w:i w:val="0"/>
          <w:sz w:val="24"/>
          <w:u w:val="none"/>
        </w:rPr>
        <w:t>Warszawie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wpisanej do rejestru przedsiębiorców Krajowego Rejestru Sądowego prowadzonego przez </w:t>
      </w:r>
      <w:r>
        <w:rPr>
          <w:rFonts w:ascii="Times New Roman" w:hAnsi="Times New Roman"/>
          <w:b w:val="0"/>
          <w:i w:val="0"/>
          <w:sz w:val="24"/>
          <w:u w:val="none"/>
        </w:rPr>
        <w:t>Sąd Rejonowy dla m.st. Warszawy w Warszawie, XII Wydział Gospodarczy Krajowego Rejestru Sądowego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pod numerem KRS </w:t>
      </w:r>
      <w:r>
        <w:rPr>
          <w:rFonts w:ascii="Times New Roman" w:hAnsi="Times New Roman"/>
          <w:b w:val="0"/>
          <w:i w:val="0"/>
          <w:sz w:val="24"/>
          <w:u w:val="none"/>
        </w:rPr>
        <w:t>0001257646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NIP </w:t>
      </w:r>
      <w:r>
        <w:rPr>
          <w:rFonts w:ascii="Times New Roman" w:hAnsi="Times New Roman"/>
          <w:b w:val="0"/>
          <w:i w:val="0"/>
          <w:sz w:val="24"/>
          <w:u w:val="none"/>
        </w:rPr>
        <w:t>7011325910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zawiadamiam, że nie dokonano wpisu żądanego w dniu </w:t>
      </w:r>
      <w:r>
        <w:rPr>
          <w:rFonts w:ascii="Times New Roman" w:hAnsi="Times New Roman"/>
          <w:b w:val="0"/>
          <w:i w:val="0"/>
          <w:sz w:val="24"/>
          <w:u w:val="none"/>
        </w:rPr>
        <w:t>10.08.2026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, dotyczącego: </w:t>
      </w:r>
      <w:r>
        <w:rPr>
          <w:rFonts w:ascii="Times New Roman" w:hAnsi="Times New Roman"/>
          <w:b w:val="0"/>
          <w:i w:val="0"/>
          <w:sz w:val="24"/>
          <w:u w:val="none"/>
        </w:rPr>
        <w:t>wykreślenie Anny Nowak jako uprawnionej z 250 akcji serii A o numerach od 1 do 250 i wpisanie w to miejsce Jana Kowalskiego</w:t>
      </w:r>
      <w:r>
        <w:rPr>
          <w:rFonts w:ascii="Times New Roman" w:hAnsi="Times New Roman"/>
          <w:b w:val="0"/>
          <w:i w:val="0"/>
          <w:sz w:val="24"/>
          <w:u w:val="none"/>
        </w:rPr>
        <w:t>.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Przyczyny niedokonania wpisu</w:t>
      </w:r>
    </w:p>
    <w:p>
      <w:pPr>
        <w:spacing w:before="0" w:after="60" w:line="276" w:lineRule="auto"/>
        <w:ind w:left="425" w:hanging="283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 xml:space="preserve">— </w:t>
      </w:r>
      <w:r>
        <w:rPr>
          <w:rFonts w:ascii="Times New Roman" w:hAnsi="Times New Roman"/>
          <w:b w:val="0"/>
          <w:i w:val="0"/>
          <w:sz w:val="24"/>
          <w:u w:val="none"/>
        </w:rPr>
        <w:t>nieusunięcie przeszkody w wyznaczonym terminie</w:t>
      </w:r>
    </w:p>
    <w:p>
      <w:pPr>
        <w:spacing w:before="240" w:after="80" w:line="276" w:lineRule="auto"/>
        <w:jc w:val="left"/>
      </w:pPr>
      <w:r>
        <w:rPr>
          <w:rFonts w:ascii="Times New Roman" w:hAnsi="Times New Roman"/>
          <w:b/>
          <w:i w:val="0"/>
          <w:sz w:val="24"/>
          <w:u w:val="none"/>
        </w:rPr>
        <w:t>Pouczenie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1.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Niedokonanie wpisu nie zamyka drogi do ponownego złożenia żądania po ustaniu przyczyn wskazanych powyżej.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2.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>Podmiot prowadzący rejestr akcjonariuszy nie rozstrzyga sporów o prawo do akcji. W razie sporu podstawę wpisu może stanowić orzeczenie sądu.</w:t>
      </w:r>
    </w:p>
    <w:p>
      <w:pPr>
        <w:tabs>
          <w:tab w:pos="425" w:val="left"/>
        </w:tabs>
        <w:spacing w:before="0" w:after="60" w:line="276" w:lineRule="auto"/>
        <w:ind w:left="425" w:hanging="425"/>
        <w:jc w:val="both"/>
      </w:pPr>
      <w:r>
        <w:rPr>
          <w:rFonts w:ascii="Times New Roman" w:hAnsi="Times New Roman"/>
          <w:b w:val="0"/>
          <w:i w:val="0"/>
          <w:sz w:val="24"/>
          <w:u w:val="none"/>
        </w:rPr>
        <w:t>3.</w:t>
        <w:tab/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Wobec spółki za akcjonariusza uważa się tylko tę osobę, która jest wpisana do rejestru akcjonariuszy (art. </w:t>
      </w:r>
      <w:r>
        <w:rPr>
          <w:rFonts w:ascii="Times New Roman" w:hAnsi="Times New Roman"/>
          <w:b w:val="0"/>
          <w:i w:val="0"/>
          <w:sz w:val="24"/>
          <w:u w:val="none"/>
        </w:rPr>
        <w:t>300</w:t>
      </w:r>
      <w:r>
        <w:rPr>
          <w:rFonts w:ascii="Times New Roman" w:hAnsi="Times New Roman"/>
          <w:b w:val="0"/>
          <w:i w:val="0"/>
          <w:sz w:val="24"/>
          <w:u w:val="none"/>
          <w:vertAlign w:val="superscript"/>
        </w:rPr>
        <w:t>38</w:t>
      </w:r>
      <w:r>
        <w:rPr>
          <w:rFonts w:ascii="Times New Roman" w:hAnsi="Times New Roman"/>
          <w:b w:val="0"/>
          <w:i w:val="0"/>
          <w:sz w:val="24"/>
          <w:u w:val="none"/>
        </w:rPr>
        <w:t xml:space="preserve"> § 1 Kodeksu spółek handlowych).</w:t>
      </w:r>
    </w:p>
    <w:p>
      <w:pPr>
        <w:spacing w:before="520" w:after="0" w:line="276" w:lineRule="auto"/>
        <w:jc w:val="center"/>
      </w:pPr>
      <w:r>
        <w:rPr>
          <w:rFonts w:ascii="Times New Roman" w:hAnsi="Times New Roman"/>
          <w:b w:val="0"/>
          <w:i w:val="0"/>
          <w:sz w:val="24"/>
          <w:u w:val="none"/>
        </w:rPr>
        <w:t>.................................................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sz w:val="22"/>
          <w:u w:val="none"/>
        </w:rPr>
        <w:t>Notariusz</w:t>
      </w:r>
      <w:r>
        <w:rPr>
          <w:rFonts w:ascii="Times New Roman" w:hAnsi="Times New Roman"/>
          <w:b w:val="0"/>
          <w:i w:val="0"/>
          <w:sz w:val="22"/>
          <w:u w:val="none"/>
        </w:rPr>
        <w:t xml:space="preserve"> </w:t>
      </w:r>
      <w:r>
        <w:rPr>
          <w:rFonts w:ascii="Times New Roman" w:hAnsi="Times New Roman"/>
          <w:b w:val="0"/>
          <w:i w:val="0"/>
          <w:sz w:val="22"/>
          <w:u w:val="none"/>
        </w:rPr>
        <w:t>Łukasz Kozon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sz w:val="18"/>
          <w:u w:val="none"/>
        </w:rPr>
        <w:t>podmiot prowadzący rejestr akcjonariuszy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76" w:lineRule="auto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