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Klauzula do umowy zbycia albo obciążenia akcji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prostej spółki akcyjnej</w:t>
      </w:r>
    </w:p>
    <w:p>
      <w:pPr>
        <w:spacing w:before="0" w:after="280" w:line="276" w:lineRule="auto"/>
        <w:jc w:val="both"/>
      </w:pPr>
      <w:r>
        <w:rPr>
          <w:rFonts w:ascii="Times New Roman" w:hAnsi="Times New Roman"/>
          <w:b w:val="0"/>
          <w:i/>
          <w:sz w:val="22"/>
          <w:u w:val="none"/>
        </w:rPr>
        <w:t>Poniższą klauzulę należy zamieścić w umowie przenoszącej akcje albo ustanawiającej na nich ograniczone prawo rzeczowe. Jej zamieszczenie sprawia, że nie jest konieczne składanie odrębnego żądania wpisu ani odrębnej zgody, a podmiot prowadzący rejestr nie ma obowiązku uprzedniego powiadomienia o treści zamierzonego wpisu.</w:t>
      </w:r>
    </w:p>
    <w:p>
      <w:pPr>
        <w:spacing w:before="120" w:after="16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 xml:space="preserve">§ </w:t>
      </w:r>
      <w:r>
        <w:rPr>
          <w:rFonts w:ascii="Times New Roman" w:hAnsi="Times New Roman"/>
          <w:b/>
          <w:i w:val="0"/>
          <w:sz w:val="24"/>
          <w:u w:val="none"/>
        </w:rPr>
        <w:t>7</w:t>
      </w:r>
      <w:r>
        <w:rPr>
          <w:rFonts w:ascii="Times New Roman" w:hAnsi="Times New Roman"/>
          <w:b/>
          <w:i w:val="0"/>
          <w:sz w:val="24"/>
          <w:u w:val="none"/>
        </w:rPr>
        <w:t>. Zgoda na wpis w rejestrze akcjonariuszy i żądanie wpisu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Zbywca, jako osoba, której uprawnienia z akcji objętych niniejszą umową zostaną przez wpis wykreślone albo obciążone, wyraża zgodę na dokonanie w rejestrze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CHARLIE UNICORN AI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 z siedzibą w </w:t>
      </w:r>
      <w:r>
        <w:rPr>
          <w:rFonts w:ascii="Times New Roman" w:hAnsi="Times New Roman"/>
          <w:b w:val="0"/>
          <w:i w:val="0"/>
          <w:sz w:val="24"/>
          <w:u w:val="none"/>
        </w:rPr>
        <w:t>Warszawie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KRS </w:t>
      </w:r>
      <w:r>
        <w:rPr>
          <w:rFonts w:ascii="Times New Roman" w:hAnsi="Times New Roman"/>
          <w:b w:val="0"/>
          <w:i w:val="0"/>
          <w:sz w:val="24"/>
          <w:u w:val="none"/>
        </w:rPr>
        <w:t>0001257646</w:t>
      </w:r>
      <w:r>
        <w:rPr>
          <w:rFonts w:ascii="Times New Roman" w:hAnsi="Times New Roman"/>
          <w:b w:val="0"/>
          <w:i w:val="0"/>
          <w:sz w:val="24"/>
          <w:u w:val="none"/>
        </w:rPr>
        <w:t>, wpisu wynikającego z niniejszej umowy. Zgoda dotyczy wyłącznie tego wpisu.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Wobec zgody wyrażonej w ust. 1 powiadomienie, o którym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3 Kodeksu spółek handlowych, nie jest wymagane.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Strony wspólnie żądają dokonania wpisu i upoważniają każdą z nich do przedłożenia niniejszej umowy podmiotowi prowadzącemu rejestr akcjonariuszy jako dokumentu uzasadniającego wpis.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Strony wskazują następujące adresy do doręczania powiadomień i zawiadomień dotyczących wpisu: Zbywca — </w:t>
      </w:r>
      <w:r>
        <w:rPr>
          <w:rFonts w:ascii="Times New Roman" w:hAnsi="Times New Roman"/>
          <w:b w:val="0"/>
          <w:i w:val="0"/>
          <w:sz w:val="24"/>
          <w:u w:val="none"/>
        </w:rPr>
        <w:t>anna@nowak.pl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; Nabywca — </w:t>
      </w:r>
      <w:r>
        <w:rPr>
          <w:rFonts w:ascii="Times New Roman" w:hAnsi="Times New Roman"/>
          <w:b w:val="0"/>
          <w:i w:val="0"/>
          <w:sz w:val="24"/>
          <w:u w:val="none"/>
        </w:rPr>
        <w:t>jan@kowalski.pl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Strony oświadczają, że akcje objęte niniejszą umową </w:t>
      </w:r>
      <w:r>
        <w:rPr>
          <w:rFonts w:ascii="Times New Roman" w:hAnsi="Times New Roman"/>
          <w:b w:val="0"/>
          <w:i w:val="0"/>
          <w:sz w:val="24"/>
          <w:u w:val="none"/>
        </w:rPr>
        <w:t>zostały w całości pokryte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oraz że </w:t>
      </w:r>
      <w:r>
        <w:rPr>
          <w:rFonts w:ascii="Times New Roman" w:hAnsi="Times New Roman"/>
          <w:b w:val="0"/>
          <w:i w:val="0"/>
          <w:sz w:val="24"/>
          <w:u w:val="none"/>
        </w:rPr>
        <w:t>umowa spółki nie ogranicza rozporządzania akcjami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