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zg2j0h2q2ebi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1. Dada la siguiente estructura de clases: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RocheOffice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Marca, de las siguientes respuestas, aquellas que al ejecutarlas provocarían una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RuntimeException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RocheOffice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rocheOffice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RocheOffice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rocheOffice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optimizedLandraOffice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RocheOffice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rocheOffice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rtl w:val="0"/>
        </w:rPr>
        <w:t xml:space="preserve">RocheOffice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d9ead3" w:val="clear"/>
          <w:rtl w:val="0"/>
        </w:rPr>
        <w:t xml:space="preserve"> optimizedLandraOffice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landraOffice = (</w:t>
      </w:r>
      <w:r w:rsidDel="00000000" w:rsidR="00000000" w:rsidRPr="00000000">
        <w:rPr>
          <w:rFonts w:ascii="Courier New" w:cs="Courier New" w:eastAsia="Courier New" w:hAnsi="Courier New"/>
          <w:b w:val="1"/>
          <w:color w:val="445588"/>
          <w:sz w:val="20"/>
          <w:szCs w:val="20"/>
          <w:shd w:fill="d9ead3" w:val="clear"/>
          <w:rtl w:val="0"/>
        </w:rPr>
        <w:t xml:space="preserve">LandraOffice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d9ead3" w:val="clear"/>
          <w:rtl w:val="0"/>
        </w:rPr>
        <w:t xml:space="preserve">) office;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