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00"/>
        </w:tblCellMar>
      </w:tblPr>
      <w:tblGrid>
        <w:gridCol w:w="9360"/>
      </w:tblGrid>
      <w:tr>
        <w:tc>
          <w:tcPr>
            <w:tcW w:type="dxa" w:w="9360"/>
            <w:shd w:fill="1A1A2E" w:val="clear"/>
            <w:tcMar>
              <w:top w:type="dxa" w:w="800"/>
              <w:left w:type="dxa" w:w="700"/>
              <w:bottom w:type="dxa" w:w="800"/>
              <w:right w:type="dxa" w:w="7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54"/>
                <w:szCs w:val="54"/>
              </w:rPr>
              <w:t xml:space="preserve">THOR METAL ART</w:t>
            </w:r>
          </w:p>
          <w:p>
            <w:pPr>
              <w:spacing w:after="280" w:before="0"/>
              <w:jc w:val="center"/>
            </w:pPr>
            <w:r>
              <w:rPr>
                <w:rFonts w:ascii="Arial" w:cs="Arial" w:eastAsia="Arial" w:hAnsi="Arial"/>
                <w:color w:val="CCCCCC"/>
                <w:spacing w:val="200"/>
                <w:sz w:val="24"/>
                <w:szCs w:val="24"/>
              </w:rPr>
              <w:t xml:space="preserve">MIAMI, FLORIDA</w:t>
            </w:r>
          </w:p>
          <w:p>
            <w:pPr>
              <w:pBdr>
                <w:top w:val="single" w:color="B8860B" w:sz="4"/>
                <w:bottom w:val="single" w:color="B8860B" w:sz="4"/>
              </w:pBd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PROPUESTA DE CONSULTORÍA DIGITAL</w:t>
            </w:r>
          </w:p>
          <w:p>
            <w:pPr>
              <w:spacing w:after="0" w:befor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1"/>
                <w:szCs w:val="21"/>
              </w:rPr>
              <w:t xml:space="preserve">Solidificación de Presencia Digital Dual (Artista + Productor)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Preparado para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Karel Frometa — Thor Metal Art LLC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Fecha de propuesta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[Completar]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Validez de la propuesta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30 días desde la fecha de emisión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v1.0 — Propuesta inicial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Preparado por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[Nombre del consultor]</w:t>
            </w:r>
          </w:p>
        </w:tc>
      </w:tr>
    </w:tbl>
    <w:p>
      <w:pPr>
        <w:pStyle w:val="Heading1"/>
        <w:pBdr>
          <w:bottom w:val="single" w:color="B8860B" w:sz="8" w:space="5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CONTEXTO Y DIAGNÓSTICO</w:t>
      </w:r>
    </w:p>
    <w:p>
      <w:pPr>
        <w:spacing w:after="80" w:before="60"/>
        <w:jc w:val="both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Thor Metal Art LLC es un taller de fabricación metálica personalizada y arte en metal con base en Miami, Florida. Constituida en enero de 2023, la empresa cuenta con capacidad técnica diferenciada (waterjet cutting, soldadura, fabricación custom), un posicionamiento estético claro y actividad real en Instagram (@thormetalart).</w:t>
      </w:r>
    </w:p>
    <w:p>
      <w:pPr>
        <w:spacing w:after="0"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Sin embargo, la empresa opera hoy con una brecha crítica de infraestructura digital: no existe Google Business Profile verificado, no hay sitio web propio, y no existen reseñas públicas en Google. Esto significa que el negocio es prácticamente invisible para el segmento de mayor intención de compra — quienes buscan activamente "custom metal gates Miami" o "metal railings near me".</w:t>
      </w:r>
    </w:p>
    <w:p>
      <w:pPr>
        <w:spacing w:after="0" w:before="100"/>
      </w:pP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4A4A6A"/>
          <w:sz w:val="25"/>
          <w:szCs w:val="25"/>
        </w:rPr>
        <w:t xml:space="preserve">1.1 Resumen de brechas identificadas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shd w:fill="1A1A2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Brecha</w:t>
            </w:r>
          </w:p>
        </w:tc>
        <w:tc>
          <w:tcPr>
            <w:tcW w:type="dxa" w:w="2400"/>
            <w:shd w:fill="1A1A2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3360"/>
            <w:shd w:fill="1A1A2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directo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Sin Google Business 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Crítica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Invisible en búsquedas locales de alta intención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Sin sitio web propio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Crítica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 hub de conversión propio — 100% dependiente de DMs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Sin reseñas en Google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Crítica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puede competir en ranking local por prominencia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Un solo canal (Instagram)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4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Alta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Riesgo de dependencia — cambio de algoritmo = pérdida de negocio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Confusión de marca con "Thor Metal Wall Art"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Media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Búsquedas orgánicas absorbidas por e-commerces con nombre similar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B8860B" w:sz="8" w:space="5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OBJETIVO DEL PROYECTO</w:t>
      </w:r>
    </w:p>
    <w:p>
      <w:pPr>
        <w:spacing w:after="80" w:before="60"/>
        <w:jc w:val="both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El objetivo de esta consultoría es transformar a Thor Metal Art de una marca con presencia en una sola plataforma ajena (Instagram) a un negocio con infraestructura digital propia, descubrible en Google, con sistema de reputación activo y dos motores de conversión diferenciados — uno para el negocio de fabricación (Productor) y otro para el arte y las comisiones (Artista).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B8860B" w:sz="14"/>
              <w:bottom w:val="nil"/>
              <w:right w:val="nil"/>
            </w:tcBorders>
            <w:shd w:fill="FFF8D4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Resultado esperado al finalizar la Fase 2 (mes 4): Thor Metal Art aparece en Google Maps para búsquedas locales de alto intención, tiene sitio web propio con páginas de servicios indexadas, mínimo 8–12 reseñas en Google, y genera leads desde canales propios además de Instagram.</w:t>
            </w:r>
          </w:p>
        </w:tc>
      </w:tr>
    </w:tbl>
    <w:p>
      <w:pPr>
        <w:spacing w:after="0" w:before="100"/>
      </w:pP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4A4A6A"/>
          <w:sz w:val="25"/>
          <w:szCs w:val="25"/>
        </w:rPr>
        <w:t xml:space="preserve">2.1 El modelo dual: Artista + Productor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  <w:tc>
          <w:tcPr>
            <w:tcW w:type="dxa" w:w="4480"/>
            <w:shd w:fill="1A1A2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THOR — PRODUCTOR</w:t>
            </w:r>
          </w:p>
        </w:tc>
        <w:tc>
          <w:tcPr>
            <w:tcW w:type="dxa" w:w="4480"/>
            <w:shd w:fill="1A1A2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THOR — ARTISTA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Audiencia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Homeowners luxury Miami, contractors, arquitectos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Coleccionistas, interior designers, galerías, hospitality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Producto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Gates, railings, fences, stairs, furniture, beds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Esculturas, paneles decorativos, piezas de autor, comisiones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Argumento de compra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Precisión, durabilidad, diseño exclusivo, instalación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Estética, autoría, exclusividad, proceso, materiales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Canal primario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Google local + GBP + Angi + Web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Instagram + Portafolio web + Referral diseñadores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CTA principal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Solicitar cotización gratis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Consultar comisión / Contactar artista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5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FASES DE TRABAJO Y ENTREGABLES</w:t>
      </w:r>
    </w:p>
    <w:p>
      <w:pPr>
        <w:spacing w:after="80" w:before="60"/>
        <w:jc w:val="both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El proyecto se estructura en tres fases secuenciales. Se avanza a la siguiente fase únicamente cuando se cumplen los criterios de éxito de la fase actual. Esto garantiza que cada capa descanse sobre cimientos sólidos antes de escalar.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0"/>
        </w:tblCellMar>
      </w:tblPr>
      <w:tblGrid>
        <w:gridCol w:w="9360"/>
      </w:tblGrid>
      <w:tr>
        <w:tc>
          <w:tcPr>
            <w:tcW w:type="dxa" w:w="9360"/>
            <w:shd w:fill="D4E8D4" w:val="clear"/>
            <w:tcMar>
              <w:top w:type="dxa" w:w="140"/>
              <w:left w:type="dxa" w:w="28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FASE 1 — CIMENTACIÓN  |  Semanas 1–6</w:t>
            </w:r>
          </w:p>
          <w:p>
            <w:r>
              <w:rPr>
                <w:rFonts w:ascii="Arial" w:cs="Arial" w:eastAsia="Arial" w:hAnsi="Arial"/>
                <w:i/>
                <w:iCs/>
                <w:color w:val="4A4A6A"/>
                <w:sz w:val="21"/>
                <w:szCs w:val="21"/>
              </w:rPr>
              <w:t xml:space="preserve">Descubribilidad y Control de Identidad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0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Entregables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Business Profile creado, verificado y optimizado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Identidad base definida (nombre, descriptor, mensajes EN/ES)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Sistema de solicitud de reseñas implementado (template + QR)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 actualizado con NAP y mensajes consistentes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Dominio web registrado y email corporativo configurado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Alerts de monitoreo de marca activados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Criterio de éxito (gate)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GBP verificado y visible en Google Maps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Mínimo 3 reseñas en Google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Identidad consistente en Instagram y GBP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Dominio activo con email corporativo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W w:type="dxa" w:w="9360"/>
            <w:shd w:fill="D4E4F0" w:val="clear"/>
            <w:tcMar>
              <w:top w:type="dxa" w:w="140"/>
              <w:left w:type="dxa" w:w="28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FASE 2 — ESTRUCTURACIÓN COMERCIAL  |  Semanas 7–14</w:t>
            </w:r>
          </w:p>
          <w:p>
            <w:r>
              <w:rPr>
                <w:rFonts w:ascii="Arial" w:cs="Arial" w:eastAsia="Arial" w:hAnsi="Arial"/>
                <w:i/>
                <w:iCs/>
                <w:color w:val="4A4A6A"/>
                <w:sz w:val="21"/>
                <w:szCs w:val="21"/>
              </w:rPr>
              <w:t xml:space="preserve">Conversión y Funnels Duales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0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Entregables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Sitio web hub mínimo publicado (Home, Servicios, Arte, Proceso, Contacto)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Páginas de servicios con SEO local (gates, railings, fences, furniture)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Portafolio con 3 casos documentados (brief + proceso + resultado)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Formulario de cotización y WhatsApp Business integrado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Perfil en Angi y 1–2 directorios sectoriales adicionales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Analytics 4 y Search Console configurados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Criterio de éxito (gate)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Sitio web publicado e indexado en Google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Mínimo 1 lead desde canal distinto a Instagram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GBP mostrando mínimo 20 clics/mes al sitio web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W w:type="dxa" w:w="9360"/>
            <w:shd w:fill="F0E4D4" w:val="clear"/>
            <w:tcMar>
              <w:top w:type="dxa" w:w="140"/>
              <w:left w:type="dxa" w:w="28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FASE 3 — AUTORIDAD Y CRECIMIENTO  |  Mes 4 en adelante (ongoing)</w:t>
            </w:r>
          </w:p>
          <w:p>
            <w:r>
              <w:rPr>
                <w:rFonts w:ascii="Arial" w:cs="Arial" w:eastAsia="Arial" w:hAnsi="Arial"/>
                <w:i/>
                <w:iCs/>
                <w:color w:val="4A4A6A"/>
                <w:sz w:val="21"/>
                <w:szCs w:val="21"/>
              </w:rPr>
              <w:t xml:space="preserve">Escala y Posicionamiento de Marca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5" w:before="55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Calendario editorial mensual (casos de producción + series artísticas)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55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Programa de colaboraciones con interior designers, arquitectos y contractors de Miami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55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mensual de métricas (GBP, Web, Instagram, Leads)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55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Evaluación de canales adicionales: LinkedIn (B2B), YouTube Shorts (proceso), Pinterest (arte)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55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Reporte mensual de desempeño digital entregado antes del día 5 de cada mes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5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INVERSIÓN</w:t>
      </w:r>
    </w:p>
    <w:p>
      <w:pPr>
        <w:spacing w:after="80" w:before="60"/>
        <w:jc w:val="both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La inversión se estructura en dos componentes: honorarios de consultoría y gastos operativos estimados de plataformas y herramientas. Los gastos operativos son pagados directamente por el cliente y están fuera de los honorarios del consultor.</w:t>
      </w:r>
    </w:p>
    <w:p>
      <w:pPr>
        <w:spacing w:after="0" w:before="120"/>
      </w:pP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4A4A6A"/>
          <w:sz w:val="25"/>
          <w:szCs w:val="25"/>
        </w:rPr>
        <w:t xml:space="preserve">4.1 Honorarios de consultoría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shd w:fill="1A1A2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/ Servicio</w:t>
            </w:r>
          </w:p>
        </w:tc>
        <w:tc>
          <w:tcPr>
            <w:tcW w:type="dxa" w:w="2000"/>
            <w:shd w:fill="1A1A2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000"/>
            <w:shd w:fill="1A1A2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</w:t>
            </w:r>
          </w:p>
        </w:tc>
        <w:tc>
          <w:tcPr>
            <w:tcW w:type="dxa" w:w="2160"/>
            <w:shd w:fill="1A1A2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Honorarios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Fase 1 — Cimentación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Semanas 1–6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Pago único al inicio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[$ XXX]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Fase 2 — Estructuración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Semanas 7–14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Pago único al inicio de fase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[$ XXX]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Fase 3 — Autoridad (retainer mensual)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Mes 4 en adelante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Mensual (renovación 30 días)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[$ XXX/mes]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FASES 1 + 2 (proyecto base)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14 semanas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[$ XXX]</w:t>
            </w:r>
          </w:p>
        </w:tc>
      </w:tr>
    </w:tbl>
    <w:p>
      <w:pPr>
        <w:spacing w:after="0" w:before="100"/>
      </w:pP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4A4A6A"/>
          <w:sz w:val="25"/>
          <w:szCs w:val="25"/>
        </w:rPr>
        <w:t xml:space="preserve">4.2 Gastos operativos estimados (pagados por el cliente)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400"/>
        <w:gridCol w:w="2800"/>
      </w:tblGrid>
      <w:tr>
        <w:trPr>
          <w:tblHeader/>
        </w:trPr>
        <w:tc>
          <w:tcPr>
            <w:tcW w:type="dxa" w:w="4160"/>
            <w:shd w:fill="1A1A2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00"/>
            <w:shd w:fill="1A1A2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Estimado</w:t>
            </w:r>
          </w:p>
        </w:tc>
        <w:tc>
          <w:tcPr>
            <w:tcW w:type="dxa" w:w="2800"/>
            <w:shd w:fill="1A1A2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Dominio web (anual)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$15–25/año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Namecheap / GoDaddy / Google Domains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Email corporativo (G Suite / Workspace)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$6–12/mes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1 cuenta mínima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Plataforma web (Squarespace / Webflow)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$16–23/mes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Squarespace recomendado para Fase 2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WhatsApp Business API (si se automatiza)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Gratis (app) / variable (API)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La app básica es gratuita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Fotografía profesional (si se requiere)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$200–500 por sesión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Opcional — usar fotos existentes si hay calidad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Google Ads (opcional, Fase 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$300–800/mes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Solo si el ROI de canales orgánicos está probado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B8860B" w:sz="14"/>
              <w:bottom w:val="nil"/>
              <w:right w:val="nil"/>
            </w:tcBorders>
            <w:shd w:fill="FFF8D4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Los honorarios de consultoría NO incluyen gastos de plataformas, dominios, hosting, publicidad paga ni fotografía. Estos son costos operativos del negocio que el cliente gestiona y paga directamente.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B8860B" w:sz="8" w:space="5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DIVISIÓN DE RESPONSABILIDADES</w:t>
      </w:r>
    </w:p>
    <w:p>
      <w:pPr>
        <w:spacing w:after="80" w:before="60"/>
        <w:jc w:val="both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Este proyecto requiere colaboración activa de ambas partes. La siguiente tabla define claramente qué hace el consultor y qué necesita Karel para que el proyecto avance sin bloqueos.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1A2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CONSULTOR hace / entrega</w:t>
            </w:r>
          </w:p>
        </w:tc>
        <w:tc>
          <w:tcPr>
            <w:tcW w:type="dxa" w:w="4680"/>
            <w:shd w:fill="1A1A2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 (Karel) provee / aprueba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Estrategia, planificación y documentación del proyecto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Acceso a cuentas digitales existentes (Instagram, dominio, email)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Creación y optimización completa del GBP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Lista de clientes satisfechos para primer lote de reseñas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Sistema de solicitud de reseñas (template + QR)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Fotos de obras terminadas y proceso (mínimo 20 fotos de calidad)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Copys del sitio web y páginas de servicios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Revisión y aprobación de textos en máximo 5 días hábiles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Configuración técnica de GA4 y Search Console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Información sobre precios, área de servicio y servicios prioritarios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Reportes mensuales de desempeño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Envío de solicitudes de reseña a clientes (lo hace Karel directamente)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Calendario editorial y guía de contenido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Publicación de contenido en redes sociales (Karel lo ejecuta)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Directorios y citaciones locales (Angi, Yelp)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Feedback y aprobación de cada entregable en el tiempo acordado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5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CONDICIONES Y PRÓXIMOS PASOS</w:t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4A4A6A"/>
          <w:sz w:val="25"/>
          <w:szCs w:val="25"/>
        </w:rPr>
        <w:t xml:space="preserve">6.1 Condiciones de trabajo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Comunicación: canal principal de comunicación a definir en kick-off (WhatsApp / email / Notion).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Aprobaciones: el cliente se compromete a revisar y aprobar entregables en un máximo de 5 días hábiles. Demoras en aprobaciones pueden retrasar el cronograma.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Accesos: el cliente debe proveer acceso a todas las cuentas digitales necesarias en la semana 1. Sin accesos, no puede iniciarse la ejecución.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Propiedad intelectual: todos los textos, estrategias y documentos generados por el consultor son para uso exclusivo de Thor Metal Art. El consultor puede referenciar el proyecto en su portfolio sin revelar datos confidenciales.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Confidencialidad: ambas partes acuerdan mantener la confidencialidad de la información compartida durante el proyecto.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Cancelación: cualquiera de las partes puede cancelar el contrato con 15 días de aviso escrito. Trabajos ya ejecutados y aprobados son facturados proporcionalmente.</w:t>
      </w:r>
    </w:p>
    <w:p>
      <w:pPr>
        <w:spacing w:after="0" w:before="100"/>
      </w:pP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4A4A6A"/>
          <w:sz w:val="25"/>
          <w:szCs w:val="25"/>
        </w:rPr>
        <w:t xml:space="preserve">6.2 Próximos pasos para arrancar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60"/>
        <w:gridCol w:w="3200"/>
      </w:tblGrid>
      <w:tr>
        <w:trPr>
          <w:tblHeader/>
        </w:trPr>
        <w:tc>
          <w:tcPr>
            <w:tcW w:type="dxa" w:w="400"/>
            <w:shd w:fill="1A1A2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shd w:fill="1A1A2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200"/>
            <w:shd w:fill="1A1A2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Revisar y aprobar esta propuesta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Karel Frometa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Firmar acuerdo de servicios (si aplica)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Ambos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Realizar pago de Fase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Karel Frometa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Agendar reunión de kick-off (Semana 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Consultor coordina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Preparar lista de clientes y accesos para kick-off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Karel Frometa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Inicio de ejecución — Fase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Consultor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0"/>
        </w:tblCellMar>
      </w:tblPr>
      <w:tblGrid>
        <w:gridCol w:w="9360"/>
      </w:tblGrid>
      <w:tr>
        <w:tc>
          <w:tcPr>
            <w:tcW w:type="dxa" w:w="9360"/>
            <w:shd w:fill="1A1A2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30"/>
                <w:szCs w:val="30"/>
              </w:rPr>
              <w:t xml:space="preserve">¿HABLAMOS?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21"/>
                <w:szCs w:val="21"/>
              </w:rPr>
              <w:t xml:space="preserve">Esta propuesta tiene validez de 30 días desde la fecha de emisión.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[Email del consultor]  |  [Teléfono del consultor]</w:t>
            </w:r>
          </w:p>
        </w:tc>
      </w:tr>
    </w:tbl>
    <w:p>
      <w:pPr>
        <w:spacing w:after="0" w:before="80"/>
      </w:pPr>
    </w:p>
    <w:p>
      <w:pPr>
        <w:pBdr>
          <w:top w:val="single" w:color="B8860B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THOR METAL ART — PROPUESTA DE CONSULTORÍA DIGITAL — CONFIDENCIAL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4"/>
      </w:pBdr>
      <w:tabs>
        <w:tab w:val="right" w:pos="9360"/>
      </w:tabs>
    </w:pPr>
    <w:r>
      <w:rPr>
        <w:rFonts w:ascii="Arial" w:cs="Arial" w:eastAsia="Arial" w:hAnsi="Arial"/>
        <w:color w:val="4A4A6A"/>
        <w:sz w:val="18"/>
        <w:szCs w:val="18"/>
      </w:rPr>
      <w:t xml:space="preserve">Propuesta confidencial — Thor Metal Art LLC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A4A6A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tabs>
        <w:tab w:val="right" w:pos="9360"/>
      </w:tabs>
    </w:pPr>
    <w:r>
      <w:rPr>
        <w:rFonts w:ascii="Arial" w:cs="Arial" w:eastAsia="Arial" w:hAnsi="Arial"/>
        <w:color w:val="4A4A6A"/>
        <w:sz w:val="18"/>
        <w:szCs w:val="18"/>
      </w:rPr>
      <w:t xml:space="preserve">THOR METAL ART — PROPUESTA DE CONSULTORÍA DIGITAL</w:t>
    </w:r>
    <w:r>
      <w:rPr>
        <w:rFonts w:ascii="Arial" w:cs="Arial" w:eastAsia="Arial" w:hAnsi="Arial"/>
        <w:i/>
        <w:iCs/>
        <w:color w:val="4A4A6A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40"/>
      <w:outlineLvl w:val="1"/>
    </w:pPr>
    <w:rPr>
      <w:rFonts w:ascii="Arial" w:cs="Arial" w:eastAsia="Arial" w:hAnsi="Arial"/>
      <w:b/>
      <w:bCs/>
      <w:color w:val="4A4A6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2026-03-12T18:14:59.269Z</dcterms:created>
  <dcterms:modified xsi:type="dcterms:W3CDTF">2026-03-12T18:14:59.271Z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