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925" w:rsidRDefault="00101925">
      <w:r>
        <w:t>8. Solve the equations of motion</w:t>
      </w:r>
    </w:p>
    <w:p w:rsidR="00101925" w:rsidRDefault="00101925"/>
    <w:p w:rsidR="00101925" w:rsidRDefault="00101925" w:rsidP="00101925">
      <w:pPr>
        <w:spacing w:after="0"/>
      </w:pPr>
      <w:r>
        <w:t>After solving for each respective EOM, we can plot the solution and depict the behavior</w:t>
      </w:r>
      <w:r>
        <w:t xml:space="preserve"> </w:t>
      </w:r>
      <w:r>
        <w:t xml:space="preserve">of the system for 10 seconds. </w:t>
      </w:r>
      <w:r>
        <w:t>The</w:t>
      </w:r>
      <w:r>
        <w:t xml:space="preserve"> radial dist</w:t>
      </w:r>
      <w:r>
        <w:t xml:space="preserve">ance that the spring stretches, </w:t>
      </w:r>
      <w:r>
        <w:t xml:space="preserve">the spring’s angular deflection from </w:t>
      </w:r>
      <w:r>
        <w:t xml:space="preserve">the vertical, in addition to </w:t>
      </w:r>
      <w:r>
        <w:t>the angular deflection of the bar from</w:t>
      </w:r>
      <w:r>
        <w:t xml:space="preserve"> the</w:t>
      </w:r>
      <w:r>
        <w:t xml:space="preserve"> vertical</w:t>
      </w:r>
      <w:r>
        <w:t xml:space="preserve"> make up the system’s behavior</w:t>
      </w:r>
      <w:r>
        <w:t>. The linear</w:t>
      </w:r>
      <w:r>
        <w:t xml:space="preserve"> deflection caused by the spring stretching is plotted on its</w:t>
      </w:r>
      <w:r>
        <w:t xml:space="preserve"> own figure, and the angular def</w:t>
      </w:r>
      <w:r>
        <w:t xml:space="preserve">lection of the spring and bar </w:t>
      </w:r>
      <w:r>
        <w:t xml:space="preserve">from </w:t>
      </w:r>
      <w:r>
        <w:t xml:space="preserve">the </w:t>
      </w:r>
      <w:r>
        <w:t>vertical are each plotted on one figure for each set of initial conditions.</w:t>
      </w:r>
    </w:p>
    <w:p w:rsidR="00101925" w:rsidRDefault="00101925" w:rsidP="00101925">
      <w:pPr>
        <w:spacing w:after="0"/>
      </w:pPr>
    </w:p>
    <w:p w:rsidR="00101925" w:rsidRDefault="00101925" w:rsidP="00101925">
      <w:pPr>
        <w:spacing w:after="0"/>
      </w:pPr>
      <w:r>
        <w:t>Fig 3</w:t>
      </w:r>
    </w:p>
    <w:p w:rsidR="00101925" w:rsidRDefault="00101925" w:rsidP="00101925">
      <w:pPr>
        <w:spacing w:after="0"/>
      </w:pPr>
    </w:p>
    <w:p w:rsidR="00101925" w:rsidRDefault="00101925" w:rsidP="00101925">
      <w:pPr>
        <w:spacing w:after="0"/>
      </w:pPr>
      <w:r>
        <w:t>Fig 4</w:t>
      </w:r>
    </w:p>
    <w:p w:rsidR="00101925" w:rsidRDefault="00101925" w:rsidP="00101925">
      <w:pPr>
        <w:spacing w:after="0"/>
      </w:pPr>
    </w:p>
    <w:p w:rsidR="00101925" w:rsidRDefault="00101925" w:rsidP="00101925">
      <w:pPr>
        <w:spacing w:after="0"/>
      </w:pPr>
      <w:r>
        <w:t xml:space="preserve">Figures (4a) and (4b) depict the </w:t>
      </w:r>
      <w:r>
        <w:t>spring deflection</w:t>
      </w:r>
      <w:r>
        <w:t xml:space="preserve"> as well as angular</w:t>
      </w:r>
    </w:p>
    <w:p w:rsidR="00101925" w:rsidRDefault="00101925" w:rsidP="00101925">
      <w:pPr>
        <w:spacing w:after="0"/>
      </w:pPr>
      <w:proofErr w:type="gramStart"/>
      <w:r>
        <w:t>deflection</w:t>
      </w:r>
      <w:proofErr w:type="gramEnd"/>
      <w:r>
        <w:t xml:space="preserve"> of the spring and bar, given the initial conditions shown. </w:t>
      </w:r>
      <w:r>
        <w:t>The</w:t>
      </w:r>
      <w:r>
        <w:t xml:space="preserve"> </w:t>
      </w:r>
      <w:r>
        <w:t>angular deflections of the bar and spring</w:t>
      </w:r>
      <w:r>
        <w:t xml:space="preserve"> in Figure (4b) </w:t>
      </w:r>
      <w:r>
        <w:t>are</w:t>
      </w:r>
      <w:r>
        <w:t xml:space="preserve"> relatively </w:t>
      </w:r>
      <w:r>
        <w:t>similar</w:t>
      </w:r>
      <w:r>
        <w:t xml:space="preserve"> (compare</w:t>
      </w:r>
      <w:r>
        <w:t>d to that of Figure (5b) below).</w:t>
      </w:r>
    </w:p>
    <w:p w:rsidR="00101925" w:rsidRDefault="00101925" w:rsidP="00101925">
      <w:pPr>
        <w:spacing w:after="0"/>
      </w:pPr>
      <w:r>
        <w:t>It makes sense that the</w:t>
      </w:r>
      <w:r>
        <w:t xml:space="preserve"> spring deflection plot depicts mostly consistent oscillatory</w:t>
      </w:r>
    </w:p>
    <w:p w:rsidR="00101925" w:rsidRDefault="00101925" w:rsidP="00101925">
      <w:pPr>
        <w:spacing w:after="0"/>
      </w:pPr>
      <w:proofErr w:type="gramStart"/>
      <w:r>
        <w:t>motion</w:t>
      </w:r>
      <w:proofErr w:type="gramEnd"/>
      <w:r>
        <w:t xml:space="preserve"> – since the amplitude in the oscillations of the pendulum are smaller, there is</w:t>
      </w:r>
    </w:p>
    <w:p w:rsidR="00101925" w:rsidRDefault="00101925" w:rsidP="00101925">
      <w:pPr>
        <w:spacing w:after="0"/>
      </w:pPr>
      <w:proofErr w:type="gramStart"/>
      <w:r>
        <w:t>less</w:t>
      </w:r>
      <w:proofErr w:type="gramEnd"/>
      <w:r>
        <w:t xml:space="preserve"> energy being "transferred," so-to-speak, from the kinetic energy of the bar (force</w:t>
      </w:r>
    </w:p>
    <w:p w:rsidR="00101925" w:rsidRDefault="00101925" w:rsidP="00101925">
      <w:pPr>
        <w:spacing w:after="0"/>
      </w:pPr>
      <w:proofErr w:type="gramStart"/>
      <w:r>
        <w:t>outward</w:t>
      </w:r>
      <w:proofErr w:type="gramEnd"/>
      <w:r>
        <w:t xml:space="preserve"> f</w:t>
      </w:r>
      <w:r>
        <w:t>rom the spring, dependent on it</w:t>
      </w:r>
      <w:r>
        <w:t>s velocity and acceleration) to or from the</w:t>
      </w:r>
    </w:p>
    <w:p w:rsidR="00101925" w:rsidRDefault="00101925" w:rsidP="00101925">
      <w:pPr>
        <w:spacing w:after="0"/>
      </w:pPr>
      <w:proofErr w:type="gramStart"/>
      <w:r>
        <w:t>energy</w:t>
      </w:r>
      <w:proofErr w:type="gramEnd"/>
      <w:r>
        <w:t xml:space="preserve"> in the spring. This phenomena can also be seen in Figure (5a), where the</w:t>
      </w:r>
    </w:p>
    <w:p w:rsidR="00101925" w:rsidRDefault="00101925" w:rsidP="00101925">
      <w:pPr>
        <w:spacing w:after="0"/>
      </w:pPr>
      <w:r>
        <w:t xml:space="preserve">amplitudes of oscillation in the spring deflection are </w:t>
      </w:r>
      <w:r>
        <w:t>larger relative to that of this case</w:t>
      </w:r>
      <w:r>
        <w:t>, due to the fact that the init</w:t>
      </w:r>
      <w:r>
        <w:t>i</w:t>
      </w:r>
      <w:r>
        <w:t>al conditions in the case of Figure (5a) are of a</w:t>
      </w:r>
      <w:bookmarkStart w:id="0" w:name="_GoBack"/>
      <w:bookmarkEnd w:id="0"/>
    </w:p>
    <w:p w:rsidR="00101925" w:rsidRDefault="00101925" w:rsidP="00101925">
      <w:pPr>
        <w:spacing w:after="0"/>
      </w:pPr>
      <w:proofErr w:type="gramStart"/>
      <w:r>
        <w:t>greater</w:t>
      </w:r>
      <w:proofErr w:type="gramEnd"/>
      <w:r>
        <w:t xml:space="preserve"> angular deflection. Given that the init</w:t>
      </w:r>
      <w:r>
        <w:t>i</w:t>
      </w:r>
      <w:r>
        <w:t>al release angle of the spring and bar are</w:t>
      </w:r>
    </w:p>
    <w:p w:rsidR="00101925" w:rsidRDefault="00101925" w:rsidP="00101925">
      <w:pPr>
        <w:spacing w:after="0"/>
      </w:pPr>
      <w:proofErr w:type="gramStart"/>
      <w:r>
        <w:t>small</w:t>
      </w:r>
      <w:proofErr w:type="gramEnd"/>
      <w:r>
        <w:t xml:space="preserve"> (less than 45o</w:t>
      </w:r>
      <w:r>
        <w:t>), the overall init</w:t>
      </w:r>
      <w:r>
        <w:t>i</w:t>
      </w:r>
      <w:r>
        <w:t>al potential energy of the system is lower,</w:t>
      </w:r>
    </w:p>
    <w:p w:rsidR="00101925" w:rsidRDefault="00101925" w:rsidP="00101925">
      <w:pPr>
        <w:spacing w:after="0"/>
      </w:pPr>
      <w:proofErr w:type="gramStart"/>
      <w:r>
        <w:t>subsequently</w:t>
      </w:r>
      <w:proofErr w:type="gramEnd"/>
      <w:r>
        <w:t xml:space="preserve"> confirming the </w:t>
      </w:r>
      <w:r>
        <w:t>a</w:t>
      </w:r>
      <w:r>
        <w:t>forementioned idea that there is less overall energy in the</w:t>
      </w:r>
    </w:p>
    <w:p w:rsidR="00101925" w:rsidRDefault="00101925" w:rsidP="00101925">
      <w:pPr>
        <w:spacing w:after="0"/>
      </w:pPr>
      <w:proofErr w:type="gramStart"/>
      <w:r>
        <w:t>system</w:t>
      </w:r>
      <w:proofErr w:type="gramEnd"/>
      <w:r>
        <w:t>, as represented by the generally smaller amplitude in oscillations.</w:t>
      </w:r>
    </w:p>
    <w:p w:rsidR="00101925" w:rsidRDefault="00101925" w:rsidP="00101925">
      <w:pPr>
        <w:spacing w:after="0"/>
      </w:pPr>
    </w:p>
    <w:p w:rsidR="00101925" w:rsidRDefault="00101925" w:rsidP="00101925">
      <w:pPr>
        <w:spacing w:after="0"/>
      </w:pPr>
      <w:r>
        <w:t>Fig 5</w:t>
      </w:r>
    </w:p>
    <w:p w:rsidR="00101925" w:rsidRDefault="00101925" w:rsidP="00101925">
      <w:pPr>
        <w:spacing w:after="0"/>
      </w:pPr>
    </w:p>
    <w:p w:rsidR="00101925" w:rsidRDefault="00101925" w:rsidP="00101925">
      <w:pPr>
        <w:spacing w:after="0"/>
      </w:pPr>
      <w:r>
        <w:t>Fig 6</w:t>
      </w:r>
    </w:p>
    <w:p w:rsidR="00101925" w:rsidRDefault="00101925" w:rsidP="00101925">
      <w:pPr>
        <w:spacing w:after="0"/>
      </w:pPr>
    </w:p>
    <w:p w:rsidR="00101925" w:rsidRDefault="00101925" w:rsidP="00101925">
      <w:pPr>
        <w:spacing w:after="0"/>
      </w:pPr>
      <w:r>
        <w:t xml:space="preserve">In figure 6 the total energy of the system for each case is graphed. </w:t>
      </w:r>
      <w:r>
        <w:t xml:space="preserve">Running the ode45 function with a relative tolerance of 1 </w:t>
      </w:r>
      <w:r>
        <w:rPr>
          <w:rFonts w:ascii="Cambria Math" w:hAnsi="Cambria Math" w:cs="Cambria Math"/>
        </w:rPr>
        <w:t>∗</w:t>
      </w:r>
      <w:r>
        <w:t xml:space="preserve"> 10</w:t>
      </w:r>
      <w:r>
        <w:rPr>
          <w:rFonts w:ascii="Calibri" w:hAnsi="Calibri" w:cs="Calibri"/>
        </w:rPr>
        <w:t>−</w:t>
      </w:r>
      <w:r>
        <w:t xml:space="preserve">6 and an absolute </w:t>
      </w:r>
      <w:r>
        <w:t xml:space="preserve">tolerance of 1 </w:t>
      </w:r>
      <w:r>
        <w:rPr>
          <w:rFonts w:ascii="Cambria Math" w:hAnsi="Cambria Math" w:cs="Cambria Math"/>
        </w:rPr>
        <w:t>∗</w:t>
      </w:r>
      <w:r>
        <w:t xml:space="preserve"> 10</w:t>
      </w:r>
      <w:r>
        <w:rPr>
          <w:rFonts w:ascii="Calibri" w:hAnsi="Calibri" w:cs="Calibri"/>
        </w:rPr>
        <w:t>−</w:t>
      </w:r>
      <w:r>
        <w:t xml:space="preserve">9 we produce </w:t>
      </w:r>
      <w:r>
        <w:t>total energy plots</w:t>
      </w:r>
      <w:r>
        <w:t xml:space="preserve"> that</w:t>
      </w:r>
      <w:r>
        <w:t xml:space="preserve"> strays significantly less than </w:t>
      </w:r>
      <w:r>
        <w:t xml:space="preserve">the default ode45 implementation. The max percentage </w:t>
      </w:r>
      <w:r>
        <w:t>difference between the high and l</w:t>
      </w:r>
      <w:r>
        <w:t>ow tolerance integrations in Figure (6a) is -0.0245%. T</w:t>
      </w:r>
      <w:r>
        <w:t xml:space="preserve">he max percentage difference in </w:t>
      </w:r>
      <w:r>
        <w:t>Figure (6b) is -0.0538%. The max percentage difference in Figure (6c) is -0.2116%.</w:t>
      </w:r>
      <w:r>
        <w:t xml:space="preserve"> As expected, the increased tolerance plots stays constant through the entire runtime of each case. This is because there are no non-conservative forces and the total energy is thus conserved.</w:t>
      </w:r>
    </w:p>
    <w:sectPr w:rsidR="00101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925"/>
    <w:rsid w:val="0010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C3734"/>
  <w15:chartTrackingRefBased/>
  <w15:docId w15:val="{4D841810-C664-41B7-8B12-B899D8A31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1F9D7-DDEA-424E-8966-7646540AF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370</Words>
  <Characters>2113</Characters>
  <Application>Microsoft Office Word</Application>
  <DocSecurity>0</DocSecurity>
  <Lines>17</Lines>
  <Paragraphs>4</Paragraphs>
  <ScaleCrop>false</ScaleCrop>
  <Company>ERAU</Company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Jeffrey H.</dc:creator>
  <cp:keywords/>
  <dc:description/>
  <cp:lastModifiedBy>Chen, Jeffrey H.</cp:lastModifiedBy>
  <cp:revision>1</cp:revision>
  <dcterms:created xsi:type="dcterms:W3CDTF">2018-12-06T01:12:00Z</dcterms:created>
  <dcterms:modified xsi:type="dcterms:W3CDTF">2018-12-06T01:29:00Z</dcterms:modified>
</cp:coreProperties>
</file>