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46" w:rsidRPr="001A6348" w:rsidRDefault="00CA7B46" w:rsidP="001A6348"/>
    <w:p w:rsidR="001A73E7" w:rsidRDefault="001A73E7" w:rsidP="0001219C">
      <w:pPr>
        <w:pStyle w:val="gemStandard"/>
      </w:pPr>
    </w:p>
    <w:p w:rsidR="001A73E7" w:rsidRDefault="001A73E7" w:rsidP="0001219C">
      <w:pPr>
        <w:pStyle w:val="gemStandard"/>
      </w:pPr>
    </w:p>
    <w:p w:rsidR="001A73E7" w:rsidRDefault="001A73E7" w:rsidP="0001219C">
      <w:pPr>
        <w:pStyle w:val="gemStandard"/>
      </w:pPr>
    </w:p>
    <w:p w:rsidR="00CA7B46" w:rsidRDefault="00CA7B46" w:rsidP="0001219C">
      <w:pPr>
        <w:pStyle w:val="gemStandard"/>
      </w:pPr>
    </w:p>
    <w:p w:rsidR="00CA7B46" w:rsidRPr="0095746E" w:rsidRDefault="00E634C8" w:rsidP="00CA7B46">
      <w:pPr>
        <w:pStyle w:val="Titel1"/>
      </w:pPr>
      <w:r w:rsidRPr="0095746E">
        <w:t>Einführung der Gesundheitskarte</w:t>
      </w:r>
    </w:p>
    <w:p w:rsidR="00CA7B46" w:rsidRPr="0095746E" w:rsidRDefault="00CA7B46" w:rsidP="006B0635">
      <w:pPr>
        <w:pStyle w:val="gemStandard"/>
      </w:pPr>
    </w:p>
    <w:p w:rsidR="00CA7B46" w:rsidRPr="0095746E" w:rsidRDefault="00CA7B46" w:rsidP="001D3F0B">
      <w:pPr>
        <w:pStyle w:val="gemStandard"/>
      </w:pPr>
    </w:p>
    <w:p w:rsidR="0001219C" w:rsidRPr="0095746E" w:rsidRDefault="0001219C" w:rsidP="001D3F0B">
      <w:pPr>
        <w:pStyle w:val="gemStandard"/>
      </w:pPr>
    </w:p>
    <w:p w:rsidR="001B6206" w:rsidRPr="001B6206" w:rsidRDefault="001B6206" w:rsidP="001B6206">
      <w:pPr>
        <w:pStyle w:val="gemEinzug"/>
        <w:jc w:val="left"/>
        <w:rPr>
          <w:b/>
        </w:rPr>
      </w:pPr>
    </w:p>
    <w:p w:rsidR="00B666A1" w:rsidRPr="007B74C1" w:rsidRDefault="00295DA9" w:rsidP="00BF4B9D">
      <w:pPr>
        <w:pStyle w:val="gemTitel2"/>
        <w:rPr>
          <w:sz w:val="52"/>
          <w:szCs w:val="52"/>
        </w:rPr>
      </w:pPr>
      <w:bookmarkStart w:id="0" w:name="DokTitel"/>
      <w:r w:rsidRPr="007B74C1">
        <w:rPr>
          <w:sz w:val="52"/>
          <w:szCs w:val="52"/>
        </w:rPr>
        <w:t>Spezifikation Datenschutz- und Sicherheitsanforderungen</w:t>
      </w:r>
      <w:r w:rsidR="008F4161" w:rsidRPr="007B74C1">
        <w:rPr>
          <w:sz w:val="52"/>
          <w:szCs w:val="52"/>
        </w:rPr>
        <w:t xml:space="preserve"> der TI </w:t>
      </w:r>
      <w:r w:rsidR="00D42C77" w:rsidRPr="007B74C1">
        <w:rPr>
          <w:sz w:val="52"/>
          <w:szCs w:val="52"/>
        </w:rPr>
        <w:t>an</w:t>
      </w:r>
      <w:r w:rsidRPr="007B74C1">
        <w:rPr>
          <w:sz w:val="52"/>
          <w:szCs w:val="52"/>
        </w:rPr>
        <w:t xml:space="preserve"> Anbieter </w:t>
      </w:r>
    </w:p>
    <w:bookmarkEnd w:id="0"/>
    <w:p w:rsidR="00BF4B9D" w:rsidRPr="007B74C1" w:rsidRDefault="00BF4B9D" w:rsidP="007B74C1">
      <w:pPr>
        <w:pStyle w:val="gemTitel2"/>
        <w:jc w:val="both"/>
        <w:rPr>
          <w:sz w:val="22"/>
          <w:szCs w:val="22"/>
        </w:rPr>
      </w:pPr>
    </w:p>
    <w:p w:rsidR="00CA7B46" w:rsidRPr="0095746E" w:rsidRDefault="00CA7B46" w:rsidP="00F26CEC"/>
    <w:p w:rsidR="00CA7B46" w:rsidRPr="0095746E" w:rsidRDefault="00CA7B46" w:rsidP="001D3F0B">
      <w:pPr>
        <w:pStyle w:val="gemStandard"/>
      </w:pPr>
    </w:p>
    <w:tbl>
      <w:tblPr>
        <w:tblW w:w="0" w:type="auto"/>
        <w:jc w:val="center"/>
        <w:tblLook w:val="01E0" w:firstRow="1" w:lastRow="1" w:firstColumn="1" w:lastColumn="1" w:noHBand="0" w:noVBand="0"/>
      </w:tblPr>
      <w:tblGrid>
        <w:gridCol w:w="1857"/>
        <w:gridCol w:w="4395"/>
      </w:tblGrid>
      <w:tr w:rsidR="007B74C1" w:rsidRPr="008F5DB7" w:rsidTr="007B74C1">
        <w:trPr>
          <w:jc w:val="center"/>
        </w:trPr>
        <w:tc>
          <w:tcPr>
            <w:tcW w:w="1857" w:type="dxa"/>
            <w:shd w:val="clear" w:color="auto" w:fill="auto"/>
          </w:tcPr>
          <w:p w:rsidR="00BF4B9D" w:rsidRPr="008F5DB7" w:rsidRDefault="00BF4B9D" w:rsidP="008F5DB7">
            <w:pPr>
              <w:pStyle w:val="gemtab11ptAbstand"/>
              <w:autoSpaceDE w:val="0"/>
              <w:autoSpaceDN w:val="0"/>
              <w:adjustRightInd w:val="0"/>
              <w:rPr>
                <w:rFonts w:eastAsia="Times New Roman"/>
              </w:rPr>
            </w:pPr>
            <w:r w:rsidRPr="008F5DB7">
              <w:rPr>
                <w:rFonts w:eastAsia="Times New Roman"/>
              </w:rPr>
              <w:t>Version:</w:t>
            </w:r>
          </w:p>
        </w:tc>
        <w:tc>
          <w:tcPr>
            <w:tcW w:w="4395" w:type="dxa"/>
            <w:shd w:val="clear" w:color="auto" w:fill="auto"/>
          </w:tcPr>
          <w:p w:rsidR="00BF4B9D" w:rsidRPr="008F5DB7" w:rsidRDefault="007B74C1" w:rsidP="00BB00EC">
            <w:pPr>
              <w:pStyle w:val="gemtab11ptAbstand"/>
              <w:autoSpaceDE w:val="0"/>
              <w:autoSpaceDN w:val="0"/>
              <w:adjustRightInd w:val="0"/>
              <w:rPr>
                <w:rFonts w:eastAsia="Times New Roman"/>
              </w:rPr>
            </w:pPr>
            <w:bookmarkStart w:id="1" w:name="Version"/>
            <w:r>
              <w:rPr>
                <w:rFonts w:eastAsia="Times New Roman"/>
              </w:rPr>
              <w:t>1.0.0 C</w:t>
            </w:r>
            <w:r w:rsidR="00BB00EC">
              <w:rPr>
                <w:rFonts w:eastAsia="Times New Roman"/>
              </w:rPr>
              <w:t>C 2</w:t>
            </w:r>
            <w:bookmarkEnd w:id="1"/>
          </w:p>
        </w:tc>
      </w:tr>
      <w:tr w:rsidR="007B74C1" w:rsidRPr="002E6160" w:rsidTr="007B74C1">
        <w:trPr>
          <w:jc w:val="center"/>
        </w:trPr>
        <w:tc>
          <w:tcPr>
            <w:tcW w:w="1857" w:type="dxa"/>
            <w:shd w:val="clear" w:color="auto" w:fill="auto"/>
          </w:tcPr>
          <w:p w:rsidR="00BF4B9D" w:rsidRPr="008F5DB7" w:rsidRDefault="00BF4B9D" w:rsidP="008F5DB7">
            <w:pPr>
              <w:pStyle w:val="gemtab11ptAbstand"/>
              <w:autoSpaceDE w:val="0"/>
              <w:autoSpaceDN w:val="0"/>
              <w:adjustRightInd w:val="0"/>
              <w:rPr>
                <w:rFonts w:eastAsia="Times New Roman"/>
              </w:rPr>
            </w:pPr>
            <w:r w:rsidRPr="008F5DB7">
              <w:rPr>
                <w:rFonts w:eastAsia="Times New Roman"/>
              </w:rPr>
              <w:t>Revision:</w:t>
            </w:r>
          </w:p>
        </w:tc>
        <w:tc>
          <w:tcPr>
            <w:tcW w:w="4395" w:type="dxa"/>
            <w:shd w:val="clear" w:color="auto" w:fill="auto"/>
          </w:tcPr>
          <w:p w:rsidR="00BF4B9D" w:rsidRPr="00EB4C0E" w:rsidRDefault="00385150" w:rsidP="007B74C1">
            <w:pPr>
              <w:pStyle w:val="gemtab11ptAbstand"/>
              <w:autoSpaceDE w:val="0"/>
              <w:autoSpaceDN w:val="0"/>
              <w:adjustRightInd w:val="0"/>
              <w:rPr>
                <w:rFonts w:eastAsia="Times New Roman"/>
                <w:lang w:val="en-US"/>
              </w:rPr>
            </w:pPr>
            <w:r w:rsidRPr="00EB4C0E">
              <w:rPr>
                <w:rFonts w:eastAsia="Times New Roman"/>
                <w:lang w:val="en-US"/>
              </w:rPr>
              <w:t>\main\rel_opb1\rel_ors2\6</w:t>
            </w:r>
            <w:r w:rsidR="007D7A2B" w:rsidRPr="00EB4C0E">
              <w:rPr>
                <w:rFonts w:eastAsia="Times New Roman"/>
                <w:lang w:val="en-US"/>
              </w:rPr>
              <w:t xml:space="preserve"> </w:t>
            </w:r>
          </w:p>
        </w:tc>
      </w:tr>
      <w:tr w:rsidR="007B74C1" w:rsidRPr="008F5DB7" w:rsidTr="007B74C1">
        <w:trPr>
          <w:jc w:val="center"/>
        </w:trPr>
        <w:tc>
          <w:tcPr>
            <w:tcW w:w="1857" w:type="dxa"/>
            <w:shd w:val="clear" w:color="auto" w:fill="auto"/>
          </w:tcPr>
          <w:p w:rsidR="00BF4B9D" w:rsidRPr="008F5DB7" w:rsidRDefault="00BF4B9D" w:rsidP="008F5DB7">
            <w:pPr>
              <w:pStyle w:val="gemtab11ptAbstand"/>
              <w:autoSpaceDE w:val="0"/>
              <w:autoSpaceDN w:val="0"/>
              <w:adjustRightInd w:val="0"/>
              <w:rPr>
                <w:rFonts w:eastAsia="Times New Roman"/>
              </w:rPr>
            </w:pPr>
            <w:r w:rsidRPr="008F5DB7">
              <w:rPr>
                <w:rFonts w:eastAsia="Times New Roman"/>
              </w:rPr>
              <w:t>Stand:</w:t>
            </w:r>
          </w:p>
        </w:tc>
        <w:tc>
          <w:tcPr>
            <w:tcW w:w="4395" w:type="dxa"/>
            <w:shd w:val="clear" w:color="auto" w:fill="auto"/>
          </w:tcPr>
          <w:p w:rsidR="00BF4B9D" w:rsidRPr="008F5DB7" w:rsidRDefault="00BB00EC" w:rsidP="00BB00EC">
            <w:pPr>
              <w:pStyle w:val="gemtab11ptAbstand"/>
              <w:autoSpaceDE w:val="0"/>
              <w:autoSpaceDN w:val="0"/>
              <w:adjustRightInd w:val="0"/>
              <w:rPr>
                <w:rFonts w:eastAsia="Times New Roman"/>
              </w:rPr>
            </w:pPr>
            <w:bookmarkStart w:id="2" w:name="Stand"/>
            <w:r>
              <w:rPr>
                <w:rFonts w:eastAsia="Times New Roman"/>
              </w:rPr>
              <w:t>07.12.</w:t>
            </w:r>
            <w:r w:rsidR="007B74C1">
              <w:rPr>
                <w:rFonts w:eastAsia="Times New Roman"/>
              </w:rPr>
              <w:t>2017</w:t>
            </w:r>
            <w:bookmarkEnd w:id="2"/>
          </w:p>
        </w:tc>
      </w:tr>
      <w:tr w:rsidR="007B74C1" w:rsidRPr="008F5DB7" w:rsidTr="007B74C1">
        <w:trPr>
          <w:jc w:val="center"/>
        </w:trPr>
        <w:tc>
          <w:tcPr>
            <w:tcW w:w="1857" w:type="dxa"/>
            <w:shd w:val="clear" w:color="auto" w:fill="auto"/>
          </w:tcPr>
          <w:p w:rsidR="00BF4B9D" w:rsidRPr="008F5DB7" w:rsidRDefault="00BF4B9D" w:rsidP="008F5DB7">
            <w:pPr>
              <w:pStyle w:val="gemtab11ptAbstand"/>
              <w:autoSpaceDE w:val="0"/>
              <w:autoSpaceDN w:val="0"/>
              <w:adjustRightInd w:val="0"/>
              <w:rPr>
                <w:rFonts w:eastAsia="Times New Roman"/>
              </w:rPr>
            </w:pPr>
            <w:r w:rsidRPr="008F5DB7">
              <w:rPr>
                <w:rFonts w:eastAsia="Times New Roman"/>
              </w:rPr>
              <w:t>Status:</w:t>
            </w:r>
          </w:p>
        </w:tc>
        <w:tc>
          <w:tcPr>
            <w:tcW w:w="4395" w:type="dxa"/>
            <w:shd w:val="clear" w:color="auto" w:fill="auto"/>
          </w:tcPr>
          <w:p w:rsidR="00BF4B9D" w:rsidRPr="008F5DB7" w:rsidRDefault="00CB1D7F" w:rsidP="008F5DB7">
            <w:pPr>
              <w:pStyle w:val="gemtab11ptAbstand"/>
              <w:autoSpaceDE w:val="0"/>
              <w:autoSpaceDN w:val="0"/>
              <w:adjustRightInd w:val="0"/>
              <w:rPr>
                <w:rFonts w:eastAsia="Times New Roman"/>
              </w:rPr>
            </w:pPr>
            <w:r w:rsidRPr="008F5DB7">
              <w:rPr>
                <w:rFonts w:eastAsia="Times New Roman"/>
              </w:rPr>
              <w:t>zur Abstimmung</w:t>
            </w:r>
            <w:r w:rsidR="007B74C1">
              <w:rPr>
                <w:rFonts w:eastAsia="Times New Roman"/>
              </w:rPr>
              <w:t xml:space="preserve"> freigeben</w:t>
            </w:r>
          </w:p>
        </w:tc>
      </w:tr>
      <w:tr w:rsidR="007B74C1" w:rsidRPr="008F5DB7" w:rsidTr="007B74C1">
        <w:trPr>
          <w:jc w:val="center"/>
        </w:trPr>
        <w:tc>
          <w:tcPr>
            <w:tcW w:w="1857" w:type="dxa"/>
            <w:shd w:val="clear" w:color="auto" w:fill="auto"/>
          </w:tcPr>
          <w:p w:rsidR="00BF4B9D" w:rsidRPr="008F5DB7" w:rsidRDefault="00BF4B9D" w:rsidP="008F5DB7">
            <w:pPr>
              <w:pStyle w:val="gemtab11ptAbstand"/>
              <w:autoSpaceDE w:val="0"/>
              <w:autoSpaceDN w:val="0"/>
              <w:adjustRightInd w:val="0"/>
              <w:rPr>
                <w:rFonts w:eastAsia="Times New Roman"/>
              </w:rPr>
            </w:pPr>
            <w:r w:rsidRPr="008F5DB7">
              <w:rPr>
                <w:rFonts w:eastAsia="Times New Roman"/>
              </w:rPr>
              <w:t>Klassifizierung:</w:t>
            </w:r>
          </w:p>
        </w:tc>
        <w:tc>
          <w:tcPr>
            <w:tcW w:w="4395" w:type="dxa"/>
            <w:shd w:val="clear" w:color="auto" w:fill="auto"/>
          </w:tcPr>
          <w:p w:rsidR="00BF4B9D" w:rsidRPr="008F5DB7" w:rsidRDefault="007B74C1" w:rsidP="007B74C1">
            <w:pPr>
              <w:pStyle w:val="gemtab11ptAbstand"/>
              <w:autoSpaceDE w:val="0"/>
              <w:autoSpaceDN w:val="0"/>
              <w:adjustRightInd w:val="0"/>
              <w:rPr>
                <w:rFonts w:eastAsia="Times New Roman"/>
              </w:rPr>
            </w:pPr>
            <w:bookmarkStart w:id="3" w:name="Klasse"/>
            <w:r>
              <w:rPr>
                <w:rFonts w:eastAsia="Times New Roman"/>
              </w:rPr>
              <w:t>vertraulich_LA</w:t>
            </w:r>
            <w:bookmarkEnd w:id="3"/>
          </w:p>
        </w:tc>
      </w:tr>
      <w:tr w:rsidR="007B74C1" w:rsidRPr="008F5DB7" w:rsidTr="007B74C1">
        <w:trPr>
          <w:jc w:val="center"/>
        </w:trPr>
        <w:tc>
          <w:tcPr>
            <w:tcW w:w="1857" w:type="dxa"/>
            <w:shd w:val="clear" w:color="auto" w:fill="auto"/>
          </w:tcPr>
          <w:p w:rsidR="00391D9F" w:rsidRPr="008F5DB7" w:rsidRDefault="00391D9F" w:rsidP="008F5DB7">
            <w:pPr>
              <w:pStyle w:val="gemtab11ptAbstand"/>
              <w:autoSpaceDE w:val="0"/>
              <w:autoSpaceDN w:val="0"/>
              <w:adjustRightInd w:val="0"/>
              <w:rPr>
                <w:rFonts w:eastAsia="Times New Roman"/>
              </w:rPr>
            </w:pPr>
            <w:r w:rsidRPr="008F5DB7">
              <w:rPr>
                <w:rFonts w:eastAsia="Times New Roman"/>
              </w:rPr>
              <w:t>Referenzierung:</w:t>
            </w:r>
          </w:p>
        </w:tc>
        <w:tc>
          <w:tcPr>
            <w:tcW w:w="4395" w:type="dxa"/>
            <w:shd w:val="clear" w:color="auto" w:fill="auto"/>
          </w:tcPr>
          <w:p w:rsidR="00391D9F" w:rsidRPr="008F5DB7" w:rsidRDefault="00391D9F" w:rsidP="00C80C23">
            <w:pPr>
              <w:pStyle w:val="gemtab11ptAbstand"/>
              <w:autoSpaceDE w:val="0"/>
              <w:autoSpaceDN w:val="0"/>
              <w:adjustRightInd w:val="0"/>
              <w:rPr>
                <w:rFonts w:eastAsia="Times New Roman"/>
              </w:rPr>
            </w:pPr>
            <w:bookmarkStart w:id="4" w:name="Referenzierung"/>
            <w:r w:rsidRPr="008F5DB7">
              <w:rPr>
                <w:szCs w:val="22"/>
              </w:rPr>
              <w:t>ge</w:t>
            </w:r>
            <w:r w:rsidR="00A139FC">
              <w:rPr>
                <w:szCs w:val="22"/>
              </w:rPr>
              <w:t>mSpec_</w:t>
            </w:r>
            <w:r w:rsidR="00C80C23">
              <w:rPr>
                <w:szCs w:val="22"/>
              </w:rPr>
              <w:t>DS</w:t>
            </w:r>
            <w:r w:rsidR="007B74C1">
              <w:rPr>
                <w:szCs w:val="22"/>
              </w:rPr>
              <w:t>_Anbieter</w:t>
            </w:r>
            <w:bookmarkEnd w:id="4"/>
          </w:p>
        </w:tc>
      </w:tr>
    </w:tbl>
    <w:p w:rsidR="0098496E" w:rsidRPr="0071250F" w:rsidRDefault="0098496E" w:rsidP="0071250F">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71250F">
        <w:rPr>
          <w:rFonts w:cs="Arial"/>
        </w:rPr>
        <w:t>Dokumentinformationen</w:t>
      </w:r>
      <w:bookmarkEnd w:id="5"/>
      <w:bookmarkEnd w:id="6"/>
      <w:bookmarkEnd w:id="7"/>
      <w:bookmarkEnd w:id="8"/>
      <w:bookmarkEnd w:id="9"/>
    </w:p>
    <w:p w:rsidR="0098496E" w:rsidRPr="00E34FD0" w:rsidRDefault="0098496E" w:rsidP="00C7699C">
      <w:pPr>
        <w:pStyle w:val="gemStandard"/>
        <w:rPr>
          <w:b/>
          <w:szCs w:val="22"/>
        </w:rPr>
      </w:pPr>
      <w:r w:rsidRPr="00E34FD0">
        <w:rPr>
          <w:b/>
          <w:szCs w:val="22"/>
        </w:rPr>
        <w:t>Änderungen zur Vorversion</w:t>
      </w:r>
    </w:p>
    <w:p w:rsidR="00E34FD0" w:rsidRPr="00E34FD0" w:rsidRDefault="00E34FD0" w:rsidP="00C7699C">
      <w:pPr>
        <w:pStyle w:val="gemStandard"/>
        <w:rPr>
          <w:szCs w:val="22"/>
        </w:rPr>
      </w:pPr>
      <w:r w:rsidRPr="00E34FD0">
        <w:rPr>
          <w:szCs w:val="22"/>
        </w:rPr>
        <w:t>Es handelt sich um die Erstversion des Dokumentes.</w:t>
      </w:r>
    </w:p>
    <w:p w:rsidR="0098496E" w:rsidRPr="00E34FD0" w:rsidRDefault="0098496E" w:rsidP="00932F44">
      <w:pPr>
        <w:pStyle w:val="gemStandard"/>
        <w:keepNext/>
        <w:rPr>
          <w:b/>
          <w:szCs w:val="22"/>
        </w:rPr>
      </w:pPr>
      <w:bookmarkStart w:id="10" w:name="_Toc149010815"/>
      <w:r w:rsidRPr="00E34FD0">
        <w:rPr>
          <w:b/>
          <w:szCs w:val="22"/>
        </w:rPr>
        <w:lastRenderedPageBreak/>
        <w:t>Dokumentenhistorie</w:t>
      </w:r>
      <w:bookmarkEnd w:id="10"/>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98496E" w:rsidRPr="00540031" w:rsidTr="00932F44">
        <w:trPr>
          <w:cantSplit/>
          <w:tblHeader/>
        </w:trPr>
        <w:tc>
          <w:tcPr>
            <w:tcW w:w="957" w:type="dxa"/>
            <w:shd w:val="clear" w:color="auto" w:fill="E0E0E0"/>
          </w:tcPr>
          <w:p w:rsidR="0098496E" w:rsidRPr="00540031" w:rsidRDefault="0098496E" w:rsidP="008048B1">
            <w:pPr>
              <w:pStyle w:val="gemtab11ptAbstand"/>
              <w:rPr>
                <w:b/>
                <w:sz w:val="20"/>
              </w:rPr>
            </w:pPr>
            <w:r w:rsidRPr="00540031">
              <w:rPr>
                <w:b/>
                <w:sz w:val="20"/>
              </w:rPr>
              <w:t>Version</w:t>
            </w:r>
          </w:p>
        </w:tc>
        <w:tc>
          <w:tcPr>
            <w:tcW w:w="1080" w:type="dxa"/>
            <w:shd w:val="clear" w:color="auto" w:fill="E0E0E0"/>
          </w:tcPr>
          <w:p w:rsidR="0098496E" w:rsidRPr="00540031" w:rsidRDefault="0098496E" w:rsidP="008048B1">
            <w:pPr>
              <w:pStyle w:val="gemtab11ptAbstand"/>
              <w:rPr>
                <w:b/>
                <w:sz w:val="20"/>
              </w:rPr>
            </w:pPr>
            <w:r w:rsidRPr="00540031">
              <w:rPr>
                <w:b/>
                <w:sz w:val="20"/>
              </w:rPr>
              <w:t>Stand</w:t>
            </w:r>
          </w:p>
        </w:tc>
        <w:tc>
          <w:tcPr>
            <w:tcW w:w="807" w:type="dxa"/>
            <w:shd w:val="clear" w:color="auto" w:fill="E0E0E0"/>
          </w:tcPr>
          <w:p w:rsidR="0098496E" w:rsidRPr="00540031" w:rsidRDefault="0098496E" w:rsidP="008048B1">
            <w:pPr>
              <w:pStyle w:val="gemtab11ptAbstand"/>
              <w:rPr>
                <w:b/>
                <w:sz w:val="20"/>
              </w:rPr>
            </w:pPr>
            <w:r w:rsidRPr="00540031">
              <w:rPr>
                <w:b/>
                <w:sz w:val="20"/>
              </w:rPr>
              <w:t>Kap./ Seite</w:t>
            </w:r>
          </w:p>
        </w:tc>
        <w:tc>
          <w:tcPr>
            <w:tcW w:w="4593" w:type="dxa"/>
            <w:shd w:val="clear" w:color="auto" w:fill="E0E0E0"/>
          </w:tcPr>
          <w:p w:rsidR="0098496E" w:rsidRPr="00540031" w:rsidRDefault="0098496E" w:rsidP="008048B1">
            <w:pPr>
              <w:pStyle w:val="gemtab11ptAbstand"/>
              <w:rPr>
                <w:b/>
                <w:caps/>
                <w:sz w:val="20"/>
              </w:rPr>
            </w:pPr>
            <w:r w:rsidRPr="00540031">
              <w:rPr>
                <w:b/>
                <w:sz w:val="20"/>
              </w:rPr>
              <w:t>Grund der Änderung, besondere Hinweise</w:t>
            </w:r>
          </w:p>
        </w:tc>
        <w:tc>
          <w:tcPr>
            <w:tcW w:w="1455" w:type="dxa"/>
            <w:shd w:val="clear" w:color="auto" w:fill="E0E0E0"/>
          </w:tcPr>
          <w:p w:rsidR="0098496E" w:rsidRPr="00540031" w:rsidRDefault="0098496E" w:rsidP="008048B1">
            <w:pPr>
              <w:pStyle w:val="gemtab11ptAbstand"/>
              <w:rPr>
                <w:b/>
                <w:sz w:val="20"/>
              </w:rPr>
            </w:pPr>
            <w:r w:rsidRPr="00540031">
              <w:rPr>
                <w:b/>
                <w:sz w:val="20"/>
              </w:rPr>
              <w:t>Bearbeitung</w:t>
            </w:r>
          </w:p>
        </w:tc>
      </w:tr>
      <w:tr w:rsidR="0098496E" w:rsidRPr="00540031" w:rsidTr="00932F44">
        <w:trPr>
          <w:cantSplit/>
        </w:trPr>
        <w:tc>
          <w:tcPr>
            <w:tcW w:w="957" w:type="dxa"/>
            <w:shd w:val="clear" w:color="auto" w:fill="auto"/>
          </w:tcPr>
          <w:p w:rsidR="0098496E" w:rsidRPr="00540031" w:rsidRDefault="003C16F1" w:rsidP="003C16F1">
            <w:pPr>
              <w:pStyle w:val="gemtab11ptAbstand"/>
              <w:rPr>
                <w:sz w:val="20"/>
              </w:rPr>
            </w:pPr>
            <w:r>
              <w:rPr>
                <w:sz w:val="20"/>
              </w:rPr>
              <w:t>0.9.0</w:t>
            </w:r>
          </w:p>
        </w:tc>
        <w:tc>
          <w:tcPr>
            <w:tcW w:w="1080" w:type="dxa"/>
            <w:shd w:val="clear" w:color="auto" w:fill="auto"/>
          </w:tcPr>
          <w:p w:rsidR="0098496E" w:rsidRPr="00540031" w:rsidRDefault="00B44D8A" w:rsidP="00B44D8A">
            <w:pPr>
              <w:pStyle w:val="gemtab11ptAbstand"/>
              <w:rPr>
                <w:sz w:val="20"/>
              </w:rPr>
            </w:pPr>
            <w:r>
              <w:rPr>
                <w:sz w:val="20"/>
              </w:rPr>
              <w:t>18</w:t>
            </w:r>
            <w:r w:rsidR="00174C2F">
              <w:rPr>
                <w:sz w:val="20"/>
              </w:rPr>
              <w:t>.</w:t>
            </w:r>
            <w:r>
              <w:rPr>
                <w:sz w:val="20"/>
              </w:rPr>
              <w:t>09</w:t>
            </w:r>
            <w:r w:rsidR="00174C2F">
              <w:rPr>
                <w:sz w:val="20"/>
              </w:rPr>
              <w:t>.17</w:t>
            </w:r>
          </w:p>
        </w:tc>
        <w:tc>
          <w:tcPr>
            <w:tcW w:w="807" w:type="dxa"/>
            <w:shd w:val="clear" w:color="auto" w:fill="auto"/>
          </w:tcPr>
          <w:p w:rsidR="0098496E" w:rsidRPr="00540031" w:rsidRDefault="0098496E" w:rsidP="008048B1">
            <w:pPr>
              <w:pStyle w:val="gemtab11ptAbstand"/>
              <w:rPr>
                <w:sz w:val="20"/>
              </w:rPr>
            </w:pPr>
          </w:p>
        </w:tc>
        <w:tc>
          <w:tcPr>
            <w:tcW w:w="4593" w:type="dxa"/>
            <w:shd w:val="clear" w:color="auto" w:fill="auto"/>
          </w:tcPr>
          <w:p w:rsidR="0098496E" w:rsidRPr="00540031" w:rsidRDefault="00174C2F" w:rsidP="008048B1">
            <w:pPr>
              <w:pStyle w:val="gemtab11ptAbstand"/>
              <w:rPr>
                <w:sz w:val="20"/>
              </w:rPr>
            </w:pPr>
            <w:r>
              <w:rPr>
                <w:sz w:val="20"/>
              </w:rPr>
              <w:t>Initiale Erstellung</w:t>
            </w:r>
          </w:p>
        </w:tc>
        <w:tc>
          <w:tcPr>
            <w:tcW w:w="1455" w:type="dxa"/>
            <w:shd w:val="clear" w:color="auto" w:fill="auto"/>
          </w:tcPr>
          <w:p w:rsidR="0098496E" w:rsidRPr="00540031" w:rsidRDefault="00BB00EC" w:rsidP="008048B1">
            <w:pPr>
              <w:pStyle w:val="gemtab11ptAbstand"/>
              <w:rPr>
                <w:sz w:val="20"/>
              </w:rPr>
            </w:pPr>
            <w:r>
              <w:rPr>
                <w:sz w:val="20"/>
              </w:rPr>
              <w:t>gematik</w:t>
            </w:r>
          </w:p>
        </w:tc>
      </w:tr>
      <w:tr w:rsidR="0098496E" w:rsidRPr="00540031" w:rsidTr="00932F44">
        <w:trPr>
          <w:cantSplit/>
        </w:trPr>
        <w:tc>
          <w:tcPr>
            <w:tcW w:w="957" w:type="dxa"/>
            <w:shd w:val="clear" w:color="auto" w:fill="auto"/>
          </w:tcPr>
          <w:p w:rsidR="0098496E" w:rsidRPr="00540031" w:rsidRDefault="003C16F1" w:rsidP="008048B1">
            <w:pPr>
              <w:pStyle w:val="gemtab11ptAbstand"/>
              <w:rPr>
                <w:sz w:val="20"/>
              </w:rPr>
            </w:pPr>
            <w:r>
              <w:rPr>
                <w:sz w:val="20"/>
              </w:rPr>
              <w:t>1.0.0 CC</w:t>
            </w:r>
          </w:p>
        </w:tc>
        <w:tc>
          <w:tcPr>
            <w:tcW w:w="1080" w:type="dxa"/>
            <w:shd w:val="clear" w:color="auto" w:fill="auto"/>
          </w:tcPr>
          <w:p w:rsidR="0098496E" w:rsidRPr="00540031" w:rsidRDefault="00224040" w:rsidP="008048B1">
            <w:pPr>
              <w:pStyle w:val="gemtab11ptAbstand"/>
              <w:rPr>
                <w:sz w:val="20"/>
              </w:rPr>
            </w:pPr>
            <w:r>
              <w:rPr>
                <w:sz w:val="20"/>
              </w:rPr>
              <w:t>25.10</w:t>
            </w:r>
            <w:r w:rsidR="003C16F1">
              <w:rPr>
                <w:sz w:val="20"/>
              </w:rPr>
              <w:t>.17</w:t>
            </w:r>
          </w:p>
        </w:tc>
        <w:tc>
          <w:tcPr>
            <w:tcW w:w="807" w:type="dxa"/>
            <w:shd w:val="clear" w:color="auto" w:fill="auto"/>
          </w:tcPr>
          <w:p w:rsidR="0098496E" w:rsidRPr="00540031" w:rsidRDefault="0098496E" w:rsidP="008048B1">
            <w:pPr>
              <w:pStyle w:val="gemtab11ptAbstand"/>
              <w:rPr>
                <w:sz w:val="20"/>
              </w:rPr>
            </w:pPr>
          </w:p>
        </w:tc>
        <w:tc>
          <w:tcPr>
            <w:tcW w:w="4593" w:type="dxa"/>
            <w:shd w:val="clear" w:color="auto" w:fill="auto"/>
          </w:tcPr>
          <w:p w:rsidR="0098496E" w:rsidRPr="00540031" w:rsidRDefault="003C16F1" w:rsidP="008048B1">
            <w:pPr>
              <w:pStyle w:val="gemtab11ptAbstand"/>
              <w:rPr>
                <w:sz w:val="20"/>
              </w:rPr>
            </w:pPr>
            <w:r>
              <w:rPr>
                <w:sz w:val="20"/>
              </w:rPr>
              <w:t>Kommentierung</w:t>
            </w:r>
          </w:p>
        </w:tc>
        <w:tc>
          <w:tcPr>
            <w:tcW w:w="1455" w:type="dxa"/>
            <w:shd w:val="clear" w:color="auto" w:fill="auto"/>
          </w:tcPr>
          <w:p w:rsidR="0098496E" w:rsidRPr="00540031" w:rsidRDefault="0098496E" w:rsidP="008048B1">
            <w:pPr>
              <w:pStyle w:val="gemtab11ptAbstand"/>
              <w:rPr>
                <w:sz w:val="20"/>
              </w:rPr>
            </w:pPr>
          </w:p>
        </w:tc>
      </w:tr>
      <w:tr w:rsidR="0098496E" w:rsidRPr="00540031" w:rsidTr="00932F44">
        <w:trPr>
          <w:cantSplit/>
        </w:trPr>
        <w:tc>
          <w:tcPr>
            <w:tcW w:w="957" w:type="dxa"/>
            <w:shd w:val="clear" w:color="auto" w:fill="auto"/>
          </w:tcPr>
          <w:p w:rsidR="0098496E" w:rsidRPr="00540031" w:rsidRDefault="00BB00EC" w:rsidP="008048B1">
            <w:pPr>
              <w:pStyle w:val="gemtab11ptAbstand"/>
              <w:rPr>
                <w:sz w:val="20"/>
              </w:rPr>
            </w:pPr>
            <w:r>
              <w:rPr>
                <w:sz w:val="20"/>
              </w:rPr>
              <w:t>1.0.0 CC 2</w:t>
            </w:r>
          </w:p>
        </w:tc>
        <w:tc>
          <w:tcPr>
            <w:tcW w:w="1080" w:type="dxa"/>
            <w:shd w:val="clear" w:color="auto" w:fill="auto"/>
          </w:tcPr>
          <w:p w:rsidR="0098496E" w:rsidRPr="00540031" w:rsidRDefault="00BB00EC" w:rsidP="008048B1">
            <w:pPr>
              <w:pStyle w:val="gemtab11ptAbstand"/>
              <w:rPr>
                <w:sz w:val="20"/>
              </w:rPr>
            </w:pPr>
            <w:r>
              <w:rPr>
                <w:sz w:val="20"/>
              </w:rPr>
              <w:t>07.12.17</w:t>
            </w:r>
          </w:p>
        </w:tc>
        <w:tc>
          <w:tcPr>
            <w:tcW w:w="807" w:type="dxa"/>
            <w:shd w:val="clear" w:color="auto" w:fill="auto"/>
          </w:tcPr>
          <w:p w:rsidR="0098496E" w:rsidRPr="00540031" w:rsidRDefault="0098496E" w:rsidP="008048B1">
            <w:pPr>
              <w:pStyle w:val="gemtab11ptAbstand"/>
              <w:rPr>
                <w:sz w:val="20"/>
              </w:rPr>
            </w:pPr>
          </w:p>
        </w:tc>
        <w:tc>
          <w:tcPr>
            <w:tcW w:w="4593" w:type="dxa"/>
            <w:shd w:val="clear" w:color="auto" w:fill="auto"/>
          </w:tcPr>
          <w:p w:rsidR="0098496E" w:rsidRPr="00540031" w:rsidRDefault="00BB00EC" w:rsidP="008048B1">
            <w:pPr>
              <w:pStyle w:val="gemtab11ptAbstand"/>
              <w:rPr>
                <w:sz w:val="20"/>
              </w:rPr>
            </w:pPr>
            <w:r>
              <w:rPr>
                <w:sz w:val="20"/>
              </w:rPr>
              <w:t>zur Abstimmung freigegeben</w:t>
            </w:r>
          </w:p>
        </w:tc>
        <w:tc>
          <w:tcPr>
            <w:tcW w:w="1455" w:type="dxa"/>
            <w:shd w:val="clear" w:color="auto" w:fill="auto"/>
          </w:tcPr>
          <w:p w:rsidR="0098496E" w:rsidRPr="00540031" w:rsidRDefault="00BB00EC" w:rsidP="008048B1">
            <w:pPr>
              <w:pStyle w:val="gemtab11ptAbstand"/>
              <w:rPr>
                <w:sz w:val="20"/>
              </w:rPr>
            </w:pPr>
            <w:r>
              <w:rPr>
                <w:sz w:val="20"/>
              </w:rPr>
              <w:t>gematik</w:t>
            </w:r>
          </w:p>
        </w:tc>
      </w:tr>
    </w:tbl>
    <w:p w:rsidR="001705FD" w:rsidRDefault="001705FD" w:rsidP="00F26CEC"/>
    <w:p w:rsidR="0019036F" w:rsidRPr="00947CCC" w:rsidRDefault="0019036F" w:rsidP="00947CCC">
      <w:pPr>
        <w:pStyle w:val="gemEinzug"/>
        <w:ind w:left="0"/>
        <w:rPr>
          <w:b/>
        </w:rPr>
      </w:pPr>
    </w:p>
    <w:p w:rsidR="0071250F" w:rsidRDefault="0071250F" w:rsidP="0071250F">
      <w:pPr>
        <w:pStyle w:val="Titel"/>
        <w:pBdr>
          <w:top w:val="single" w:sz="4" w:space="10" w:color="auto"/>
          <w:bottom w:val="single" w:sz="4" w:space="10" w:color="auto"/>
        </w:pBdr>
        <w:rPr>
          <w:rFonts w:cs="Arial"/>
        </w:rPr>
        <w:sectPr w:rsidR="0071250F" w:rsidSect="007B74C1">
          <w:headerReference w:type="default" r:id="rId9"/>
          <w:footerReference w:type="default" r:id="rId10"/>
          <w:footerReference w:type="first" r:id="rId11"/>
          <w:pgSz w:w="11906" w:h="16838" w:code="9"/>
          <w:pgMar w:top="2104" w:right="1469" w:bottom="1701" w:left="1701" w:header="709" w:footer="344" w:gutter="0"/>
          <w:cols w:space="708"/>
          <w:titlePg/>
          <w:docGrid w:linePitch="360"/>
        </w:sectPr>
      </w:pPr>
    </w:p>
    <w:p w:rsidR="00CA7B46" w:rsidRPr="0071250F" w:rsidRDefault="00CA7B46" w:rsidP="0071250F">
      <w:pPr>
        <w:pStyle w:val="Titel"/>
        <w:pBdr>
          <w:top w:val="single" w:sz="4" w:space="10" w:color="auto"/>
          <w:bottom w:val="single" w:sz="4" w:space="10" w:color="auto"/>
        </w:pBdr>
        <w:rPr>
          <w:rFonts w:cs="Arial"/>
        </w:rPr>
      </w:pPr>
      <w:r w:rsidRPr="0071250F">
        <w:rPr>
          <w:rFonts w:cs="Arial"/>
        </w:rPr>
        <w:lastRenderedPageBreak/>
        <w:t>Inhaltsverzeichnis</w:t>
      </w:r>
    </w:p>
    <w:p w:rsidR="00CA7B46" w:rsidRPr="0095746E" w:rsidRDefault="00CA7B46" w:rsidP="00F26CEC"/>
    <w:p w:rsidR="0071250F" w:rsidRDefault="00687D4E">
      <w:pPr>
        <w:pStyle w:val="Verzeichnis1"/>
        <w:tabs>
          <w:tab w:val="left" w:pos="440"/>
          <w:tab w:val="right" w:leader="dot" w:pos="8726"/>
        </w:tabs>
        <w:rPr>
          <w:rFonts w:asciiTheme="minorHAnsi" w:eastAsiaTheme="minorEastAsia" w:hAnsiTheme="minorHAnsi" w:cstheme="minorBidi"/>
          <w:b w:val="0"/>
          <w:bCs w:val="0"/>
          <w:noProof/>
          <w:sz w:val="22"/>
          <w:szCs w:val="22"/>
        </w:rPr>
      </w:pPr>
      <w:r w:rsidRPr="0095746E">
        <w:rPr>
          <w:rFonts w:cs="Arial"/>
        </w:rPr>
        <w:fldChar w:fldCharType="begin"/>
      </w:r>
      <w:r w:rsidRPr="008B4C32">
        <w:rPr>
          <w:rFonts w:cs="Arial"/>
        </w:rPr>
        <w:instrText xml:space="preserve"> TOC \o "3-5" \h \z \t "Überschrift 1;1;Überschrift 2;2;gem_nonum_Ü4;4;gem_Ü5;5;GEM_Ü3;3;gem_Ü4;4;gem_Ü1;1;gem_Ü2;2;gem_nonum_Ü1;1;gem_nonum_Ü2;2;gem_nonum_Ü3;3" </w:instrText>
      </w:r>
      <w:r w:rsidRPr="0095746E">
        <w:rPr>
          <w:rFonts w:cs="Arial"/>
        </w:rPr>
        <w:fldChar w:fldCharType="separate"/>
      </w:r>
      <w:hyperlink w:anchor="_Toc503165489" w:history="1">
        <w:r w:rsidR="0071250F" w:rsidRPr="00C17FB0">
          <w:rPr>
            <w:rStyle w:val="Hyperlink"/>
            <w:noProof/>
          </w:rPr>
          <w:t>1</w:t>
        </w:r>
        <w:r w:rsidR="0071250F">
          <w:rPr>
            <w:rFonts w:asciiTheme="minorHAnsi" w:eastAsiaTheme="minorEastAsia" w:hAnsiTheme="minorHAnsi" w:cstheme="minorBidi"/>
            <w:b w:val="0"/>
            <w:bCs w:val="0"/>
            <w:noProof/>
            <w:sz w:val="22"/>
            <w:szCs w:val="22"/>
          </w:rPr>
          <w:tab/>
        </w:r>
        <w:r w:rsidR="0071250F" w:rsidRPr="00C17FB0">
          <w:rPr>
            <w:rStyle w:val="Hyperlink"/>
            <w:noProof/>
          </w:rPr>
          <w:t>Einordnung des Dokuments</w:t>
        </w:r>
        <w:r w:rsidR="0071250F">
          <w:rPr>
            <w:noProof/>
            <w:webHidden/>
          </w:rPr>
          <w:tab/>
        </w:r>
        <w:r w:rsidR="0071250F">
          <w:rPr>
            <w:noProof/>
            <w:webHidden/>
          </w:rPr>
          <w:fldChar w:fldCharType="begin"/>
        </w:r>
        <w:r w:rsidR="0071250F">
          <w:rPr>
            <w:noProof/>
            <w:webHidden/>
          </w:rPr>
          <w:instrText xml:space="preserve"> PAGEREF _Toc503165489 \h </w:instrText>
        </w:r>
        <w:r w:rsidR="0071250F">
          <w:rPr>
            <w:noProof/>
            <w:webHidden/>
          </w:rPr>
        </w:r>
        <w:r w:rsidR="0071250F">
          <w:rPr>
            <w:noProof/>
            <w:webHidden/>
          </w:rPr>
          <w:fldChar w:fldCharType="separate"/>
        </w:r>
        <w:r w:rsidR="0071250F">
          <w:rPr>
            <w:noProof/>
            <w:webHidden/>
          </w:rPr>
          <w:t>5</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490" w:history="1">
        <w:r w:rsidR="0071250F" w:rsidRPr="00C17FB0">
          <w:rPr>
            <w:rStyle w:val="Hyperlink"/>
            <w:noProof/>
          </w:rPr>
          <w:t>1.1</w:t>
        </w:r>
        <w:r w:rsidR="0071250F">
          <w:rPr>
            <w:rFonts w:asciiTheme="minorHAnsi" w:eastAsiaTheme="minorEastAsia" w:hAnsiTheme="minorHAnsi" w:cstheme="minorBidi"/>
            <w:b w:val="0"/>
            <w:iCs w:val="0"/>
            <w:noProof/>
            <w:szCs w:val="22"/>
          </w:rPr>
          <w:tab/>
        </w:r>
        <w:r w:rsidR="0071250F" w:rsidRPr="00C17FB0">
          <w:rPr>
            <w:rStyle w:val="Hyperlink"/>
            <w:noProof/>
          </w:rPr>
          <w:t>Zielsetzung</w:t>
        </w:r>
        <w:r w:rsidR="0071250F">
          <w:rPr>
            <w:noProof/>
            <w:webHidden/>
          </w:rPr>
          <w:tab/>
        </w:r>
        <w:r w:rsidR="0071250F">
          <w:rPr>
            <w:noProof/>
            <w:webHidden/>
          </w:rPr>
          <w:fldChar w:fldCharType="begin"/>
        </w:r>
        <w:r w:rsidR="0071250F">
          <w:rPr>
            <w:noProof/>
            <w:webHidden/>
          </w:rPr>
          <w:instrText xml:space="preserve"> PAGEREF _Toc503165490 \h </w:instrText>
        </w:r>
        <w:r w:rsidR="0071250F">
          <w:rPr>
            <w:noProof/>
            <w:webHidden/>
          </w:rPr>
        </w:r>
        <w:r w:rsidR="0071250F">
          <w:rPr>
            <w:noProof/>
            <w:webHidden/>
          </w:rPr>
          <w:fldChar w:fldCharType="separate"/>
        </w:r>
        <w:r w:rsidR="0071250F">
          <w:rPr>
            <w:noProof/>
            <w:webHidden/>
          </w:rPr>
          <w:t>5</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491" w:history="1">
        <w:r w:rsidR="0071250F" w:rsidRPr="00C17FB0">
          <w:rPr>
            <w:rStyle w:val="Hyperlink"/>
            <w:noProof/>
          </w:rPr>
          <w:t>1.2</w:t>
        </w:r>
        <w:r w:rsidR="0071250F">
          <w:rPr>
            <w:rFonts w:asciiTheme="minorHAnsi" w:eastAsiaTheme="minorEastAsia" w:hAnsiTheme="minorHAnsi" w:cstheme="minorBidi"/>
            <w:b w:val="0"/>
            <w:iCs w:val="0"/>
            <w:noProof/>
            <w:szCs w:val="22"/>
          </w:rPr>
          <w:tab/>
        </w:r>
        <w:r w:rsidR="0071250F" w:rsidRPr="00C17FB0">
          <w:rPr>
            <w:rStyle w:val="Hyperlink"/>
            <w:noProof/>
          </w:rPr>
          <w:t>Zielgruppe</w:t>
        </w:r>
        <w:r w:rsidR="0071250F">
          <w:rPr>
            <w:noProof/>
            <w:webHidden/>
          </w:rPr>
          <w:tab/>
        </w:r>
        <w:r w:rsidR="0071250F">
          <w:rPr>
            <w:noProof/>
            <w:webHidden/>
          </w:rPr>
          <w:fldChar w:fldCharType="begin"/>
        </w:r>
        <w:r w:rsidR="0071250F">
          <w:rPr>
            <w:noProof/>
            <w:webHidden/>
          </w:rPr>
          <w:instrText xml:space="preserve"> PAGEREF _Toc503165491 \h </w:instrText>
        </w:r>
        <w:r w:rsidR="0071250F">
          <w:rPr>
            <w:noProof/>
            <w:webHidden/>
          </w:rPr>
        </w:r>
        <w:r w:rsidR="0071250F">
          <w:rPr>
            <w:noProof/>
            <w:webHidden/>
          </w:rPr>
          <w:fldChar w:fldCharType="separate"/>
        </w:r>
        <w:r w:rsidR="0071250F">
          <w:rPr>
            <w:noProof/>
            <w:webHidden/>
          </w:rPr>
          <w:t>5</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492" w:history="1">
        <w:r w:rsidR="0071250F" w:rsidRPr="00C17FB0">
          <w:rPr>
            <w:rStyle w:val="Hyperlink"/>
            <w:noProof/>
          </w:rPr>
          <w:t>1.3</w:t>
        </w:r>
        <w:r w:rsidR="0071250F">
          <w:rPr>
            <w:rFonts w:asciiTheme="minorHAnsi" w:eastAsiaTheme="minorEastAsia" w:hAnsiTheme="minorHAnsi" w:cstheme="minorBidi"/>
            <w:b w:val="0"/>
            <w:iCs w:val="0"/>
            <w:noProof/>
            <w:szCs w:val="22"/>
          </w:rPr>
          <w:tab/>
        </w:r>
        <w:r w:rsidR="0071250F" w:rsidRPr="00C17FB0">
          <w:rPr>
            <w:rStyle w:val="Hyperlink"/>
            <w:noProof/>
          </w:rPr>
          <w:t>Geltungsbereich</w:t>
        </w:r>
        <w:r w:rsidR="0071250F">
          <w:rPr>
            <w:noProof/>
            <w:webHidden/>
          </w:rPr>
          <w:tab/>
        </w:r>
        <w:r w:rsidR="0071250F">
          <w:rPr>
            <w:noProof/>
            <w:webHidden/>
          </w:rPr>
          <w:fldChar w:fldCharType="begin"/>
        </w:r>
        <w:r w:rsidR="0071250F">
          <w:rPr>
            <w:noProof/>
            <w:webHidden/>
          </w:rPr>
          <w:instrText xml:space="preserve"> PAGEREF _Toc503165492 \h </w:instrText>
        </w:r>
        <w:r w:rsidR="0071250F">
          <w:rPr>
            <w:noProof/>
            <w:webHidden/>
          </w:rPr>
        </w:r>
        <w:r w:rsidR="0071250F">
          <w:rPr>
            <w:noProof/>
            <w:webHidden/>
          </w:rPr>
          <w:fldChar w:fldCharType="separate"/>
        </w:r>
        <w:r w:rsidR="0071250F">
          <w:rPr>
            <w:noProof/>
            <w:webHidden/>
          </w:rPr>
          <w:t>5</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493" w:history="1">
        <w:r w:rsidR="0071250F" w:rsidRPr="00C17FB0">
          <w:rPr>
            <w:rStyle w:val="Hyperlink"/>
            <w:noProof/>
          </w:rPr>
          <w:t>1.4</w:t>
        </w:r>
        <w:r w:rsidR="0071250F">
          <w:rPr>
            <w:rFonts w:asciiTheme="minorHAnsi" w:eastAsiaTheme="minorEastAsia" w:hAnsiTheme="minorHAnsi" w:cstheme="minorBidi"/>
            <w:b w:val="0"/>
            <w:iCs w:val="0"/>
            <w:noProof/>
            <w:szCs w:val="22"/>
          </w:rPr>
          <w:tab/>
        </w:r>
        <w:r w:rsidR="0071250F" w:rsidRPr="00C17FB0">
          <w:rPr>
            <w:rStyle w:val="Hyperlink"/>
            <w:noProof/>
          </w:rPr>
          <w:t>Abgrenzungen</w:t>
        </w:r>
        <w:r w:rsidR="0071250F">
          <w:rPr>
            <w:noProof/>
            <w:webHidden/>
          </w:rPr>
          <w:tab/>
        </w:r>
        <w:r w:rsidR="0071250F">
          <w:rPr>
            <w:noProof/>
            <w:webHidden/>
          </w:rPr>
          <w:fldChar w:fldCharType="begin"/>
        </w:r>
        <w:r w:rsidR="0071250F">
          <w:rPr>
            <w:noProof/>
            <w:webHidden/>
          </w:rPr>
          <w:instrText xml:space="preserve"> PAGEREF _Toc503165493 \h </w:instrText>
        </w:r>
        <w:r w:rsidR="0071250F">
          <w:rPr>
            <w:noProof/>
            <w:webHidden/>
          </w:rPr>
        </w:r>
        <w:r w:rsidR="0071250F">
          <w:rPr>
            <w:noProof/>
            <w:webHidden/>
          </w:rPr>
          <w:fldChar w:fldCharType="separate"/>
        </w:r>
        <w:r w:rsidR="0071250F">
          <w:rPr>
            <w:noProof/>
            <w:webHidden/>
          </w:rPr>
          <w:t>5</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494" w:history="1">
        <w:r w:rsidR="0071250F" w:rsidRPr="00C17FB0">
          <w:rPr>
            <w:rStyle w:val="Hyperlink"/>
            <w:noProof/>
          </w:rPr>
          <w:t>1.5</w:t>
        </w:r>
        <w:r w:rsidR="0071250F">
          <w:rPr>
            <w:rFonts w:asciiTheme="minorHAnsi" w:eastAsiaTheme="minorEastAsia" w:hAnsiTheme="minorHAnsi" w:cstheme="minorBidi"/>
            <w:b w:val="0"/>
            <w:iCs w:val="0"/>
            <w:noProof/>
            <w:szCs w:val="22"/>
          </w:rPr>
          <w:tab/>
        </w:r>
        <w:r w:rsidR="0071250F" w:rsidRPr="00C17FB0">
          <w:rPr>
            <w:rStyle w:val="Hyperlink"/>
            <w:noProof/>
          </w:rPr>
          <w:t>Methodik</w:t>
        </w:r>
        <w:r w:rsidR="0071250F">
          <w:rPr>
            <w:noProof/>
            <w:webHidden/>
          </w:rPr>
          <w:tab/>
        </w:r>
        <w:r w:rsidR="0071250F">
          <w:rPr>
            <w:noProof/>
            <w:webHidden/>
          </w:rPr>
          <w:fldChar w:fldCharType="begin"/>
        </w:r>
        <w:r w:rsidR="0071250F">
          <w:rPr>
            <w:noProof/>
            <w:webHidden/>
          </w:rPr>
          <w:instrText xml:space="preserve"> PAGEREF _Toc503165494 \h </w:instrText>
        </w:r>
        <w:r w:rsidR="0071250F">
          <w:rPr>
            <w:noProof/>
            <w:webHidden/>
          </w:rPr>
        </w:r>
        <w:r w:rsidR="0071250F">
          <w:rPr>
            <w:noProof/>
            <w:webHidden/>
          </w:rPr>
          <w:fldChar w:fldCharType="separate"/>
        </w:r>
        <w:r w:rsidR="0071250F">
          <w:rPr>
            <w:noProof/>
            <w:webHidden/>
          </w:rPr>
          <w:t>6</w:t>
        </w:r>
        <w:r w:rsidR="0071250F">
          <w:rPr>
            <w:noProof/>
            <w:webHidden/>
          </w:rPr>
          <w:fldChar w:fldCharType="end"/>
        </w:r>
      </w:hyperlink>
    </w:p>
    <w:p w:rsidR="0071250F" w:rsidRDefault="002E6160">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5495" w:history="1">
        <w:r w:rsidR="0071250F" w:rsidRPr="00C17FB0">
          <w:rPr>
            <w:rStyle w:val="Hyperlink"/>
            <w:noProof/>
          </w:rPr>
          <w:t>2</w:t>
        </w:r>
        <w:r w:rsidR="0071250F">
          <w:rPr>
            <w:rFonts w:asciiTheme="minorHAnsi" w:eastAsiaTheme="minorEastAsia" w:hAnsiTheme="minorHAnsi" w:cstheme="minorBidi"/>
            <w:b w:val="0"/>
            <w:bCs w:val="0"/>
            <w:noProof/>
            <w:sz w:val="22"/>
            <w:szCs w:val="22"/>
          </w:rPr>
          <w:tab/>
        </w:r>
        <w:r w:rsidR="0071250F" w:rsidRPr="00C17FB0">
          <w:rPr>
            <w:rStyle w:val="Hyperlink"/>
            <w:noProof/>
          </w:rPr>
          <w:t>Modularisierung</w:t>
        </w:r>
        <w:r w:rsidR="0071250F">
          <w:rPr>
            <w:noProof/>
            <w:webHidden/>
          </w:rPr>
          <w:tab/>
        </w:r>
        <w:r w:rsidR="0071250F">
          <w:rPr>
            <w:noProof/>
            <w:webHidden/>
          </w:rPr>
          <w:fldChar w:fldCharType="begin"/>
        </w:r>
        <w:r w:rsidR="0071250F">
          <w:rPr>
            <w:noProof/>
            <w:webHidden/>
          </w:rPr>
          <w:instrText xml:space="preserve"> PAGEREF _Toc503165495 \h </w:instrText>
        </w:r>
        <w:r w:rsidR="0071250F">
          <w:rPr>
            <w:noProof/>
            <w:webHidden/>
          </w:rPr>
        </w:r>
        <w:r w:rsidR="0071250F">
          <w:rPr>
            <w:noProof/>
            <w:webHidden/>
          </w:rPr>
          <w:fldChar w:fldCharType="separate"/>
        </w:r>
        <w:r w:rsidR="0071250F">
          <w:rPr>
            <w:noProof/>
            <w:webHidden/>
          </w:rPr>
          <w:t>7</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496" w:history="1">
        <w:r w:rsidR="0071250F" w:rsidRPr="00C17FB0">
          <w:rPr>
            <w:rStyle w:val="Hyperlink"/>
            <w:noProof/>
          </w:rPr>
          <w:t>2.1</w:t>
        </w:r>
        <w:r w:rsidR="0071250F">
          <w:rPr>
            <w:rFonts w:asciiTheme="minorHAnsi" w:eastAsiaTheme="minorEastAsia" w:hAnsiTheme="minorHAnsi" w:cstheme="minorBidi"/>
            <w:b w:val="0"/>
            <w:iCs w:val="0"/>
            <w:noProof/>
            <w:szCs w:val="22"/>
          </w:rPr>
          <w:tab/>
        </w:r>
        <w:r w:rsidR="0071250F" w:rsidRPr="00C17FB0">
          <w:rPr>
            <w:rStyle w:val="Hyperlink"/>
            <w:noProof/>
          </w:rPr>
          <w:t>Zuordnung der Module zur Informationssicherheit</w:t>
        </w:r>
        <w:r w:rsidR="0071250F">
          <w:rPr>
            <w:noProof/>
            <w:webHidden/>
          </w:rPr>
          <w:tab/>
        </w:r>
        <w:r w:rsidR="0071250F">
          <w:rPr>
            <w:noProof/>
            <w:webHidden/>
          </w:rPr>
          <w:fldChar w:fldCharType="begin"/>
        </w:r>
        <w:r w:rsidR="0071250F">
          <w:rPr>
            <w:noProof/>
            <w:webHidden/>
          </w:rPr>
          <w:instrText xml:space="preserve"> PAGEREF _Toc503165496 \h </w:instrText>
        </w:r>
        <w:r w:rsidR="0071250F">
          <w:rPr>
            <w:noProof/>
            <w:webHidden/>
          </w:rPr>
        </w:r>
        <w:r w:rsidR="0071250F">
          <w:rPr>
            <w:noProof/>
            <w:webHidden/>
          </w:rPr>
          <w:fldChar w:fldCharType="separate"/>
        </w:r>
        <w:r w:rsidR="0071250F">
          <w:rPr>
            <w:noProof/>
            <w:webHidden/>
          </w:rPr>
          <w:t>8</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497" w:history="1">
        <w:r w:rsidR="0071250F" w:rsidRPr="00C17FB0">
          <w:rPr>
            <w:rStyle w:val="Hyperlink"/>
            <w:noProof/>
          </w:rPr>
          <w:t>2.2</w:t>
        </w:r>
        <w:r w:rsidR="0071250F">
          <w:rPr>
            <w:rFonts w:asciiTheme="minorHAnsi" w:eastAsiaTheme="minorEastAsia" w:hAnsiTheme="minorHAnsi" w:cstheme="minorBidi"/>
            <w:b w:val="0"/>
            <w:iCs w:val="0"/>
            <w:noProof/>
            <w:szCs w:val="22"/>
          </w:rPr>
          <w:tab/>
        </w:r>
        <w:r w:rsidR="0071250F" w:rsidRPr="00C17FB0">
          <w:rPr>
            <w:rStyle w:val="Hyperlink"/>
            <w:noProof/>
          </w:rPr>
          <w:t>Zuordnung der Module zum Datenschutz</w:t>
        </w:r>
        <w:r w:rsidR="0071250F">
          <w:rPr>
            <w:noProof/>
            <w:webHidden/>
          </w:rPr>
          <w:tab/>
        </w:r>
        <w:r w:rsidR="0071250F">
          <w:rPr>
            <w:noProof/>
            <w:webHidden/>
          </w:rPr>
          <w:fldChar w:fldCharType="begin"/>
        </w:r>
        <w:r w:rsidR="0071250F">
          <w:rPr>
            <w:noProof/>
            <w:webHidden/>
          </w:rPr>
          <w:instrText xml:space="preserve"> PAGEREF _Toc503165497 \h </w:instrText>
        </w:r>
        <w:r w:rsidR="0071250F">
          <w:rPr>
            <w:noProof/>
            <w:webHidden/>
          </w:rPr>
        </w:r>
        <w:r w:rsidR="0071250F">
          <w:rPr>
            <w:noProof/>
            <w:webHidden/>
          </w:rPr>
          <w:fldChar w:fldCharType="separate"/>
        </w:r>
        <w:r w:rsidR="0071250F">
          <w:rPr>
            <w:noProof/>
            <w:webHidden/>
          </w:rPr>
          <w:t>9</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498" w:history="1">
        <w:r w:rsidR="0071250F" w:rsidRPr="00C17FB0">
          <w:rPr>
            <w:rStyle w:val="Hyperlink"/>
            <w:noProof/>
          </w:rPr>
          <w:t>2.3</w:t>
        </w:r>
        <w:r w:rsidR="0071250F">
          <w:rPr>
            <w:rFonts w:asciiTheme="minorHAnsi" w:eastAsiaTheme="minorEastAsia" w:hAnsiTheme="minorHAnsi" w:cstheme="minorBidi"/>
            <w:b w:val="0"/>
            <w:iCs w:val="0"/>
            <w:noProof/>
            <w:szCs w:val="22"/>
          </w:rPr>
          <w:tab/>
        </w:r>
        <w:r w:rsidR="0071250F" w:rsidRPr="00C17FB0">
          <w:rPr>
            <w:rStyle w:val="Hyperlink"/>
            <w:noProof/>
          </w:rPr>
          <w:t>Regelungen im Anbietervertrag und Steckbriefen</w:t>
        </w:r>
        <w:r w:rsidR="0071250F">
          <w:rPr>
            <w:noProof/>
            <w:webHidden/>
          </w:rPr>
          <w:tab/>
        </w:r>
        <w:r w:rsidR="0071250F">
          <w:rPr>
            <w:noProof/>
            <w:webHidden/>
          </w:rPr>
          <w:fldChar w:fldCharType="begin"/>
        </w:r>
        <w:r w:rsidR="0071250F">
          <w:rPr>
            <w:noProof/>
            <w:webHidden/>
          </w:rPr>
          <w:instrText xml:space="preserve"> PAGEREF _Toc503165498 \h </w:instrText>
        </w:r>
        <w:r w:rsidR="0071250F">
          <w:rPr>
            <w:noProof/>
            <w:webHidden/>
          </w:rPr>
        </w:r>
        <w:r w:rsidR="0071250F">
          <w:rPr>
            <w:noProof/>
            <w:webHidden/>
          </w:rPr>
          <w:fldChar w:fldCharType="separate"/>
        </w:r>
        <w:r w:rsidR="0071250F">
          <w:rPr>
            <w:noProof/>
            <w:webHidden/>
          </w:rPr>
          <w:t>10</w:t>
        </w:r>
        <w:r w:rsidR="0071250F">
          <w:rPr>
            <w:noProof/>
            <w:webHidden/>
          </w:rPr>
          <w:fldChar w:fldCharType="end"/>
        </w:r>
      </w:hyperlink>
    </w:p>
    <w:p w:rsidR="0071250F" w:rsidRDefault="002E6160">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5499" w:history="1">
        <w:r w:rsidR="0071250F" w:rsidRPr="00C17FB0">
          <w:rPr>
            <w:rStyle w:val="Hyperlink"/>
            <w:noProof/>
          </w:rPr>
          <w:t>3</w:t>
        </w:r>
        <w:r w:rsidR="0071250F">
          <w:rPr>
            <w:rFonts w:asciiTheme="minorHAnsi" w:eastAsiaTheme="minorEastAsia" w:hAnsiTheme="minorHAnsi" w:cstheme="minorBidi"/>
            <w:b w:val="0"/>
            <w:bCs w:val="0"/>
            <w:noProof/>
            <w:sz w:val="22"/>
            <w:szCs w:val="22"/>
          </w:rPr>
          <w:tab/>
        </w:r>
        <w:r w:rsidR="0071250F" w:rsidRPr="00C17FB0">
          <w:rPr>
            <w:rStyle w:val="Hyperlink"/>
            <w:noProof/>
          </w:rPr>
          <w:t>Module der Informationssicherheit</w:t>
        </w:r>
        <w:r w:rsidR="0071250F">
          <w:rPr>
            <w:noProof/>
            <w:webHidden/>
          </w:rPr>
          <w:tab/>
        </w:r>
        <w:r w:rsidR="0071250F">
          <w:rPr>
            <w:noProof/>
            <w:webHidden/>
          </w:rPr>
          <w:fldChar w:fldCharType="begin"/>
        </w:r>
        <w:r w:rsidR="0071250F">
          <w:rPr>
            <w:noProof/>
            <w:webHidden/>
          </w:rPr>
          <w:instrText xml:space="preserve"> PAGEREF _Toc503165499 \h </w:instrText>
        </w:r>
        <w:r w:rsidR="0071250F">
          <w:rPr>
            <w:noProof/>
            <w:webHidden/>
          </w:rPr>
        </w:r>
        <w:r w:rsidR="0071250F">
          <w:rPr>
            <w:noProof/>
            <w:webHidden/>
          </w:rPr>
          <w:fldChar w:fldCharType="separate"/>
        </w:r>
        <w:r w:rsidR="0071250F">
          <w:rPr>
            <w:noProof/>
            <w:webHidden/>
          </w:rPr>
          <w:t>11</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00" w:history="1">
        <w:r w:rsidR="0071250F" w:rsidRPr="00C17FB0">
          <w:rPr>
            <w:rStyle w:val="Hyperlink"/>
            <w:noProof/>
          </w:rPr>
          <w:t>3.1</w:t>
        </w:r>
        <w:r w:rsidR="0071250F">
          <w:rPr>
            <w:rFonts w:asciiTheme="minorHAnsi" w:eastAsiaTheme="minorEastAsia" w:hAnsiTheme="minorHAnsi" w:cstheme="minorBidi"/>
            <w:b w:val="0"/>
            <w:iCs w:val="0"/>
            <w:noProof/>
            <w:szCs w:val="22"/>
          </w:rPr>
          <w:tab/>
        </w:r>
        <w:r w:rsidR="0071250F" w:rsidRPr="00C17FB0">
          <w:rPr>
            <w:rStyle w:val="Hyperlink"/>
            <w:noProof/>
          </w:rPr>
          <w:t>Modul „Basis-IS“</w:t>
        </w:r>
        <w:r w:rsidR="0071250F">
          <w:rPr>
            <w:noProof/>
            <w:webHidden/>
          </w:rPr>
          <w:tab/>
        </w:r>
        <w:r w:rsidR="0071250F">
          <w:rPr>
            <w:noProof/>
            <w:webHidden/>
          </w:rPr>
          <w:fldChar w:fldCharType="begin"/>
        </w:r>
        <w:r w:rsidR="0071250F">
          <w:rPr>
            <w:noProof/>
            <w:webHidden/>
          </w:rPr>
          <w:instrText xml:space="preserve"> PAGEREF _Toc503165500 \h </w:instrText>
        </w:r>
        <w:r w:rsidR="0071250F">
          <w:rPr>
            <w:noProof/>
            <w:webHidden/>
          </w:rPr>
        </w:r>
        <w:r w:rsidR="0071250F">
          <w:rPr>
            <w:noProof/>
            <w:webHidden/>
          </w:rPr>
          <w:fldChar w:fldCharType="separate"/>
        </w:r>
        <w:r w:rsidR="0071250F">
          <w:rPr>
            <w:noProof/>
            <w:webHidden/>
          </w:rPr>
          <w:t>11</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01" w:history="1">
        <w:r w:rsidR="0071250F" w:rsidRPr="00C17FB0">
          <w:rPr>
            <w:rStyle w:val="Hyperlink"/>
            <w:noProof/>
          </w:rPr>
          <w:t>3.2</w:t>
        </w:r>
        <w:r w:rsidR="0071250F">
          <w:rPr>
            <w:rFonts w:asciiTheme="minorHAnsi" w:eastAsiaTheme="minorEastAsia" w:hAnsiTheme="minorHAnsi" w:cstheme="minorBidi"/>
            <w:b w:val="0"/>
            <w:iCs w:val="0"/>
            <w:noProof/>
            <w:szCs w:val="22"/>
          </w:rPr>
          <w:tab/>
        </w:r>
        <w:r w:rsidR="0071250F" w:rsidRPr="00C17FB0">
          <w:rPr>
            <w:rStyle w:val="Hyperlink"/>
            <w:noProof/>
          </w:rPr>
          <w:t>Modul „Basis-ISMS“</w:t>
        </w:r>
        <w:r w:rsidR="0071250F">
          <w:rPr>
            <w:noProof/>
            <w:webHidden/>
          </w:rPr>
          <w:tab/>
        </w:r>
        <w:r w:rsidR="0071250F">
          <w:rPr>
            <w:noProof/>
            <w:webHidden/>
          </w:rPr>
          <w:fldChar w:fldCharType="begin"/>
        </w:r>
        <w:r w:rsidR="0071250F">
          <w:rPr>
            <w:noProof/>
            <w:webHidden/>
          </w:rPr>
          <w:instrText xml:space="preserve"> PAGEREF _Toc503165501 \h </w:instrText>
        </w:r>
        <w:r w:rsidR="0071250F">
          <w:rPr>
            <w:noProof/>
            <w:webHidden/>
          </w:rPr>
        </w:r>
        <w:r w:rsidR="0071250F">
          <w:rPr>
            <w:noProof/>
            <w:webHidden/>
          </w:rPr>
          <w:fldChar w:fldCharType="separate"/>
        </w:r>
        <w:r w:rsidR="0071250F">
          <w:rPr>
            <w:noProof/>
            <w:webHidden/>
          </w:rPr>
          <w:t>13</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02" w:history="1">
        <w:r w:rsidR="0071250F" w:rsidRPr="00C17FB0">
          <w:rPr>
            <w:rStyle w:val="Hyperlink"/>
            <w:noProof/>
          </w:rPr>
          <w:t>3.3</w:t>
        </w:r>
        <w:r w:rsidR="0071250F">
          <w:rPr>
            <w:rFonts w:asciiTheme="minorHAnsi" w:eastAsiaTheme="minorEastAsia" w:hAnsiTheme="minorHAnsi" w:cstheme="minorBidi"/>
            <w:b w:val="0"/>
            <w:iCs w:val="0"/>
            <w:noProof/>
            <w:szCs w:val="22"/>
          </w:rPr>
          <w:tab/>
        </w:r>
        <w:r w:rsidR="0071250F" w:rsidRPr="00C17FB0">
          <w:rPr>
            <w:rStyle w:val="Hyperlink"/>
            <w:noProof/>
          </w:rPr>
          <w:t>Modul „Erweitertes ISMS“</w:t>
        </w:r>
        <w:r w:rsidR="0071250F">
          <w:rPr>
            <w:noProof/>
            <w:webHidden/>
          </w:rPr>
          <w:tab/>
        </w:r>
        <w:r w:rsidR="0071250F">
          <w:rPr>
            <w:noProof/>
            <w:webHidden/>
          </w:rPr>
          <w:fldChar w:fldCharType="begin"/>
        </w:r>
        <w:r w:rsidR="0071250F">
          <w:rPr>
            <w:noProof/>
            <w:webHidden/>
          </w:rPr>
          <w:instrText xml:space="preserve"> PAGEREF _Toc503165502 \h </w:instrText>
        </w:r>
        <w:r w:rsidR="0071250F">
          <w:rPr>
            <w:noProof/>
            <w:webHidden/>
          </w:rPr>
        </w:r>
        <w:r w:rsidR="0071250F">
          <w:rPr>
            <w:noProof/>
            <w:webHidden/>
          </w:rPr>
          <w:fldChar w:fldCharType="separate"/>
        </w:r>
        <w:r w:rsidR="0071250F">
          <w:rPr>
            <w:noProof/>
            <w:webHidden/>
          </w:rPr>
          <w:t>17</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03" w:history="1">
        <w:r w:rsidR="0071250F" w:rsidRPr="00C17FB0">
          <w:rPr>
            <w:rStyle w:val="Hyperlink"/>
            <w:noProof/>
            <w:lang w:val="en-US"/>
          </w:rPr>
          <w:t>3.4</w:t>
        </w:r>
        <w:r w:rsidR="0071250F">
          <w:rPr>
            <w:rFonts w:asciiTheme="minorHAnsi" w:eastAsiaTheme="minorEastAsia" w:hAnsiTheme="minorHAnsi" w:cstheme="minorBidi"/>
            <w:b w:val="0"/>
            <w:iCs w:val="0"/>
            <w:noProof/>
            <w:szCs w:val="22"/>
          </w:rPr>
          <w:tab/>
        </w:r>
        <w:r w:rsidR="0071250F" w:rsidRPr="00C17FB0">
          <w:rPr>
            <w:rStyle w:val="Hyperlink"/>
            <w:noProof/>
            <w:lang w:val="en-US"/>
          </w:rPr>
          <w:t xml:space="preserve">Modul </w:t>
        </w:r>
        <w:r w:rsidR="0071250F" w:rsidRPr="00C17FB0">
          <w:rPr>
            <w:rStyle w:val="Hyperlink"/>
            <w:noProof/>
            <w:lang w:eastAsia="ja-JP"/>
          </w:rPr>
          <w:t>„</w:t>
        </w:r>
        <w:r w:rsidR="0071250F" w:rsidRPr="00C17FB0">
          <w:rPr>
            <w:rStyle w:val="Hyperlink"/>
            <w:noProof/>
            <w:lang w:val="en-US"/>
          </w:rPr>
          <w:t>TI-Sicherheitsbericht</w:t>
        </w:r>
        <w:r w:rsidR="0071250F" w:rsidRPr="00C17FB0">
          <w:rPr>
            <w:rStyle w:val="Hyperlink"/>
            <w:noProof/>
            <w:lang w:eastAsia="ja-JP"/>
          </w:rPr>
          <w:t>“</w:t>
        </w:r>
        <w:r w:rsidR="0071250F">
          <w:rPr>
            <w:noProof/>
            <w:webHidden/>
          </w:rPr>
          <w:tab/>
        </w:r>
        <w:r w:rsidR="0071250F">
          <w:rPr>
            <w:noProof/>
            <w:webHidden/>
          </w:rPr>
          <w:fldChar w:fldCharType="begin"/>
        </w:r>
        <w:r w:rsidR="0071250F">
          <w:rPr>
            <w:noProof/>
            <w:webHidden/>
          </w:rPr>
          <w:instrText xml:space="preserve"> PAGEREF _Toc503165503 \h </w:instrText>
        </w:r>
        <w:r w:rsidR="0071250F">
          <w:rPr>
            <w:noProof/>
            <w:webHidden/>
          </w:rPr>
        </w:r>
        <w:r w:rsidR="0071250F">
          <w:rPr>
            <w:noProof/>
            <w:webHidden/>
          </w:rPr>
          <w:fldChar w:fldCharType="separate"/>
        </w:r>
        <w:r w:rsidR="0071250F">
          <w:rPr>
            <w:noProof/>
            <w:webHidden/>
          </w:rPr>
          <w:t>19</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04" w:history="1">
        <w:r w:rsidR="0071250F" w:rsidRPr="00C17FB0">
          <w:rPr>
            <w:rStyle w:val="Hyperlink"/>
            <w:noProof/>
          </w:rPr>
          <w:t>3.5</w:t>
        </w:r>
        <w:r w:rsidR="0071250F">
          <w:rPr>
            <w:rFonts w:asciiTheme="minorHAnsi" w:eastAsiaTheme="minorEastAsia" w:hAnsiTheme="minorHAnsi" w:cstheme="minorBidi"/>
            <w:b w:val="0"/>
            <w:iCs w:val="0"/>
            <w:noProof/>
            <w:szCs w:val="22"/>
          </w:rPr>
          <w:tab/>
        </w:r>
        <w:r w:rsidR="0071250F" w:rsidRPr="00C17FB0">
          <w:rPr>
            <w:rStyle w:val="Hyperlink"/>
            <w:noProof/>
          </w:rPr>
          <w:t>Modul „Erweiterter TI-Sicherheitsbericht“</w:t>
        </w:r>
        <w:r w:rsidR="0071250F">
          <w:rPr>
            <w:noProof/>
            <w:webHidden/>
          </w:rPr>
          <w:tab/>
        </w:r>
        <w:r w:rsidR="0071250F">
          <w:rPr>
            <w:noProof/>
            <w:webHidden/>
          </w:rPr>
          <w:fldChar w:fldCharType="begin"/>
        </w:r>
        <w:r w:rsidR="0071250F">
          <w:rPr>
            <w:noProof/>
            <w:webHidden/>
          </w:rPr>
          <w:instrText xml:space="preserve"> PAGEREF _Toc503165504 \h </w:instrText>
        </w:r>
        <w:r w:rsidR="0071250F">
          <w:rPr>
            <w:noProof/>
            <w:webHidden/>
          </w:rPr>
        </w:r>
        <w:r w:rsidR="0071250F">
          <w:rPr>
            <w:noProof/>
            <w:webHidden/>
          </w:rPr>
          <w:fldChar w:fldCharType="separate"/>
        </w:r>
        <w:r w:rsidR="0071250F">
          <w:rPr>
            <w:noProof/>
            <w:webHidden/>
          </w:rPr>
          <w:t>21</w:t>
        </w:r>
        <w:r w:rsidR="0071250F">
          <w:rPr>
            <w:noProof/>
            <w:webHidden/>
          </w:rPr>
          <w:fldChar w:fldCharType="end"/>
        </w:r>
      </w:hyperlink>
    </w:p>
    <w:p w:rsidR="0071250F" w:rsidRDefault="002E6160">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5505" w:history="1">
        <w:r w:rsidR="0071250F" w:rsidRPr="00C17FB0">
          <w:rPr>
            <w:rStyle w:val="Hyperlink"/>
            <w:noProof/>
          </w:rPr>
          <w:t>4</w:t>
        </w:r>
        <w:r w:rsidR="0071250F">
          <w:rPr>
            <w:rFonts w:asciiTheme="minorHAnsi" w:eastAsiaTheme="minorEastAsia" w:hAnsiTheme="minorHAnsi" w:cstheme="minorBidi"/>
            <w:b w:val="0"/>
            <w:bCs w:val="0"/>
            <w:noProof/>
            <w:sz w:val="22"/>
            <w:szCs w:val="22"/>
          </w:rPr>
          <w:tab/>
        </w:r>
        <w:r w:rsidR="0071250F" w:rsidRPr="00C17FB0">
          <w:rPr>
            <w:rStyle w:val="Hyperlink"/>
            <w:noProof/>
          </w:rPr>
          <w:t>Module des Datenschutzes</w:t>
        </w:r>
        <w:r w:rsidR="0071250F">
          <w:rPr>
            <w:noProof/>
            <w:webHidden/>
          </w:rPr>
          <w:tab/>
        </w:r>
        <w:r w:rsidR="0071250F">
          <w:rPr>
            <w:noProof/>
            <w:webHidden/>
          </w:rPr>
          <w:fldChar w:fldCharType="begin"/>
        </w:r>
        <w:r w:rsidR="0071250F">
          <w:rPr>
            <w:noProof/>
            <w:webHidden/>
          </w:rPr>
          <w:instrText xml:space="preserve"> PAGEREF _Toc503165505 \h </w:instrText>
        </w:r>
        <w:r w:rsidR="0071250F">
          <w:rPr>
            <w:noProof/>
            <w:webHidden/>
          </w:rPr>
        </w:r>
        <w:r w:rsidR="0071250F">
          <w:rPr>
            <w:noProof/>
            <w:webHidden/>
          </w:rPr>
          <w:fldChar w:fldCharType="separate"/>
        </w:r>
        <w:r w:rsidR="0071250F">
          <w:rPr>
            <w:noProof/>
            <w:webHidden/>
          </w:rPr>
          <w:t>23</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06" w:history="1">
        <w:r w:rsidR="0071250F" w:rsidRPr="00C17FB0">
          <w:rPr>
            <w:rStyle w:val="Hyperlink"/>
            <w:noProof/>
          </w:rPr>
          <w:t>4.1</w:t>
        </w:r>
        <w:r w:rsidR="0071250F">
          <w:rPr>
            <w:rFonts w:asciiTheme="minorHAnsi" w:eastAsiaTheme="minorEastAsia" w:hAnsiTheme="minorHAnsi" w:cstheme="minorBidi"/>
            <w:b w:val="0"/>
            <w:iCs w:val="0"/>
            <w:noProof/>
            <w:szCs w:val="22"/>
          </w:rPr>
          <w:tab/>
        </w:r>
        <w:r w:rsidR="0071250F" w:rsidRPr="00C17FB0">
          <w:rPr>
            <w:rStyle w:val="Hyperlink"/>
            <w:noProof/>
          </w:rPr>
          <w:t>Modul „Basis-DS“</w:t>
        </w:r>
        <w:r w:rsidR="0071250F">
          <w:rPr>
            <w:noProof/>
            <w:webHidden/>
          </w:rPr>
          <w:tab/>
        </w:r>
        <w:r w:rsidR="0071250F">
          <w:rPr>
            <w:noProof/>
            <w:webHidden/>
          </w:rPr>
          <w:fldChar w:fldCharType="begin"/>
        </w:r>
        <w:r w:rsidR="0071250F">
          <w:rPr>
            <w:noProof/>
            <w:webHidden/>
          </w:rPr>
          <w:instrText xml:space="preserve"> PAGEREF _Toc503165506 \h </w:instrText>
        </w:r>
        <w:r w:rsidR="0071250F">
          <w:rPr>
            <w:noProof/>
            <w:webHidden/>
          </w:rPr>
        </w:r>
        <w:r w:rsidR="0071250F">
          <w:rPr>
            <w:noProof/>
            <w:webHidden/>
          </w:rPr>
          <w:fldChar w:fldCharType="separate"/>
        </w:r>
        <w:r w:rsidR="0071250F">
          <w:rPr>
            <w:noProof/>
            <w:webHidden/>
          </w:rPr>
          <w:t>23</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07" w:history="1">
        <w:r w:rsidR="0071250F" w:rsidRPr="00C17FB0">
          <w:rPr>
            <w:rStyle w:val="Hyperlink"/>
            <w:noProof/>
          </w:rPr>
          <w:t>4.2</w:t>
        </w:r>
        <w:r w:rsidR="0071250F">
          <w:rPr>
            <w:rFonts w:asciiTheme="minorHAnsi" w:eastAsiaTheme="minorEastAsia" w:hAnsiTheme="minorHAnsi" w:cstheme="minorBidi"/>
            <w:b w:val="0"/>
            <w:iCs w:val="0"/>
            <w:noProof/>
            <w:szCs w:val="22"/>
          </w:rPr>
          <w:tab/>
        </w:r>
        <w:r w:rsidR="0071250F" w:rsidRPr="00C17FB0">
          <w:rPr>
            <w:rStyle w:val="Hyperlink"/>
            <w:noProof/>
          </w:rPr>
          <w:t>Modul „TI-Datenschutzbericht“</w:t>
        </w:r>
        <w:r w:rsidR="0071250F">
          <w:rPr>
            <w:noProof/>
            <w:webHidden/>
          </w:rPr>
          <w:tab/>
        </w:r>
        <w:r w:rsidR="0071250F">
          <w:rPr>
            <w:noProof/>
            <w:webHidden/>
          </w:rPr>
          <w:fldChar w:fldCharType="begin"/>
        </w:r>
        <w:r w:rsidR="0071250F">
          <w:rPr>
            <w:noProof/>
            <w:webHidden/>
          </w:rPr>
          <w:instrText xml:space="preserve"> PAGEREF _Toc503165507 \h </w:instrText>
        </w:r>
        <w:r w:rsidR="0071250F">
          <w:rPr>
            <w:noProof/>
            <w:webHidden/>
          </w:rPr>
        </w:r>
        <w:r w:rsidR="0071250F">
          <w:rPr>
            <w:noProof/>
            <w:webHidden/>
          </w:rPr>
          <w:fldChar w:fldCharType="separate"/>
        </w:r>
        <w:r w:rsidR="0071250F">
          <w:rPr>
            <w:noProof/>
            <w:webHidden/>
          </w:rPr>
          <w:t>24</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08" w:history="1">
        <w:r w:rsidR="0071250F" w:rsidRPr="00C17FB0">
          <w:rPr>
            <w:rStyle w:val="Hyperlink"/>
            <w:noProof/>
          </w:rPr>
          <w:t>4.3</w:t>
        </w:r>
        <w:r w:rsidR="0071250F">
          <w:rPr>
            <w:rFonts w:asciiTheme="minorHAnsi" w:eastAsiaTheme="minorEastAsia" w:hAnsiTheme="minorHAnsi" w:cstheme="minorBidi"/>
            <w:b w:val="0"/>
            <w:iCs w:val="0"/>
            <w:noProof/>
            <w:szCs w:val="22"/>
          </w:rPr>
          <w:tab/>
        </w:r>
        <w:r w:rsidR="0071250F" w:rsidRPr="00C17FB0">
          <w:rPr>
            <w:rStyle w:val="Hyperlink"/>
            <w:noProof/>
          </w:rPr>
          <w:t>Modul „Erweiterter TI-Datenschutzbericht“</w:t>
        </w:r>
        <w:r w:rsidR="0071250F">
          <w:rPr>
            <w:noProof/>
            <w:webHidden/>
          </w:rPr>
          <w:tab/>
        </w:r>
        <w:r w:rsidR="0071250F">
          <w:rPr>
            <w:noProof/>
            <w:webHidden/>
          </w:rPr>
          <w:fldChar w:fldCharType="begin"/>
        </w:r>
        <w:r w:rsidR="0071250F">
          <w:rPr>
            <w:noProof/>
            <w:webHidden/>
          </w:rPr>
          <w:instrText xml:space="preserve"> PAGEREF _Toc503165508 \h </w:instrText>
        </w:r>
        <w:r w:rsidR="0071250F">
          <w:rPr>
            <w:noProof/>
            <w:webHidden/>
          </w:rPr>
        </w:r>
        <w:r w:rsidR="0071250F">
          <w:rPr>
            <w:noProof/>
            <w:webHidden/>
          </w:rPr>
          <w:fldChar w:fldCharType="separate"/>
        </w:r>
        <w:r w:rsidR="0071250F">
          <w:rPr>
            <w:noProof/>
            <w:webHidden/>
          </w:rPr>
          <w:t>26</w:t>
        </w:r>
        <w:r w:rsidR="0071250F">
          <w:rPr>
            <w:noProof/>
            <w:webHidden/>
          </w:rPr>
          <w:fldChar w:fldCharType="end"/>
        </w:r>
      </w:hyperlink>
    </w:p>
    <w:p w:rsidR="0071250F" w:rsidRDefault="002E6160">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5509" w:history="1">
        <w:r w:rsidR="0071250F" w:rsidRPr="00C17FB0">
          <w:rPr>
            <w:rStyle w:val="Hyperlink"/>
            <w:noProof/>
          </w:rPr>
          <w:t>5</w:t>
        </w:r>
        <w:r w:rsidR="0071250F">
          <w:rPr>
            <w:rFonts w:asciiTheme="minorHAnsi" w:eastAsiaTheme="minorEastAsia" w:hAnsiTheme="minorHAnsi" w:cstheme="minorBidi"/>
            <w:b w:val="0"/>
            <w:bCs w:val="0"/>
            <w:noProof/>
            <w:sz w:val="22"/>
            <w:szCs w:val="22"/>
          </w:rPr>
          <w:tab/>
        </w:r>
        <w:r w:rsidR="0071250F" w:rsidRPr="00C17FB0">
          <w:rPr>
            <w:rStyle w:val="Hyperlink"/>
            <w:noProof/>
          </w:rPr>
          <w:t>Spezifische Module</w:t>
        </w:r>
        <w:r w:rsidR="0071250F">
          <w:rPr>
            <w:noProof/>
            <w:webHidden/>
          </w:rPr>
          <w:tab/>
        </w:r>
        <w:r w:rsidR="0071250F">
          <w:rPr>
            <w:noProof/>
            <w:webHidden/>
          </w:rPr>
          <w:fldChar w:fldCharType="begin"/>
        </w:r>
        <w:r w:rsidR="0071250F">
          <w:rPr>
            <w:noProof/>
            <w:webHidden/>
          </w:rPr>
          <w:instrText xml:space="preserve"> PAGEREF _Toc503165509 \h </w:instrText>
        </w:r>
        <w:r w:rsidR="0071250F">
          <w:rPr>
            <w:noProof/>
            <w:webHidden/>
          </w:rPr>
        </w:r>
        <w:r w:rsidR="0071250F">
          <w:rPr>
            <w:noProof/>
            <w:webHidden/>
          </w:rPr>
          <w:fldChar w:fldCharType="separate"/>
        </w:r>
        <w:r w:rsidR="0071250F">
          <w:rPr>
            <w:noProof/>
            <w:webHidden/>
          </w:rPr>
          <w:t>29</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10" w:history="1">
        <w:r w:rsidR="0071250F" w:rsidRPr="00C17FB0">
          <w:rPr>
            <w:rStyle w:val="Hyperlink"/>
            <w:noProof/>
          </w:rPr>
          <w:t>5.1</w:t>
        </w:r>
        <w:r w:rsidR="0071250F">
          <w:rPr>
            <w:rFonts w:asciiTheme="minorHAnsi" w:eastAsiaTheme="minorEastAsia" w:hAnsiTheme="minorHAnsi" w:cstheme="minorBidi"/>
            <w:b w:val="0"/>
            <w:iCs w:val="0"/>
            <w:noProof/>
            <w:szCs w:val="22"/>
          </w:rPr>
          <w:tab/>
        </w:r>
        <w:r w:rsidR="0071250F" w:rsidRPr="00C17FB0">
          <w:rPr>
            <w:rStyle w:val="Hyperlink"/>
            <w:noProof/>
          </w:rPr>
          <w:t>Module für weitere Anwendungen</w:t>
        </w:r>
        <w:r w:rsidR="0071250F">
          <w:rPr>
            <w:noProof/>
            <w:webHidden/>
          </w:rPr>
          <w:tab/>
        </w:r>
        <w:r w:rsidR="0071250F">
          <w:rPr>
            <w:noProof/>
            <w:webHidden/>
          </w:rPr>
          <w:fldChar w:fldCharType="begin"/>
        </w:r>
        <w:r w:rsidR="0071250F">
          <w:rPr>
            <w:noProof/>
            <w:webHidden/>
          </w:rPr>
          <w:instrText xml:space="preserve"> PAGEREF _Toc503165510 \h </w:instrText>
        </w:r>
        <w:r w:rsidR="0071250F">
          <w:rPr>
            <w:noProof/>
            <w:webHidden/>
          </w:rPr>
        </w:r>
        <w:r w:rsidR="0071250F">
          <w:rPr>
            <w:noProof/>
            <w:webHidden/>
          </w:rPr>
          <w:fldChar w:fldCharType="separate"/>
        </w:r>
        <w:r w:rsidR="0071250F">
          <w:rPr>
            <w:noProof/>
            <w:webHidden/>
          </w:rPr>
          <w:t>29</w:t>
        </w:r>
        <w:r w:rsidR="0071250F">
          <w:rPr>
            <w:noProof/>
            <w:webHidden/>
          </w:rPr>
          <w:fldChar w:fldCharType="end"/>
        </w:r>
      </w:hyperlink>
    </w:p>
    <w:p w:rsidR="0071250F" w:rsidRDefault="002E6160">
      <w:pPr>
        <w:pStyle w:val="Verzeichnis3"/>
        <w:tabs>
          <w:tab w:val="left" w:pos="1320"/>
          <w:tab w:val="right" w:leader="dot" w:pos="8726"/>
        </w:tabs>
        <w:rPr>
          <w:rFonts w:asciiTheme="minorHAnsi" w:eastAsiaTheme="minorEastAsia" w:hAnsiTheme="minorHAnsi" w:cstheme="minorBidi"/>
          <w:noProof/>
          <w:szCs w:val="22"/>
        </w:rPr>
      </w:pPr>
      <w:hyperlink w:anchor="_Toc503165511" w:history="1">
        <w:r w:rsidR="0071250F" w:rsidRPr="00C17FB0">
          <w:rPr>
            <w:rStyle w:val="Hyperlink"/>
            <w:noProof/>
          </w:rPr>
          <w:t>5.1.1</w:t>
        </w:r>
        <w:r w:rsidR="0071250F">
          <w:rPr>
            <w:rFonts w:asciiTheme="minorHAnsi" w:eastAsiaTheme="minorEastAsia" w:hAnsiTheme="minorHAnsi" w:cstheme="minorBidi"/>
            <w:noProof/>
            <w:szCs w:val="22"/>
          </w:rPr>
          <w:tab/>
        </w:r>
        <w:r w:rsidR="0071250F" w:rsidRPr="00C17FB0">
          <w:rPr>
            <w:rStyle w:val="Hyperlink"/>
            <w:noProof/>
          </w:rPr>
          <w:t>Modul „Weitere Anwendungen (mit TI-Beeinträchtigung)“</w:t>
        </w:r>
        <w:r w:rsidR="0071250F">
          <w:rPr>
            <w:noProof/>
            <w:webHidden/>
          </w:rPr>
          <w:tab/>
        </w:r>
        <w:r w:rsidR="0071250F">
          <w:rPr>
            <w:noProof/>
            <w:webHidden/>
          </w:rPr>
          <w:fldChar w:fldCharType="begin"/>
        </w:r>
        <w:r w:rsidR="0071250F">
          <w:rPr>
            <w:noProof/>
            <w:webHidden/>
          </w:rPr>
          <w:instrText xml:space="preserve"> PAGEREF _Toc503165511 \h </w:instrText>
        </w:r>
        <w:r w:rsidR="0071250F">
          <w:rPr>
            <w:noProof/>
            <w:webHidden/>
          </w:rPr>
        </w:r>
        <w:r w:rsidR="0071250F">
          <w:rPr>
            <w:noProof/>
            <w:webHidden/>
          </w:rPr>
          <w:fldChar w:fldCharType="separate"/>
        </w:r>
        <w:r w:rsidR="0071250F">
          <w:rPr>
            <w:noProof/>
            <w:webHidden/>
          </w:rPr>
          <w:t>30</w:t>
        </w:r>
        <w:r w:rsidR="0071250F">
          <w:rPr>
            <w:noProof/>
            <w:webHidden/>
          </w:rPr>
          <w:fldChar w:fldCharType="end"/>
        </w:r>
      </w:hyperlink>
    </w:p>
    <w:p w:rsidR="0071250F" w:rsidRDefault="002E6160">
      <w:pPr>
        <w:pStyle w:val="Verzeichnis3"/>
        <w:tabs>
          <w:tab w:val="left" w:pos="1320"/>
          <w:tab w:val="right" w:leader="dot" w:pos="8726"/>
        </w:tabs>
        <w:rPr>
          <w:rFonts w:asciiTheme="minorHAnsi" w:eastAsiaTheme="minorEastAsia" w:hAnsiTheme="minorHAnsi" w:cstheme="minorBidi"/>
          <w:noProof/>
          <w:szCs w:val="22"/>
        </w:rPr>
      </w:pPr>
      <w:hyperlink w:anchor="_Toc503165512" w:history="1">
        <w:r w:rsidR="0071250F" w:rsidRPr="00C17FB0">
          <w:rPr>
            <w:rStyle w:val="Hyperlink"/>
            <w:noProof/>
          </w:rPr>
          <w:t>5.1.2</w:t>
        </w:r>
        <w:r w:rsidR="0071250F">
          <w:rPr>
            <w:rFonts w:asciiTheme="minorHAnsi" w:eastAsiaTheme="minorEastAsia" w:hAnsiTheme="minorHAnsi" w:cstheme="minorBidi"/>
            <w:noProof/>
            <w:szCs w:val="22"/>
          </w:rPr>
          <w:tab/>
        </w:r>
        <w:r w:rsidR="0071250F" w:rsidRPr="00C17FB0">
          <w:rPr>
            <w:rStyle w:val="Hyperlink"/>
            <w:noProof/>
          </w:rPr>
          <w:t>Modul „Weitere Anwendungen (ohne TI-Beeinträchtigung)“</w:t>
        </w:r>
        <w:r w:rsidR="0071250F">
          <w:rPr>
            <w:noProof/>
            <w:webHidden/>
          </w:rPr>
          <w:tab/>
        </w:r>
        <w:r w:rsidR="0071250F">
          <w:rPr>
            <w:noProof/>
            <w:webHidden/>
          </w:rPr>
          <w:fldChar w:fldCharType="begin"/>
        </w:r>
        <w:r w:rsidR="0071250F">
          <w:rPr>
            <w:noProof/>
            <w:webHidden/>
          </w:rPr>
          <w:instrText xml:space="preserve"> PAGEREF _Toc503165512 \h </w:instrText>
        </w:r>
        <w:r w:rsidR="0071250F">
          <w:rPr>
            <w:noProof/>
            <w:webHidden/>
          </w:rPr>
        </w:r>
        <w:r w:rsidR="0071250F">
          <w:rPr>
            <w:noProof/>
            <w:webHidden/>
          </w:rPr>
          <w:fldChar w:fldCharType="separate"/>
        </w:r>
        <w:r w:rsidR="0071250F">
          <w:rPr>
            <w:noProof/>
            <w:webHidden/>
          </w:rPr>
          <w:t>32</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13" w:history="1">
        <w:r w:rsidR="0071250F" w:rsidRPr="00C17FB0">
          <w:rPr>
            <w:rStyle w:val="Hyperlink"/>
            <w:noProof/>
          </w:rPr>
          <w:t>5.2</w:t>
        </w:r>
        <w:r w:rsidR="0071250F">
          <w:rPr>
            <w:rFonts w:asciiTheme="minorHAnsi" w:eastAsiaTheme="minorEastAsia" w:hAnsiTheme="minorHAnsi" w:cstheme="minorBidi"/>
            <w:b w:val="0"/>
            <w:iCs w:val="0"/>
            <w:noProof/>
            <w:szCs w:val="22"/>
          </w:rPr>
          <w:tab/>
        </w:r>
        <w:r w:rsidR="0071250F" w:rsidRPr="00C17FB0">
          <w:rPr>
            <w:rStyle w:val="Hyperlink"/>
            <w:noProof/>
          </w:rPr>
          <w:t>Modul „Schlüsselverwaltung“</w:t>
        </w:r>
        <w:r w:rsidR="0071250F">
          <w:rPr>
            <w:noProof/>
            <w:webHidden/>
          </w:rPr>
          <w:tab/>
        </w:r>
        <w:r w:rsidR="0071250F">
          <w:rPr>
            <w:noProof/>
            <w:webHidden/>
          </w:rPr>
          <w:fldChar w:fldCharType="begin"/>
        </w:r>
        <w:r w:rsidR="0071250F">
          <w:rPr>
            <w:noProof/>
            <w:webHidden/>
          </w:rPr>
          <w:instrText xml:space="preserve"> PAGEREF _Toc503165513 \h </w:instrText>
        </w:r>
        <w:r w:rsidR="0071250F">
          <w:rPr>
            <w:noProof/>
            <w:webHidden/>
          </w:rPr>
        </w:r>
        <w:r w:rsidR="0071250F">
          <w:rPr>
            <w:noProof/>
            <w:webHidden/>
          </w:rPr>
          <w:fldChar w:fldCharType="separate"/>
        </w:r>
        <w:r w:rsidR="0071250F">
          <w:rPr>
            <w:noProof/>
            <w:webHidden/>
          </w:rPr>
          <w:t>33</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14" w:history="1">
        <w:r w:rsidR="0071250F" w:rsidRPr="00C17FB0">
          <w:rPr>
            <w:rStyle w:val="Hyperlink"/>
            <w:noProof/>
          </w:rPr>
          <w:t>5.3</w:t>
        </w:r>
        <w:r w:rsidR="0071250F">
          <w:rPr>
            <w:rFonts w:asciiTheme="minorHAnsi" w:eastAsiaTheme="minorEastAsia" w:hAnsiTheme="minorHAnsi" w:cstheme="minorBidi"/>
            <w:b w:val="0"/>
            <w:iCs w:val="0"/>
            <w:noProof/>
            <w:szCs w:val="22"/>
          </w:rPr>
          <w:tab/>
        </w:r>
        <w:r w:rsidR="0071250F" w:rsidRPr="00C17FB0">
          <w:rPr>
            <w:rStyle w:val="Hyperlink"/>
            <w:noProof/>
          </w:rPr>
          <w:t>Modul „Kartenherausgabe“</w:t>
        </w:r>
        <w:r w:rsidR="0071250F">
          <w:rPr>
            <w:noProof/>
            <w:webHidden/>
          </w:rPr>
          <w:tab/>
        </w:r>
        <w:r w:rsidR="0071250F">
          <w:rPr>
            <w:noProof/>
            <w:webHidden/>
          </w:rPr>
          <w:fldChar w:fldCharType="begin"/>
        </w:r>
        <w:r w:rsidR="0071250F">
          <w:rPr>
            <w:noProof/>
            <w:webHidden/>
          </w:rPr>
          <w:instrText xml:space="preserve"> PAGEREF _Toc503165514 \h </w:instrText>
        </w:r>
        <w:r w:rsidR="0071250F">
          <w:rPr>
            <w:noProof/>
            <w:webHidden/>
          </w:rPr>
        </w:r>
        <w:r w:rsidR="0071250F">
          <w:rPr>
            <w:noProof/>
            <w:webHidden/>
          </w:rPr>
          <w:fldChar w:fldCharType="separate"/>
        </w:r>
        <w:r w:rsidR="0071250F">
          <w:rPr>
            <w:noProof/>
            <w:webHidden/>
          </w:rPr>
          <w:t>34</w:t>
        </w:r>
        <w:r w:rsidR="0071250F">
          <w:rPr>
            <w:noProof/>
            <w:webHidden/>
          </w:rPr>
          <w:fldChar w:fldCharType="end"/>
        </w:r>
      </w:hyperlink>
    </w:p>
    <w:p w:rsidR="0071250F" w:rsidRDefault="002E6160">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5515" w:history="1">
        <w:r w:rsidR="0071250F" w:rsidRPr="00C17FB0">
          <w:rPr>
            <w:rStyle w:val="Hyperlink"/>
            <w:noProof/>
          </w:rPr>
          <w:t>6</w:t>
        </w:r>
        <w:r w:rsidR="0071250F">
          <w:rPr>
            <w:rFonts w:asciiTheme="minorHAnsi" w:eastAsiaTheme="minorEastAsia" w:hAnsiTheme="minorHAnsi" w:cstheme="minorBidi"/>
            <w:b w:val="0"/>
            <w:bCs w:val="0"/>
            <w:noProof/>
            <w:sz w:val="22"/>
            <w:szCs w:val="22"/>
          </w:rPr>
          <w:tab/>
        </w:r>
        <w:r w:rsidR="0071250F" w:rsidRPr="00C17FB0">
          <w:rPr>
            <w:rStyle w:val="Hyperlink"/>
            <w:noProof/>
          </w:rPr>
          <w:t>Anhang A – Verzeichnisse</w:t>
        </w:r>
        <w:r w:rsidR="0071250F">
          <w:rPr>
            <w:noProof/>
            <w:webHidden/>
          </w:rPr>
          <w:tab/>
        </w:r>
        <w:r w:rsidR="0071250F">
          <w:rPr>
            <w:noProof/>
            <w:webHidden/>
          </w:rPr>
          <w:fldChar w:fldCharType="begin"/>
        </w:r>
        <w:r w:rsidR="0071250F">
          <w:rPr>
            <w:noProof/>
            <w:webHidden/>
          </w:rPr>
          <w:instrText xml:space="preserve"> PAGEREF _Toc503165515 \h </w:instrText>
        </w:r>
        <w:r w:rsidR="0071250F">
          <w:rPr>
            <w:noProof/>
            <w:webHidden/>
          </w:rPr>
        </w:r>
        <w:r w:rsidR="0071250F">
          <w:rPr>
            <w:noProof/>
            <w:webHidden/>
          </w:rPr>
          <w:fldChar w:fldCharType="separate"/>
        </w:r>
        <w:r w:rsidR="0071250F">
          <w:rPr>
            <w:noProof/>
            <w:webHidden/>
          </w:rPr>
          <w:t>35</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16" w:history="1">
        <w:r w:rsidR="0071250F" w:rsidRPr="00C17FB0">
          <w:rPr>
            <w:rStyle w:val="Hyperlink"/>
            <w:noProof/>
          </w:rPr>
          <w:t>6.1</w:t>
        </w:r>
        <w:r w:rsidR="0071250F">
          <w:rPr>
            <w:rFonts w:asciiTheme="minorHAnsi" w:eastAsiaTheme="minorEastAsia" w:hAnsiTheme="minorHAnsi" w:cstheme="minorBidi"/>
            <w:b w:val="0"/>
            <w:iCs w:val="0"/>
            <w:noProof/>
            <w:szCs w:val="22"/>
          </w:rPr>
          <w:tab/>
        </w:r>
        <w:r w:rsidR="0071250F" w:rsidRPr="00C17FB0">
          <w:rPr>
            <w:rStyle w:val="Hyperlink"/>
            <w:noProof/>
          </w:rPr>
          <w:t>A1 – Abkürzungen</w:t>
        </w:r>
        <w:r w:rsidR="0071250F">
          <w:rPr>
            <w:noProof/>
            <w:webHidden/>
          </w:rPr>
          <w:tab/>
        </w:r>
        <w:r w:rsidR="0071250F">
          <w:rPr>
            <w:noProof/>
            <w:webHidden/>
          </w:rPr>
          <w:fldChar w:fldCharType="begin"/>
        </w:r>
        <w:r w:rsidR="0071250F">
          <w:rPr>
            <w:noProof/>
            <w:webHidden/>
          </w:rPr>
          <w:instrText xml:space="preserve"> PAGEREF _Toc503165516 \h </w:instrText>
        </w:r>
        <w:r w:rsidR="0071250F">
          <w:rPr>
            <w:noProof/>
            <w:webHidden/>
          </w:rPr>
        </w:r>
        <w:r w:rsidR="0071250F">
          <w:rPr>
            <w:noProof/>
            <w:webHidden/>
          </w:rPr>
          <w:fldChar w:fldCharType="separate"/>
        </w:r>
        <w:r w:rsidR="0071250F">
          <w:rPr>
            <w:noProof/>
            <w:webHidden/>
          </w:rPr>
          <w:t>35</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17" w:history="1">
        <w:r w:rsidR="0071250F" w:rsidRPr="00C17FB0">
          <w:rPr>
            <w:rStyle w:val="Hyperlink"/>
            <w:noProof/>
          </w:rPr>
          <w:t>6.2</w:t>
        </w:r>
        <w:r w:rsidR="0071250F">
          <w:rPr>
            <w:rFonts w:asciiTheme="minorHAnsi" w:eastAsiaTheme="minorEastAsia" w:hAnsiTheme="minorHAnsi" w:cstheme="minorBidi"/>
            <w:b w:val="0"/>
            <w:iCs w:val="0"/>
            <w:noProof/>
            <w:szCs w:val="22"/>
          </w:rPr>
          <w:tab/>
        </w:r>
        <w:r w:rsidR="0071250F" w:rsidRPr="00C17FB0">
          <w:rPr>
            <w:rStyle w:val="Hyperlink"/>
            <w:noProof/>
          </w:rPr>
          <w:t>A2 – Abbildungsverzeichnis</w:t>
        </w:r>
        <w:r w:rsidR="0071250F">
          <w:rPr>
            <w:noProof/>
            <w:webHidden/>
          </w:rPr>
          <w:tab/>
        </w:r>
        <w:r w:rsidR="0071250F">
          <w:rPr>
            <w:noProof/>
            <w:webHidden/>
          </w:rPr>
          <w:fldChar w:fldCharType="begin"/>
        </w:r>
        <w:r w:rsidR="0071250F">
          <w:rPr>
            <w:noProof/>
            <w:webHidden/>
          </w:rPr>
          <w:instrText xml:space="preserve"> PAGEREF _Toc503165517 \h </w:instrText>
        </w:r>
        <w:r w:rsidR="0071250F">
          <w:rPr>
            <w:noProof/>
            <w:webHidden/>
          </w:rPr>
        </w:r>
        <w:r w:rsidR="0071250F">
          <w:rPr>
            <w:noProof/>
            <w:webHidden/>
          </w:rPr>
          <w:fldChar w:fldCharType="separate"/>
        </w:r>
        <w:r w:rsidR="0071250F">
          <w:rPr>
            <w:noProof/>
            <w:webHidden/>
          </w:rPr>
          <w:t>35</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18" w:history="1">
        <w:r w:rsidR="0071250F" w:rsidRPr="00C17FB0">
          <w:rPr>
            <w:rStyle w:val="Hyperlink"/>
            <w:noProof/>
          </w:rPr>
          <w:t>6.3</w:t>
        </w:r>
        <w:r w:rsidR="0071250F">
          <w:rPr>
            <w:rFonts w:asciiTheme="minorHAnsi" w:eastAsiaTheme="minorEastAsia" w:hAnsiTheme="minorHAnsi" w:cstheme="minorBidi"/>
            <w:b w:val="0"/>
            <w:iCs w:val="0"/>
            <w:noProof/>
            <w:szCs w:val="22"/>
          </w:rPr>
          <w:tab/>
        </w:r>
        <w:r w:rsidR="0071250F" w:rsidRPr="00C17FB0">
          <w:rPr>
            <w:rStyle w:val="Hyperlink"/>
            <w:noProof/>
          </w:rPr>
          <w:t>A3 – Tabellenverzeichnis</w:t>
        </w:r>
        <w:r w:rsidR="0071250F">
          <w:rPr>
            <w:noProof/>
            <w:webHidden/>
          </w:rPr>
          <w:tab/>
        </w:r>
        <w:r w:rsidR="0071250F">
          <w:rPr>
            <w:noProof/>
            <w:webHidden/>
          </w:rPr>
          <w:fldChar w:fldCharType="begin"/>
        </w:r>
        <w:r w:rsidR="0071250F">
          <w:rPr>
            <w:noProof/>
            <w:webHidden/>
          </w:rPr>
          <w:instrText xml:space="preserve"> PAGEREF _Toc503165518 \h </w:instrText>
        </w:r>
        <w:r w:rsidR="0071250F">
          <w:rPr>
            <w:noProof/>
            <w:webHidden/>
          </w:rPr>
        </w:r>
        <w:r w:rsidR="0071250F">
          <w:rPr>
            <w:noProof/>
            <w:webHidden/>
          </w:rPr>
          <w:fldChar w:fldCharType="separate"/>
        </w:r>
        <w:r w:rsidR="0071250F">
          <w:rPr>
            <w:noProof/>
            <w:webHidden/>
          </w:rPr>
          <w:t>36</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19" w:history="1">
        <w:r w:rsidR="0071250F" w:rsidRPr="00C17FB0">
          <w:rPr>
            <w:rStyle w:val="Hyperlink"/>
            <w:noProof/>
          </w:rPr>
          <w:t>6.4</w:t>
        </w:r>
        <w:r w:rsidR="0071250F">
          <w:rPr>
            <w:rFonts w:asciiTheme="minorHAnsi" w:eastAsiaTheme="minorEastAsia" w:hAnsiTheme="minorHAnsi" w:cstheme="minorBidi"/>
            <w:b w:val="0"/>
            <w:iCs w:val="0"/>
            <w:noProof/>
            <w:szCs w:val="22"/>
          </w:rPr>
          <w:tab/>
        </w:r>
        <w:r w:rsidR="0071250F" w:rsidRPr="00C17FB0">
          <w:rPr>
            <w:rStyle w:val="Hyperlink"/>
            <w:noProof/>
          </w:rPr>
          <w:t>A4 – Referenzierte Dokumente</w:t>
        </w:r>
        <w:r w:rsidR="0071250F">
          <w:rPr>
            <w:noProof/>
            <w:webHidden/>
          </w:rPr>
          <w:tab/>
        </w:r>
        <w:r w:rsidR="0071250F">
          <w:rPr>
            <w:noProof/>
            <w:webHidden/>
          </w:rPr>
          <w:fldChar w:fldCharType="begin"/>
        </w:r>
        <w:r w:rsidR="0071250F">
          <w:rPr>
            <w:noProof/>
            <w:webHidden/>
          </w:rPr>
          <w:instrText xml:space="preserve"> PAGEREF _Toc503165519 \h </w:instrText>
        </w:r>
        <w:r w:rsidR="0071250F">
          <w:rPr>
            <w:noProof/>
            <w:webHidden/>
          </w:rPr>
        </w:r>
        <w:r w:rsidR="0071250F">
          <w:rPr>
            <w:noProof/>
            <w:webHidden/>
          </w:rPr>
          <w:fldChar w:fldCharType="separate"/>
        </w:r>
        <w:r w:rsidR="0071250F">
          <w:rPr>
            <w:noProof/>
            <w:webHidden/>
          </w:rPr>
          <w:t>36</w:t>
        </w:r>
        <w:r w:rsidR="0071250F">
          <w:rPr>
            <w:noProof/>
            <w:webHidden/>
          </w:rPr>
          <w:fldChar w:fldCharType="end"/>
        </w:r>
      </w:hyperlink>
    </w:p>
    <w:p w:rsidR="0071250F" w:rsidRDefault="002E6160">
      <w:pPr>
        <w:pStyle w:val="Verzeichnis3"/>
        <w:tabs>
          <w:tab w:val="left" w:pos="1320"/>
          <w:tab w:val="right" w:leader="dot" w:pos="8726"/>
        </w:tabs>
        <w:rPr>
          <w:rFonts w:asciiTheme="minorHAnsi" w:eastAsiaTheme="minorEastAsia" w:hAnsiTheme="minorHAnsi" w:cstheme="minorBidi"/>
          <w:noProof/>
          <w:szCs w:val="22"/>
        </w:rPr>
      </w:pPr>
      <w:hyperlink w:anchor="_Toc503165520" w:history="1">
        <w:r w:rsidR="0071250F" w:rsidRPr="00C17FB0">
          <w:rPr>
            <w:rStyle w:val="Hyperlink"/>
            <w:noProof/>
          </w:rPr>
          <w:t>6.4.1</w:t>
        </w:r>
        <w:r w:rsidR="0071250F">
          <w:rPr>
            <w:rFonts w:asciiTheme="minorHAnsi" w:eastAsiaTheme="minorEastAsia" w:hAnsiTheme="minorHAnsi" w:cstheme="minorBidi"/>
            <w:noProof/>
            <w:szCs w:val="22"/>
          </w:rPr>
          <w:tab/>
        </w:r>
        <w:r w:rsidR="0071250F" w:rsidRPr="00C17FB0">
          <w:rPr>
            <w:rStyle w:val="Hyperlink"/>
            <w:noProof/>
          </w:rPr>
          <w:t>A4.1 – Dokumente der gematik</w:t>
        </w:r>
        <w:r w:rsidR="0071250F">
          <w:rPr>
            <w:noProof/>
            <w:webHidden/>
          </w:rPr>
          <w:tab/>
        </w:r>
        <w:r w:rsidR="0071250F">
          <w:rPr>
            <w:noProof/>
            <w:webHidden/>
          </w:rPr>
          <w:fldChar w:fldCharType="begin"/>
        </w:r>
        <w:r w:rsidR="0071250F">
          <w:rPr>
            <w:noProof/>
            <w:webHidden/>
          </w:rPr>
          <w:instrText xml:space="preserve"> PAGEREF _Toc503165520 \h </w:instrText>
        </w:r>
        <w:r w:rsidR="0071250F">
          <w:rPr>
            <w:noProof/>
            <w:webHidden/>
          </w:rPr>
        </w:r>
        <w:r w:rsidR="0071250F">
          <w:rPr>
            <w:noProof/>
            <w:webHidden/>
          </w:rPr>
          <w:fldChar w:fldCharType="separate"/>
        </w:r>
        <w:r w:rsidR="0071250F">
          <w:rPr>
            <w:noProof/>
            <w:webHidden/>
          </w:rPr>
          <w:t>36</w:t>
        </w:r>
        <w:r w:rsidR="0071250F">
          <w:rPr>
            <w:noProof/>
            <w:webHidden/>
          </w:rPr>
          <w:fldChar w:fldCharType="end"/>
        </w:r>
      </w:hyperlink>
    </w:p>
    <w:p w:rsidR="0071250F" w:rsidRDefault="002E6160">
      <w:pPr>
        <w:pStyle w:val="Verzeichnis3"/>
        <w:tabs>
          <w:tab w:val="left" w:pos="1320"/>
          <w:tab w:val="right" w:leader="dot" w:pos="8726"/>
        </w:tabs>
        <w:rPr>
          <w:rFonts w:asciiTheme="minorHAnsi" w:eastAsiaTheme="minorEastAsia" w:hAnsiTheme="minorHAnsi" w:cstheme="minorBidi"/>
          <w:noProof/>
          <w:szCs w:val="22"/>
        </w:rPr>
      </w:pPr>
      <w:hyperlink w:anchor="_Toc503165521" w:history="1">
        <w:r w:rsidR="0071250F" w:rsidRPr="00C17FB0">
          <w:rPr>
            <w:rStyle w:val="Hyperlink"/>
            <w:noProof/>
          </w:rPr>
          <w:t>6.4.2</w:t>
        </w:r>
        <w:r w:rsidR="0071250F">
          <w:rPr>
            <w:rFonts w:asciiTheme="minorHAnsi" w:eastAsiaTheme="minorEastAsia" w:hAnsiTheme="minorHAnsi" w:cstheme="minorBidi"/>
            <w:noProof/>
            <w:szCs w:val="22"/>
          </w:rPr>
          <w:tab/>
        </w:r>
        <w:r w:rsidR="0071250F" w:rsidRPr="00C17FB0">
          <w:rPr>
            <w:rStyle w:val="Hyperlink"/>
            <w:noProof/>
          </w:rPr>
          <w:t>A4.2 – Weitere Dokumente</w:t>
        </w:r>
        <w:r w:rsidR="0071250F">
          <w:rPr>
            <w:noProof/>
            <w:webHidden/>
          </w:rPr>
          <w:tab/>
        </w:r>
        <w:r w:rsidR="0071250F">
          <w:rPr>
            <w:noProof/>
            <w:webHidden/>
          </w:rPr>
          <w:fldChar w:fldCharType="begin"/>
        </w:r>
        <w:r w:rsidR="0071250F">
          <w:rPr>
            <w:noProof/>
            <w:webHidden/>
          </w:rPr>
          <w:instrText xml:space="preserve"> PAGEREF _Toc503165521 \h </w:instrText>
        </w:r>
        <w:r w:rsidR="0071250F">
          <w:rPr>
            <w:noProof/>
            <w:webHidden/>
          </w:rPr>
        </w:r>
        <w:r w:rsidR="0071250F">
          <w:rPr>
            <w:noProof/>
            <w:webHidden/>
          </w:rPr>
          <w:fldChar w:fldCharType="separate"/>
        </w:r>
        <w:r w:rsidR="0071250F">
          <w:rPr>
            <w:noProof/>
            <w:webHidden/>
          </w:rPr>
          <w:t>37</w:t>
        </w:r>
        <w:r w:rsidR="0071250F">
          <w:rPr>
            <w:noProof/>
            <w:webHidden/>
          </w:rPr>
          <w:fldChar w:fldCharType="end"/>
        </w:r>
      </w:hyperlink>
    </w:p>
    <w:p w:rsidR="0071250F" w:rsidRDefault="002E6160">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5522" w:history="1">
        <w:r w:rsidR="0071250F" w:rsidRPr="00C17FB0">
          <w:rPr>
            <w:rStyle w:val="Hyperlink"/>
            <w:noProof/>
          </w:rPr>
          <w:t>7</w:t>
        </w:r>
        <w:r w:rsidR="0071250F">
          <w:rPr>
            <w:rFonts w:asciiTheme="minorHAnsi" w:eastAsiaTheme="minorEastAsia" w:hAnsiTheme="minorHAnsi" w:cstheme="minorBidi"/>
            <w:b w:val="0"/>
            <w:bCs w:val="0"/>
            <w:noProof/>
            <w:sz w:val="22"/>
            <w:szCs w:val="22"/>
          </w:rPr>
          <w:tab/>
        </w:r>
        <w:r w:rsidR="0071250F" w:rsidRPr="00C17FB0">
          <w:rPr>
            <w:rStyle w:val="Hyperlink"/>
            <w:noProof/>
          </w:rPr>
          <w:t>Anhang B – Modularisierungskonzept</w:t>
        </w:r>
        <w:r w:rsidR="0071250F">
          <w:rPr>
            <w:noProof/>
            <w:webHidden/>
          </w:rPr>
          <w:tab/>
        </w:r>
        <w:r w:rsidR="0071250F">
          <w:rPr>
            <w:noProof/>
            <w:webHidden/>
          </w:rPr>
          <w:fldChar w:fldCharType="begin"/>
        </w:r>
        <w:r w:rsidR="0071250F">
          <w:rPr>
            <w:noProof/>
            <w:webHidden/>
          </w:rPr>
          <w:instrText xml:space="preserve"> PAGEREF _Toc503165522 \h </w:instrText>
        </w:r>
        <w:r w:rsidR="0071250F">
          <w:rPr>
            <w:noProof/>
            <w:webHidden/>
          </w:rPr>
        </w:r>
        <w:r w:rsidR="0071250F">
          <w:rPr>
            <w:noProof/>
            <w:webHidden/>
          </w:rPr>
          <w:fldChar w:fldCharType="separate"/>
        </w:r>
        <w:r w:rsidR="0071250F">
          <w:rPr>
            <w:noProof/>
            <w:webHidden/>
          </w:rPr>
          <w:t>38</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23" w:history="1">
        <w:r w:rsidR="0071250F" w:rsidRPr="00C17FB0">
          <w:rPr>
            <w:rStyle w:val="Hyperlink"/>
            <w:noProof/>
          </w:rPr>
          <w:t>7.1</w:t>
        </w:r>
        <w:r w:rsidR="0071250F">
          <w:rPr>
            <w:rFonts w:asciiTheme="minorHAnsi" w:eastAsiaTheme="minorEastAsia" w:hAnsiTheme="minorHAnsi" w:cstheme="minorBidi"/>
            <w:b w:val="0"/>
            <w:iCs w:val="0"/>
            <w:noProof/>
            <w:szCs w:val="22"/>
          </w:rPr>
          <w:tab/>
        </w:r>
        <w:r w:rsidR="0071250F" w:rsidRPr="00C17FB0">
          <w:rPr>
            <w:rStyle w:val="Hyperlink"/>
            <w:noProof/>
          </w:rPr>
          <w:t>B1 – Anordnung der Module</w:t>
        </w:r>
        <w:r w:rsidR="0071250F">
          <w:rPr>
            <w:noProof/>
            <w:webHidden/>
          </w:rPr>
          <w:tab/>
        </w:r>
        <w:r w:rsidR="0071250F">
          <w:rPr>
            <w:noProof/>
            <w:webHidden/>
          </w:rPr>
          <w:fldChar w:fldCharType="begin"/>
        </w:r>
        <w:r w:rsidR="0071250F">
          <w:rPr>
            <w:noProof/>
            <w:webHidden/>
          </w:rPr>
          <w:instrText xml:space="preserve"> PAGEREF _Toc503165523 \h </w:instrText>
        </w:r>
        <w:r w:rsidR="0071250F">
          <w:rPr>
            <w:noProof/>
            <w:webHidden/>
          </w:rPr>
        </w:r>
        <w:r w:rsidR="0071250F">
          <w:rPr>
            <w:noProof/>
            <w:webHidden/>
          </w:rPr>
          <w:fldChar w:fldCharType="separate"/>
        </w:r>
        <w:r w:rsidR="0071250F">
          <w:rPr>
            <w:noProof/>
            <w:webHidden/>
          </w:rPr>
          <w:t>38</w:t>
        </w:r>
        <w:r w:rsidR="0071250F">
          <w:rPr>
            <w:noProof/>
            <w:webHidden/>
          </w:rPr>
          <w:fldChar w:fldCharType="end"/>
        </w:r>
      </w:hyperlink>
    </w:p>
    <w:p w:rsidR="0071250F" w:rsidRDefault="002E6160">
      <w:pPr>
        <w:pStyle w:val="Verzeichnis2"/>
        <w:tabs>
          <w:tab w:val="left" w:pos="880"/>
          <w:tab w:val="right" w:leader="dot" w:pos="8726"/>
        </w:tabs>
        <w:rPr>
          <w:rFonts w:asciiTheme="minorHAnsi" w:eastAsiaTheme="minorEastAsia" w:hAnsiTheme="minorHAnsi" w:cstheme="minorBidi"/>
          <w:b w:val="0"/>
          <w:iCs w:val="0"/>
          <w:noProof/>
          <w:szCs w:val="22"/>
        </w:rPr>
      </w:pPr>
      <w:hyperlink w:anchor="_Toc503165524" w:history="1">
        <w:r w:rsidR="0071250F" w:rsidRPr="00C17FB0">
          <w:rPr>
            <w:rStyle w:val="Hyperlink"/>
            <w:noProof/>
          </w:rPr>
          <w:t>7.2</w:t>
        </w:r>
        <w:r w:rsidR="0071250F">
          <w:rPr>
            <w:rFonts w:asciiTheme="minorHAnsi" w:eastAsiaTheme="minorEastAsia" w:hAnsiTheme="minorHAnsi" w:cstheme="minorBidi"/>
            <w:b w:val="0"/>
            <w:iCs w:val="0"/>
            <w:noProof/>
            <w:szCs w:val="22"/>
          </w:rPr>
          <w:tab/>
        </w:r>
        <w:r w:rsidR="0071250F" w:rsidRPr="00C17FB0">
          <w:rPr>
            <w:rStyle w:val="Hyperlink"/>
            <w:noProof/>
          </w:rPr>
          <w:t>B2 – Kriterien der Modulzuordnung</w:t>
        </w:r>
        <w:r w:rsidR="0071250F">
          <w:rPr>
            <w:noProof/>
            <w:webHidden/>
          </w:rPr>
          <w:tab/>
        </w:r>
        <w:r w:rsidR="0071250F">
          <w:rPr>
            <w:noProof/>
            <w:webHidden/>
          </w:rPr>
          <w:fldChar w:fldCharType="begin"/>
        </w:r>
        <w:r w:rsidR="0071250F">
          <w:rPr>
            <w:noProof/>
            <w:webHidden/>
          </w:rPr>
          <w:instrText xml:space="preserve"> PAGEREF _Toc503165524 \h </w:instrText>
        </w:r>
        <w:r w:rsidR="0071250F">
          <w:rPr>
            <w:noProof/>
            <w:webHidden/>
          </w:rPr>
        </w:r>
        <w:r w:rsidR="0071250F">
          <w:rPr>
            <w:noProof/>
            <w:webHidden/>
          </w:rPr>
          <w:fldChar w:fldCharType="separate"/>
        </w:r>
        <w:r w:rsidR="0071250F">
          <w:rPr>
            <w:noProof/>
            <w:webHidden/>
          </w:rPr>
          <w:t>39</w:t>
        </w:r>
        <w:r w:rsidR="0071250F">
          <w:rPr>
            <w:noProof/>
            <w:webHidden/>
          </w:rPr>
          <w:fldChar w:fldCharType="end"/>
        </w:r>
      </w:hyperlink>
    </w:p>
    <w:p w:rsidR="0071250F" w:rsidRDefault="002E6160">
      <w:pPr>
        <w:pStyle w:val="Verzeichnis3"/>
        <w:tabs>
          <w:tab w:val="left" w:pos="1320"/>
          <w:tab w:val="right" w:leader="dot" w:pos="8726"/>
        </w:tabs>
        <w:rPr>
          <w:rFonts w:asciiTheme="minorHAnsi" w:eastAsiaTheme="minorEastAsia" w:hAnsiTheme="minorHAnsi" w:cstheme="minorBidi"/>
          <w:noProof/>
          <w:szCs w:val="22"/>
        </w:rPr>
      </w:pPr>
      <w:hyperlink w:anchor="_Toc503165525" w:history="1">
        <w:r w:rsidR="0071250F" w:rsidRPr="00C17FB0">
          <w:rPr>
            <w:rStyle w:val="Hyperlink"/>
            <w:noProof/>
          </w:rPr>
          <w:t>7.2.1</w:t>
        </w:r>
        <w:r w:rsidR="0071250F">
          <w:rPr>
            <w:rFonts w:asciiTheme="minorHAnsi" w:eastAsiaTheme="minorEastAsia" w:hAnsiTheme="minorHAnsi" w:cstheme="minorBidi"/>
            <w:noProof/>
            <w:szCs w:val="22"/>
          </w:rPr>
          <w:tab/>
        </w:r>
        <w:r w:rsidR="0071250F" w:rsidRPr="00C17FB0">
          <w:rPr>
            <w:rStyle w:val="Hyperlink"/>
            <w:noProof/>
          </w:rPr>
          <w:t>B2.1 – Kriterium: Spezifikationshoheit der gematik</w:t>
        </w:r>
        <w:r w:rsidR="0071250F">
          <w:rPr>
            <w:noProof/>
            <w:webHidden/>
          </w:rPr>
          <w:tab/>
        </w:r>
        <w:r w:rsidR="0071250F">
          <w:rPr>
            <w:noProof/>
            <w:webHidden/>
          </w:rPr>
          <w:fldChar w:fldCharType="begin"/>
        </w:r>
        <w:r w:rsidR="0071250F">
          <w:rPr>
            <w:noProof/>
            <w:webHidden/>
          </w:rPr>
          <w:instrText xml:space="preserve"> PAGEREF _Toc503165525 \h </w:instrText>
        </w:r>
        <w:r w:rsidR="0071250F">
          <w:rPr>
            <w:noProof/>
            <w:webHidden/>
          </w:rPr>
        </w:r>
        <w:r w:rsidR="0071250F">
          <w:rPr>
            <w:noProof/>
            <w:webHidden/>
          </w:rPr>
          <w:fldChar w:fldCharType="separate"/>
        </w:r>
        <w:r w:rsidR="0071250F">
          <w:rPr>
            <w:noProof/>
            <w:webHidden/>
          </w:rPr>
          <w:t>39</w:t>
        </w:r>
        <w:r w:rsidR="0071250F">
          <w:rPr>
            <w:noProof/>
            <w:webHidden/>
          </w:rPr>
          <w:fldChar w:fldCharType="end"/>
        </w:r>
      </w:hyperlink>
    </w:p>
    <w:p w:rsidR="0071250F" w:rsidRDefault="002E6160">
      <w:pPr>
        <w:pStyle w:val="Verzeichnis3"/>
        <w:tabs>
          <w:tab w:val="left" w:pos="1320"/>
          <w:tab w:val="right" w:leader="dot" w:pos="8726"/>
        </w:tabs>
        <w:rPr>
          <w:rFonts w:asciiTheme="minorHAnsi" w:eastAsiaTheme="minorEastAsia" w:hAnsiTheme="minorHAnsi" w:cstheme="minorBidi"/>
          <w:noProof/>
          <w:szCs w:val="22"/>
        </w:rPr>
      </w:pPr>
      <w:hyperlink w:anchor="_Toc503165526" w:history="1">
        <w:r w:rsidR="0071250F" w:rsidRPr="00C17FB0">
          <w:rPr>
            <w:rStyle w:val="Hyperlink"/>
            <w:noProof/>
          </w:rPr>
          <w:t>7.2.2</w:t>
        </w:r>
        <w:r w:rsidR="0071250F">
          <w:rPr>
            <w:rFonts w:asciiTheme="minorHAnsi" w:eastAsiaTheme="minorEastAsia" w:hAnsiTheme="minorHAnsi" w:cstheme="minorBidi"/>
            <w:noProof/>
            <w:szCs w:val="22"/>
          </w:rPr>
          <w:tab/>
        </w:r>
        <w:r w:rsidR="0071250F" w:rsidRPr="00C17FB0">
          <w:rPr>
            <w:rStyle w:val="Hyperlink"/>
            <w:noProof/>
          </w:rPr>
          <w:t>B2.2 – Kriterium: Beeinträchtigung der TI</w:t>
        </w:r>
        <w:r w:rsidR="0071250F">
          <w:rPr>
            <w:noProof/>
            <w:webHidden/>
          </w:rPr>
          <w:tab/>
        </w:r>
        <w:r w:rsidR="0071250F">
          <w:rPr>
            <w:noProof/>
            <w:webHidden/>
          </w:rPr>
          <w:fldChar w:fldCharType="begin"/>
        </w:r>
        <w:r w:rsidR="0071250F">
          <w:rPr>
            <w:noProof/>
            <w:webHidden/>
          </w:rPr>
          <w:instrText xml:space="preserve"> PAGEREF _Toc503165526 \h </w:instrText>
        </w:r>
        <w:r w:rsidR="0071250F">
          <w:rPr>
            <w:noProof/>
            <w:webHidden/>
          </w:rPr>
        </w:r>
        <w:r w:rsidR="0071250F">
          <w:rPr>
            <w:noProof/>
            <w:webHidden/>
          </w:rPr>
          <w:fldChar w:fldCharType="separate"/>
        </w:r>
        <w:r w:rsidR="0071250F">
          <w:rPr>
            <w:noProof/>
            <w:webHidden/>
          </w:rPr>
          <w:t>41</w:t>
        </w:r>
        <w:r w:rsidR="0071250F">
          <w:rPr>
            <w:noProof/>
            <w:webHidden/>
          </w:rPr>
          <w:fldChar w:fldCharType="end"/>
        </w:r>
      </w:hyperlink>
    </w:p>
    <w:p w:rsidR="0071250F" w:rsidRDefault="002E6160">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3165527" w:history="1">
        <w:r w:rsidR="0071250F" w:rsidRPr="00C17FB0">
          <w:rPr>
            <w:rStyle w:val="Hyperlink"/>
            <w:noProof/>
          </w:rPr>
          <w:t>8</w:t>
        </w:r>
        <w:r w:rsidR="0071250F">
          <w:rPr>
            <w:rFonts w:asciiTheme="minorHAnsi" w:eastAsiaTheme="minorEastAsia" w:hAnsiTheme="minorHAnsi" w:cstheme="minorBidi"/>
            <w:b w:val="0"/>
            <w:bCs w:val="0"/>
            <w:noProof/>
            <w:sz w:val="22"/>
            <w:szCs w:val="22"/>
          </w:rPr>
          <w:tab/>
        </w:r>
        <w:r w:rsidR="0071250F" w:rsidRPr="00C17FB0">
          <w:rPr>
            <w:rStyle w:val="Hyperlink"/>
            <w:noProof/>
          </w:rPr>
          <w:t>Anhang C – Modulzuordnung bei Anwendbarkeit des § 274 Abs. 1 SGB V</w:t>
        </w:r>
        <w:r w:rsidR="0071250F">
          <w:rPr>
            <w:noProof/>
            <w:webHidden/>
          </w:rPr>
          <w:tab/>
        </w:r>
        <w:r w:rsidR="0071250F">
          <w:rPr>
            <w:noProof/>
            <w:webHidden/>
          </w:rPr>
          <w:fldChar w:fldCharType="begin"/>
        </w:r>
        <w:r w:rsidR="0071250F">
          <w:rPr>
            <w:noProof/>
            <w:webHidden/>
          </w:rPr>
          <w:instrText xml:space="preserve"> PAGEREF _Toc503165527 \h </w:instrText>
        </w:r>
        <w:r w:rsidR="0071250F">
          <w:rPr>
            <w:noProof/>
            <w:webHidden/>
          </w:rPr>
        </w:r>
        <w:r w:rsidR="0071250F">
          <w:rPr>
            <w:noProof/>
            <w:webHidden/>
          </w:rPr>
          <w:fldChar w:fldCharType="separate"/>
        </w:r>
        <w:r w:rsidR="0071250F">
          <w:rPr>
            <w:noProof/>
            <w:webHidden/>
          </w:rPr>
          <w:t>44</w:t>
        </w:r>
        <w:r w:rsidR="0071250F">
          <w:rPr>
            <w:noProof/>
            <w:webHidden/>
          </w:rPr>
          <w:fldChar w:fldCharType="end"/>
        </w:r>
      </w:hyperlink>
    </w:p>
    <w:p w:rsidR="00CA7B46" w:rsidRPr="0095746E" w:rsidRDefault="00687D4E" w:rsidP="00F26CEC">
      <w:pPr>
        <w:rPr>
          <w:rFonts w:cs="Arial"/>
        </w:rPr>
      </w:pPr>
      <w:r w:rsidRPr="0095746E">
        <w:rPr>
          <w:rFonts w:cs="Arial"/>
        </w:rPr>
        <w:fldChar w:fldCharType="end"/>
      </w:r>
    </w:p>
    <w:p w:rsidR="00CA7B46" w:rsidRPr="0095746E" w:rsidRDefault="00CA7B46" w:rsidP="00F26CEC">
      <w:pPr>
        <w:sectPr w:rsidR="00CA7B46" w:rsidRPr="0095746E" w:rsidSect="007B74C1">
          <w:pgSz w:w="11906" w:h="16838" w:code="9"/>
          <w:pgMar w:top="2104" w:right="1469" w:bottom="1701" w:left="1701" w:header="709" w:footer="344" w:gutter="0"/>
          <w:cols w:space="708"/>
          <w:titlePg/>
          <w:docGrid w:linePitch="360"/>
        </w:sectPr>
      </w:pPr>
    </w:p>
    <w:p w:rsidR="0098496E" w:rsidRPr="008B4C32" w:rsidRDefault="00D34BC4" w:rsidP="0071250F">
      <w:pPr>
        <w:pStyle w:val="berschrift1"/>
      </w:pPr>
      <w:bookmarkStart w:id="11" w:name="_Toc503165489"/>
      <w:bookmarkStart w:id="12" w:name="_Toc59868036"/>
      <w:r w:rsidRPr="00D34BC4">
        <w:lastRenderedPageBreak/>
        <w:t>Einordnung d</w:t>
      </w:r>
      <w:r w:rsidRPr="008B4C32">
        <w:t>es Dokuments</w:t>
      </w:r>
      <w:bookmarkEnd w:id="11"/>
    </w:p>
    <w:p w:rsidR="0098496E" w:rsidRPr="008B4C32" w:rsidRDefault="0098496E" w:rsidP="0071250F">
      <w:pPr>
        <w:pStyle w:val="berschrift2"/>
      </w:pPr>
      <w:bookmarkStart w:id="13" w:name="_Toc126455649"/>
      <w:bookmarkStart w:id="14" w:name="_Toc126575048"/>
      <w:bookmarkStart w:id="15" w:name="_Toc126575291"/>
      <w:bookmarkStart w:id="16" w:name="_Toc175538628"/>
      <w:bookmarkStart w:id="17" w:name="_Toc175543299"/>
      <w:bookmarkStart w:id="18" w:name="_Toc175547560"/>
      <w:bookmarkStart w:id="19" w:name="_Toc503165490"/>
      <w:r w:rsidRPr="008B4C32">
        <w:t>Zielsetzung</w:t>
      </w:r>
      <w:bookmarkEnd w:id="13"/>
      <w:bookmarkEnd w:id="14"/>
      <w:bookmarkEnd w:id="15"/>
      <w:bookmarkEnd w:id="16"/>
      <w:bookmarkEnd w:id="17"/>
      <w:bookmarkEnd w:id="18"/>
      <w:bookmarkEnd w:id="19"/>
    </w:p>
    <w:p w:rsidR="00D34BC4" w:rsidRDefault="00C22CF3" w:rsidP="00D34BC4">
      <w:pPr>
        <w:pStyle w:val="gemStandard"/>
      </w:pPr>
      <w:bookmarkStart w:id="20" w:name="_Toc119221120"/>
      <w:bookmarkStart w:id="21" w:name="_Toc119221123"/>
      <w:bookmarkStart w:id="22" w:name="_Toc126455650"/>
      <w:bookmarkStart w:id="23" w:name="_Toc126575049"/>
      <w:bookmarkStart w:id="24" w:name="_Toc126575292"/>
      <w:bookmarkStart w:id="25" w:name="_Toc175538629"/>
      <w:bookmarkStart w:id="26" w:name="_Toc175543300"/>
      <w:bookmarkStart w:id="27" w:name="_Toc175547561"/>
      <w:bookmarkEnd w:id="20"/>
      <w:bookmarkEnd w:id="21"/>
      <w:r w:rsidRPr="00C22CF3">
        <w:t xml:space="preserve">Das Dokument definiert übergreifende Sicherheits- und Datenschutzanforderungen </w:t>
      </w:r>
      <w:r w:rsidR="009B30E1">
        <w:t>für Anbieter von Diensten der Telematikinfrastruktur</w:t>
      </w:r>
      <w:r w:rsidR="0095502B">
        <w:t xml:space="preserve"> (TI)</w:t>
      </w:r>
      <w:r w:rsidR="00710FE9">
        <w:t>, Anbieter von Fachdiensten VSDM gemäß § 291 Abs. 2b SGB</w:t>
      </w:r>
      <w:r w:rsidR="00B60A5B">
        <w:t xml:space="preserve"> </w:t>
      </w:r>
      <w:r w:rsidR="00710FE9">
        <w:t>V</w:t>
      </w:r>
      <w:r w:rsidR="009B30E1">
        <w:t xml:space="preserve"> sowie Anbieter weiterer Anwendungen gemäß § 291a Abs. 7 Satz 3 SGB V</w:t>
      </w:r>
      <w:r w:rsidRPr="00C22CF3">
        <w:t>.</w:t>
      </w:r>
    </w:p>
    <w:p w:rsidR="0098496E" w:rsidRPr="008B4C32" w:rsidRDefault="0098496E" w:rsidP="0071250F">
      <w:pPr>
        <w:pStyle w:val="berschrift2"/>
      </w:pPr>
      <w:bookmarkStart w:id="28" w:name="_Ref318293625"/>
      <w:bookmarkStart w:id="29" w:name="_Toc503165491"/>
      <w:r w:rsidRPr="008B4C32">
        <w:t>Zielgruppe</w:t>
      </w:r>
      <w:bookmarkEnd w:id="22"/>
      <w:bookmarkEnd w:id="23"/>
      <w:bookmarkEnd w:id="24"/>
      <w:bookmarkEnd w:id="25"/>
      <w:bookmarkEnd w:id="26"/>
      <w:bookmarkEnd w:id="27"/>
      <w:bookmarkEnd w:id="28"/>
      <w:bookmarkEnd w:id="29"/>
    </w:p>
    <w:p w:rsidR="00E34FD0" w:rsidRDefault="00C22CF3" w:rsidP="00B8381E">
      <w:pPr>
        <w:pStyle w:val="gemStandard"/>
      </w:pPr>
      <w:r w:rsidRPr="00C22CF3">
        <w:t xml:space="preserve">Das Dokument richtet sich </w:t>
      </w:r>
      <w:r w:rsidR="00E33EE5">
        <w:t xml:space="preserve">an </w:t>
      </w:r>
      <w:r w:rsidRPr="00C22CF3">
        <w:t xml:space="preserve">Anbieter </w:t>
      </w:r>
      <w:r w:rsidR="00346DF3">
        <w:t>von Diensten der Telematikinfrastruktur</w:t>
      </w:r>
      <w:r w:rsidR="00B71431">
        <w:t>, Anbieter von Fachdiensten VSDM gemäß § 291 Abs. 2b SGB</w:t>
      </w:r>
      <w:r w:rsidR="00B60A5B">
        <w:t xml:space="preserve"> </w:t>
      </w:r>
      <w:r w:rsidR="00B71431">
        <w:t>V</w:t>
      </w:r>
      <w:r w:rsidR="00346DF3">
        <w:t xml:space="preserve"> sowie Anbieter weiterer Anwendungen gemäß § 291a Abs. 7 Satz 3 SGB V</w:t>
      </w:r>
      <w:r w:rsidRPr="00C22CF3">
        <w:t>.</w:t>
      </w:r>
    </w:p>
    <w:p w:rsidR="0098496E" w:rsidRPr="008B4C32" w:rsidRDefault="0098496E" w:rsidP="0071250F">
      <w:pPr>
        <w:pStyle w:val="berschrift2"/>
      </w:pPr>
      <w:bookmarkStart w:id="30" w:name="_Toc126455651"/>
      <w:bookmarkStart w:id="31" w:name="_Toc126575050"/>
      <w:bookmarkStart w:id="32" w:name="_Toc126575293"/>
      <w:bookmarkStart w:id="33" w:name="_Toc175538630"/>
      <w:bookmarkStart w:id="34" w:name="_Toc175543301"/>
      <w:bookmarkStart w:id="35" w:name="_Toc175547562"/>
      <w:bookmarkStart w:id="36" w:name="_Toc503165492"/>
      <w:r w:rsidRPr="008B4C32">
        <w:t>Geltungsbereich</w:t>
      </w:r>
      <w:bookmarkEnd w:id="30"/>
      <w:bookmarkEnd w:id="31"/>
      <w:bookmarkEnd w:id="32"/>
      <w:bookmarkEnd w:id="33"/>
      <w:bookmarkEnd w:id="34"/>
      <w:bookmarkEnd w:id="35"/>
      <w:bookmarkEnd w:id="36"/>
    </w:p>
    <w:p w:rsidR="00B8381E" w:rsidRDefault="00B8381E" w:rsidP="00B8381E">
      <w:bookmarkStart w:id="37" w:name="_Toc126455652"/>
      <w:bookmarkStart w:id="38" w:name="_Toc126575051"/>
      <w:bookmarkStart w:id="39" w:name="_Toc126575294"/>
      <w:bookmarkStart w:id="40" w:name="_Toc175538631"/>
      <w:bookmarkStart w:id="41" w:name="_Toc175543302"/>
      <w:bookmarkStart w:id="42" w:name="_Toc175547563"/>
      <w:r w:rsidRPr="00B8381E">
        <w:t>Dieses Dokument enthält normative Festlegungen zur Telematikinfrastruktur des Deutschen Gesundheitswesens. Der Gültigkeitszeitraum der vorliegenden Version und deren Anwendung in Zulassungs- oder Abnahmeverfahren wird durch die</w:t>
      </w:r>
      <w:r w:rsidR="00E33EE5">
        <w:t xml:space="preserve"> gematik GmbH in gesonderten Do</w:t>
      </w:r>
      <w:r w:rsidRPr="00B8381E">
        <w:t>kumenten (z.</w:t>
      </w:r>
      <w:r w:rsidR="00B44D8A">
        <w:t> </w:t>
      </w:r>
      <w:r w:rsidRPr="00B8381E">
        <w:t>B. Dokumentenlandkarte, Produkttypsteckbri</w:t>
      </w:r>
      <w:r>
        <w:t>ef, Leistungsbeschreibung) fest</w:t>
      </w:r>
      <w:r w:rsidRPr="00B8381E">
        <w:t>gelegt und bekannt gegeben.</w:t>
      </w:r>
    </w:p>
    <w:p w:rsidR="003900CE" w:rsidRPr="00B957E2" w:rsidRDefault="003900CE" w:rsidP="003900CE">
      <w:pPr>
        <w:pStyle w:val="gemStandard"/>
        <w:keepNext/>
        <w:rPr>
          <w:b/>
          <w:szCs w:val="22"/>
        </w:rPr>
      </w:pPr>
      <w:r w:rsidRPr="00B957E2">
        <w:rPr>
          <w:b/>
          <w:szCs w:val="22"/>
        </w:rPr>
        <w:t>Wichtiger Schutzrechts-/Patentrechtshinweis</w:t>
      </w:r>
    </w:p>
    <w:p w:rsidR="003900CE" w:rsidRPr="00EE667D" w:rsidRDefault="003900CE" w:rsidP="003900CE">
      <w:pPr>
        <w:pStyle w:val="gemAnmerkung"/>
        <w:keepNext/>
        <w:rPr>
          <w:szCs w:val="22"/>
        </w:rPr>
      </w:pPr>
      <w:r w:rsidRPr="000201C5">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Schutzrechtsinhabern einzuholen. Die gematik GmbH übernimmt insofern keinerlei Gewährleistungen.</w:t>
      </w:r>
    </w:p>
    <w:p w:rsidR="0098496E" w:rsidRPr="008B4C32" w:rsidRDefault="0098496E" w:rsidP="0071250F">
      <w:pPr>
        <w:pStyle w:val="berschrift2"/>
      </w:pPr>
      <w:bookmarkStart w:id="43" w:name="_Toc126455653"/>
      <w:bookmarkStart w:id="44" w:name="_Toc126575052"/>
      <w:bookmarkStart w:id="45" w:name="_Toc126575295"/>
      <w:bookmarkStart w:id="46" w:name="_Toc175538632"/>
      <w:bookmarkStart w:id="47" w:name="_Toc175543303"/>
      <w:bookmarkStart w:id="48" w:name="_Toc175547564"/>
      <w:bookmarkStart w:id="49" w:name="_Toc503165493"/>
      <w:bookmarkEnd w:id="37"/>
      <w:bookmarkEnd w:id="38"/>
      <w:bookmarkEnd w:id="39"/>
      <w:bookmarkEnd w:id="40"/>
      <w:bookmarkEnd w:id="41"/>
      <w:bookmarkEnd w:id="42"/>
      <w:r w:rsidRPr="008B4C32">
        <w:t>Abgrenzung</w:t>
      </w:r>
      <w:bookmarkEnd w:id="43"/>
      <w:bookmarkEnd w:id="44"/>
      <w:bookmarkEnd w:id="45"/>
      <w:bookmarkEnd w:id="46"/>
      <w:bookmarkEnd w:id="47"/>
      <w:bookmarkEnd w:id="48"/>
      <w:r w:rsidR="00B8381E" w:rsidRPr="008B4C32">
        <w:t>en</w:t>
      </w:r>
      <w:bookmarkEnd w:id="49"/>
    </w:p>
    <w:p w:rsidR="006912DD" w:rsidRDefault="00C22CF3" w:rsidP="00B8381E">
      <w:pPr>
        <w:pStyle w:val="gemStandard"/>
      </w:pPr>
      <w:bookmarkStart w:id="50" w:name="_Toc126575053"/>
      <w:bookmarkStart w:id="51" w:name="_Toc126575296"/>
      <w:bookmarkStart w:id="52" w:name="_Toc175538633"/>
      <w:bookmarkStart w:id="53" w:name="_Toc175543304"/>
      <w:bookmarkStart w:id="54" w:name="_Toc175547565"/>
      <w:r w:rsidRPr="00C22CF3">
        <w:t xml:space="preserve">Spezifische </w:t>
      </w:r>
      <w:r w:rsidR="00155117">
        <w:t>Datenschutz- und Sicherheitsa</w:t>
      </w:r>
      <w:r w:rsidRPr="00C22CF3">
        <w:t>nforderungen für einzelne Produkttypen sind in</w:t>
      </w:r>
      <w:r w:rsidR="00155117">
        <w:t xml:space="preserve"> den jeweiligen Spezifikationen</w:t>
      </w:r>
      <w:r w:rsidR="0051766B">
        <w:t xml:space="preserve"> </w:t>
      </w:r>
      <w:r w:rsidR="00155117">
        <w:t xml:space="preserve">und </w:t>
      </w:r>
      <w:r w:rsidRPr="00C22CF3">
        <w:t>Konzepten de</w:t>
      </w:r>
      <w:r w:rsidR="00155117">
        <w:t>s</w:t>
      </w:r>
      <w:r w:rsidRPr="00C22CF3">
        <w:t xml:space="preserve"> </w:t>
      </w:r>
      <w:r w:rsidR="00155117">
        <w:t>Produkttyps</w:t>
      </w:r>
      <w:r w:rsidRPr="00C22CF3">
        <w:t xml:space="preserve"> festgelegt.</w:t>
      </w:r>
    </w:p>
    <w:p w:rsidR="006912DD" w:rsidRDefault="00155117" w:rsidP="006912DD">
      <w:pPr>
        <w:pStyle w:val="gemStandard"/>
      </w:pPr>
      <w:r>
        <w:t xml:space="preserve">Übergreifende </w:t>
      </w:r>
      <w:r w:rsidR="006912DD">
        <w:t>Anforderungen an die Verwendung kryptographischer Algorithmen in der Telematikinfrastruktu</w:t>
      </w:r>
      <w:r w:rsidR="00B63F55">
        <w:t>r</w:t>
      </w:r>
      <w:r w:rsidR="006912DD">
        <w:t xml:space="preserve"> sind in [gemSpec_Krypt] festgelegt.</w:t>
      </w:r>
    </w:p>
    <w:p w:rsidR="006912DD" w:rsidRDefault="006912DD" w:rsidP="006912DD">
      <w:pPr>
        <w:pStyle w:val="gemStandard"/>
      </w:pPr>
      <w:r>
        <w:t>D</w:t>
      </w:r>
      <w:r w:rsidR="00155117">
        <w:t>ieses</w:t>
      </w:r>
      <w:r>
        <w:t xml:space="preserve"> Dokument enthält keine Anforderungen an Hersteller von </w:t>
      </w:r>
      <w:r w:rsidR="00105C14">
        <w:t>Produkten</w:t>
      </w:r>
      <w:r>
        <w:t xml:space="preserve"> der T</w:t>
      </w:r>
      <w:r w:rsidR="00155117">
        <w:t>elematikinfrastruktur</w:t>
      </w:r>
      <w:r w:rsidR="00434EA5">
        <w:t>. Diese sind in [gemSpec</w:t>
      </w:r>
      <w:r>
        <w:t>_Hersteller</w:t>
      </w:r>
      <w:r w:rsidR="00434EA5">
        <w:t>_SI</w:t>
      </w:r>
      <w:r>
        <w:t>] festgelegt.</w:t>
      </w:r>
    </w:p>
    <w:p w:rsidR="000C4555" w:rsidRDefault="000C4555" w:rsidP="006912DD">
      <w:pPr>
        <w:pStyle w:val="gemStandard"/>
      </w:pPr>
      <w:r>
        <w:lastRenderedPageBreak/>
        <w:t xml:space="preserve">Dieses Dokument enthält keine Anforderungen an </w:t>
      </w:r>
      <w:r w:rsidR="00E9054E">
        <w:t>Anbieter</w:t>
      </w:r>
      <w:r>
        <w:t xml:space="preserve"> von Rechenzentrums-Consumern (vgl. [gemKPT_Arch_TIP]). </w:t>
      </w:r>
    </w:p>
    <w:p w:rsidR="001705FD" w:rsidRPr="008B4C32" w:rsidRDefault="001705FD" w:rsidP="0071250F">
      <w:pPr>
        <w:pStyle w:val="berschrift2"/>
      </w:pPr>
      <w:bookmarkStart w:id="55" w:name="_Toc503165494"/>
      <w:r w:rsidRPr="008B4C32">
        <w:t>Methodik</w:t>
      </w:r>
      <w:bookmarkEnd w:id="55"/>
    </w:p>
    <w:p w:rsidR="00F91511" w:rsidRDefault="00F91511" w:rsidP="00F91511">
      <w:pPr>
        <w:pStyle w:val="gemStandard"/>
      </w:pPr>
      <w:bookmarkStart w:id="56" w:name="_Toc244580815"/>
      <w:r>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F91511" w:rsidRPr="00F91511" w:rsidRDefault="00F91511" w:rsidP="00F91511">
      <w:r w:rsidRPr="00F91511">
        <w:t>Sie werden im Dokument wie folgt dargestellt:</w:t>
      </w:r>
    </w:p>
    <w:p w:rsidR="00F91511" w:rsidRDefault="00F91511" w:rsidP="00F91511">
      <w:pPr>
        <w:pStyle w:val="gemStandard"/>
        <w:tabs>
          <w:tab w:val="left" w:pos="567"/>
        </w:tabs>
        <w:ind w:left="567" w:hanging="567"/>
        <w:rPr>
          <w:b/>
        </w:rPr>
      </w:pPr>
      <w:r>
        <w:rPr>
          <w:b/>
        </w:rPr>
        <w:sym w:font="Wingdings" w:char="F0D6"/>
      </w:r>
      <w:r>
        <w:rPr>
          <w:b/>
        </w:rPr>
        <w:tab/>
        <w:t>gemxxxxxx_AFO_0000 &lt;Titel der Afo&gt;</w:t>
      </w:r>
    </w:p>
    <w:p w:rsidR="0071250F" w:rsidRDefault="00F91511" w:rsidP="0071250F">
      <w:pPr>
        <w:pStyle w:val="gemStandard"/>
        <w:rPr>
          <w:b/>
        </w:rPr>
      </w:pPr>
      <w:r>
        <w:t>Text</w:t>
      </w:r>
      <w:r w:rsidR="00556D48">
        <w:t>/</w:t>
      </w:r>
      <w:r>
        <w:t>Beschreibung</w:t>
      </w:r>
    </w:p>
    <w:p w:rsidR="00F91511" w:rsidRPr="0071250F" w:rsidRDefault="0071250F" w:rsidP="0071250F">
      <w:pPr>
        <w:pStyle w:val="gemStandard"/>
      </w:pPr>
      <w:r>
        <w:rPr>
          <w:b/>
        </w:rPr>
        <w:sym w:font="Wingdings" w:char="F0D5"/>
      </w:r>
    </w:p>
    <w:p w:rsidR="004F7855" w:rsidRDefault="004F7855" w:rsidP="004F7855">
      <w:pPr>
        <w:pStyle w:val="gemStandard"/>
      </w:pPr>
      <w:r>
        <w:t>Dabei umfasst die Anforderung sämtliche innerhalb der Textmarken angeführten Inhalte.</w:t>
      </w:r>
    </w:p>
    <w:p w:rsidR="0071250F" w:rsidRDefault="0071250F" w:rsidP="0071250F">
      <w:pPr>
        <w:pStyle w:val="berschrift1"/>
        <w:sectPr w:rsidR="0071250F" w:rsidSect="007B74C1">
          <w:headerReference w:type="even" r:id="rId12"/>
          <w:pgSz w:w="11906" w:h="16838" w:code="9"/>
          <w:pgMar w:top="1916" w:right="1418" w:bottom="1134" w:left="1701" w:header="539" w:footer="437" w:gutter="0"/>
          <w:cols w:space="708"/>
          <w:docGrid w:linePitch="360"/>
        </w:sectPr>
      </w:pPr>
      <w:bookmarkStart w:id="57" w:name="_Toc59868037"/>
      <w:bookmarkEnd w:id="12"/>
      <w:bookmarkEnd w:id="50"/>
      <w:bookmarkEnd w:id="51"/>
      <w:bookmarkEnd w:id="52"/>
      <w:bookmarkEnd w:id="53"/>
      <w:bookmarkEnd w:id="54"/>
      <w:bookmarkEnd w:id="56"/>
    </w:p>
    <w:p w:rsidR="008E2246" w:rsidRDefault="00C22CF3" w:rsidP="0071250F">
      <w:pPr>
        <w:pStyle w:val="berschrift1"/>
      </w:pPr>
      <w:bookmarkStart w:id="58" w:name="_Toc503165495"/>
      <w:r>
        <w:lastRenderedPageBreak/>
        <w:t>Modularisierung</w:t>
      </w:r>
      <w:bookmarkEnd w:id="58"/>
    </w:p>
    <w:p w:rsidR="005B529B" w:rsidRDefault="00F01A02" w:rsidP="005B529B">
      <w:pPr>
        <w:pStyle w:val="gemStandard"/>
      </w:pPr>
      <w:r>
        <w:t xml:space="preserve">Dieses Dokument enthält </w:t>
      </w:r>
      <w:r w:rsidR="00F83675">
        <w:t xml:space="preserve">übergreifende </w:t>
      </w:r>
      <w:r>
        <w:t>Datenschutz- und Sicherheitsanforderunge</w:t>
      </w:r>
      <w:r w:rsidR="00AA4307">
        <w:t>n a</w:t>
      </w:r>
      <w:r>
        <w:t>n</w:t>
      </w:r>
      <w:r w:rsidR="00AA4307">
        <w:t xml:space="preserve"> Anbieter </w:t>
      </w:r>
      <w:r>
        <w:t>von Diensten der TI</w:t>
      </w:r>
      <w:r w:rsidR="00B71431">
        <w:t>, Anbieter von Fachdiensten VSDM gemäß § 291 Abs. 2b SGB</w:t>
      </w:r>
      <w:r w:rsidR="007D59B6">
        <w:t xml:space="preserve"> </w:t>
      </w:r>
      <w:r w:rsidR="00B71431">
        <w:t>V</w:t>
      </w:r>
      <w:r w:rsidR="005F4967">
        <w:t xml:space="preserve"> </w:t>
      </w:r>
      <w:r w:rsidR="002B7A8B">
        <w:t>sowie</w:t>
      </w:r>
      <w:r w:rsidR="005F4967">
        <w:t xml:space="preserve"> </w:t>
      </w:r>
      <w:r w:rsidR="00367118">
        <w:t xml:space="preserve">an </w:t>
      </w:r>
      <w:r w:rsidR="00AA4307">
        <w:t xml:space="preserve">Anbieter </w:t>
      </w:r>
      <w:r w:rsidR="00B16066">
        <w:t>weiterer</w:t>
      </w:r>
      <w:r>
        <w:t xml:space="preserve"> Anwendungen</w:t>
      </w:r>
      <w:r w:rsidR="00D567C6">
        <w:t xml:space="preserve"> gemäß § 291a Abs. 7 S. 3 SGB</w:t>
      </w:r>
      <w:r w:rsidR="00D83750">
        <w:t> </w:t>
      </w:r>
      <w:r w:rsidR="00D567C6">
        <w:t>V</w:t>
      </w:r>
      <w:r w:rsidR="00AA4307">
        <w:t xml:space="preserve">. </w:t>
      </w:r>
      <w:r w:rsidR="00B16066">
        <w:t>Der Begriff „</w:t>
      </w:r>
      <w:r w:rsidR="005B529B">
        <w:t>Dienste der TI</w:t>
      </w:r>
      <w:r w:rsidR="00B16066">
        <w:t>“</w:t>
      </w:r>
      <w:r w:rsidR="005B529B">
        <w:t xml:space="preserve"> </w:t>
      </w:r>
      <w:r w:rsidR="00B16066">
        <w:t xml:space="preserve">umfasst </w:t>
      </w:r>
      <w:r w:rsidR="00D83750">
        <w:t xml:space="preserve">dabei </w:t>
      </w:r>
      <w:r w:rsidR="00FD563E">
        <w:t>Dienste der TI</w:t>
      </w:r>
      <w:r w:rsidR="00B10998">
        <w:t>-Plattform</w:t>
      </w:r>
      <w:r w:rsidR="00FD563E">
        <w:t xml:space="preserve">, </w:t>
      </w:r>
      <w:r w:rsidR="00B10998">
        <w:t xml:space="preserve">Dienste der </w:t>
      </w:r>
      <w:r w:rsidR="00D567C6">
        <w:t>gesetzlichen Anwendungen der eGK na</w:t>
      </w:r>
      <w:r w:rsidR="00D83750">
        <w:t>ch § 291a Abs. 2 und Abs. 3 SGB </w:t>
      </w:r>
      <w:r w:rsidR="00D567C6">
        <w:t>V sowie Dienste der sicheren Übermittlungsve</w:t>
      </w:r>
      <w:r w:rsidR="00D83750">
        <w:t>rfahren nach § 291b Abs. 1e SGB </w:t>
      </w:r>
      <w:r w:rsidR="00D567C6">
        <w:t>V.</w:t>
      </w:r>
    </w:p>
    <w:p w:rsidR="00675AA8" w:rsidRDefault="00D83750" w:rsidP="00AA4307">
      <w:pPr>
        <w:pStyle w:val="gemStandard"/>
      </w:pPr>
      <w:r>
        <w:t>Alle</w:t>
      </w:r>
      <w:r w:rsidR="00AA4307">
        <w:t xml:space="preserve"> Anforderungen </w:t>
      </w:r>
      <w:r w:rsidR="009A296F">
        <w:t>sind</w:t>
      </w:r>
      <w:r w:rsidR="00AA4307">
        <w:t xml:space="preserve"> </w:t>
      </w:r>
      <w:r w:rsidR="009A296F">
        <w:t>in</w:t>
      </w:r>
      <w:r w:rsidR="00AA4307">
        <w:t xml:space="preserve"> Module </w:t>
      </w:r>
      <w:r>
        <w:t>unterteilt</w:t>
      </w:r>
      <w:r w:rsidR="00E33EE5">
        <w:t>.</w:t>
      </w:r>
      <w:r w:rsidR="00367118">
        <w:t xml:space="preserve"> </w:t>
      </w:r>
      <w:r w:rsidR="00E33EE5">
        <w:t>J</w:t>
      </w:r>
      <w:r w:rsidR="00D74252">
        <w:t>ed</w:t>
      </w:r>
      <w:r w:rsidR="005F4967">
        <w:t>e</w:t>
      </w:r>
      <w:r w:rsidR="00675AA8">
        <w:t xml:space="preserve"> </w:t>
      </w:r>
      <w:r w:rsidR="00F01A02">
        <w:t>Anfor</w:t>
      </w:r>
      <w:r w:rsidR="00675AA8">
        <w:t xml:space="preserve">derung </w:t>
      </w:r>
      <w:r>
        <w:t>ist</w:t>
      </w:r>
      <w:r w:rsidR="00E33EE5">
        <w:t xml:space="preserve"> </w:t>
      </w:r>
      <w:r>
        <w:t xml:space="preserve">dabei </w:t>
      </w:r>
      <w:r w:rsidR="00D74252">
        <w:t xml:space="preserve">genau einem Modul </w:t>
      </w:r>
      <w:r>
        <w:t>zugeteilt. Diese</w:t>
      </w:r>
      <w:r w:rsidR="00E33EE5">
        <w:t xml:space="preserve"> </w:t>
      </w:r>
      <w:r w:rsidR="002B7A8B">
        <w:t xml:space="preserve">Module </w:t>
      </w:r>
      <w:r w:rsidR="00AA4307">
        <w:t>werden</w:t>
      </w:r>
      <w:r>
        <w:t xml:space="preserve"> anschließend</w:t>
      </w:r>
      <w:r w:rsidR="00AA4307">
        <w:t xml:space="preserve"> </w:t>
      </w:r>
      <w:r w:rsidR="002B7A8B">
        <w:t xml:space="preserve">Anbietern </w:t>
      </w:r>
      <w:r w:rsidR="00AA4307">
        <w:t>zugeordnet</w:t>
      </w:r>
      <w:r w:rsidR="0051766B">
        <w:t xml:space="preserve"> (siehe </w:t>
      </w:r>
      <w:r w:rsidR="0051766B">
        <w:fldChar w:fldCharType="begin"/>
      </w:r>
      <w:r w:rsidR="0051766B">
        <w:instrText xml:space="preserve"> REF _Ref476319329 \h </w:instrText>
      </w:r>
      <w:r w:rsidR="0051766B">
        <w:fldChar w:fldCharType="separate"/>
      </w:r>
      <w:r w:rsidR="002F3BBF">
        <w:t xml:space="preserve">Abbildung </w:t>
      </w:r>
      <w:r w:rsidR="002F3BBF">
        <w:rPr>
          <w:noProof/>
        </w:rPr>
        <w:t>1</w:t>
      </w:r>
      <w:r w:rsidR="0051766B">
        <w:fldChar w:fldCharType="end"/>
      </w:r>
      <w:r w:rsidR="0051766B">
        <w:t>)</w:t>
      </w:r>
      <w:r w:rsidR="00AA4307">
        <w:t xml:space="preserve">. </w:t>
      </w:r>
      <w:r w:rsidR="00675AA8">
        <w:t>Ist</w:t>
      </w:r>
      <w:r w:rsidR="00AA4307">
        <w:t xml:space="preserve"> ein Modul </w:t>
      </w:r>
      <w:r w:rsidR="00675AA8">
        <w:t xml:space="preserve">einem Anbieter </w:t>
      </w:r>
      <w:r w:rsidR="00AA4307">
        <w:t>zugeordnet, muss d</w:t>
      </w:r>
      <w:r w:rsidR="00675AA8">
        <w:t>ieser</w:t>
      </w:r>
      <w:r w:rsidR="00AA4307">
        <w:t xml:space="preserve"> alle Anforderungen des Moduls umsetzen. </w:t>
      </w:r>
    </w:p>
    <w:p w:rsidR="00363BAA" w:rsidRDefault="003A0513" w:rsidP="00363BAA">
      <w:pPr>
        <w:pStyle w:val="gemStandard"/>
        <w:keepNext/>
        <w:jc w:val="center"/>
      </w:pPr>
      <w:r>
        <w:rPr>
          <w:noProof/>
        </w:rPr>
        <w:drawing>
          <wp:inline distT="0" distB="0" distL="0" distR="0" wp14:anchorId="5F9A857C" wp14:editId="45FFD7A3">
            <wp:extent cx="4956175" cy="3542030"/>
            <wp:effectExtent l="0" t="0" r="0" b="127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6175" cy="3542030"/>
                    </a:xfrm>
                    <a:prstGeom prst="rect">
                      <a:avLst/>
                    </a:prstGeom>
                    <a:noFill/>
                  </pic:spPr>
                </pic:pic>
              </a:graphicData>
            </a:graphic>
          </wp:inline>
        </w:drawing>
      </w:r>
    </w:p>
    <w:p w:rsidR="00363BAA" w:rsidRDefault="00363BAA" w:rsidP="0071250F">
      <w:pPr>
        <w:pStyle w:val="Beschriftung"/>
        <w:jc w:val="center"/>
      </w:pPr>
      <w:bookmarkStart w:id="59" w:name="_Ref476319329"/>
      <w:bookmarkStart w:id="60" w:name="_Toc496518431"/>
      <w:r>
        <w:t xml:space="preserve">Abbildung </w:t>
      </w:r>
      <w:fldSimple w:instr=" SEQ Abbildung \* ARABIC ">
        <w:r w:rsidR="002F3BBF">
          <w:rPr>
            <w:noProof/>
          </w:rPr>
          <w:t>1</w:t>
        </w:r>
      </w:fldSimple>
      <w:bookmarkEnd w:id="59"/>
      <w:r>
        <w:t xml:space="preserve"> </w:t>
      </w:r>
      <w:r w:rsidR="00556D48">
        <w:t>–</w:t>
      </w:r>
      <w:r>
        <w:t xml:space="preserve"> A</w:t>
      </w:r>
      <w:r w:rsidR="0051766B">
        <w:t>nforderungen, Module und Anbiet</w:t>
      </w:r>
      <w:r>
        <w:t>er</w:t>
      </w:r>
      <w:bookmarkEnd w:id="60"/>
    </w:p>
    <w:p w:rsidR="00675AA8" w:rsidRDefault="00675AA8" w:rsidP="00AA4307">
      <w:pPr>
        <w:pStyle w:val="gemStandard"/>
      </w:pPr>
      <w:r>
        <w:fldChar w:fldCharType="begin"/>
      </w:r>
      <w:r>
        <w:instrText xml:space="preserve"> REF _Ref460517081 \h </w:instrText>
      </w:r>
      <w:r>
        <w:fldChar w:fldCharType="separate"/>
      </w:r>
      <w:r w:rsidR="002F3BBF">
        <w:t xml:space="preserve">Abbildung </w:t>
      </w:r>
      <w:r w:rsidR="002F3BBF">
        <w:rPr>
          <w:noProof/>
        </w:rPr>
        <w:t>2</w:t>
      </w:r>
      <w:r>
        <w:fldChar w:fldCharType="end"/>
      </w:r>
      <w:r>
        <w:t xml:space="preserve"> zeigt die Module im Überblick</w:t>
      </w:r>
      <w:r w:rsidR="00D83750">
        <w:t>;</w:t>
      </w:r>
      <w:r w:rsidR="002F325F">
        <w:t xml:space="preserve"> unterteilt in </w:t>
      </w:r>
      <w:r>
        <w:t xml:space="preserve">Module zur Informationssicherheit (blau), zum Datenschutz (grün) sowie </w:t>
      </w:r>
      <w:r w:rsidR="00F40FD5">
        <w:t xml:space="preserve">spezifische </w:t>
      </w:r>
      <w:r>
        <w:t xml:space="preserve">Module (rot). </w:t>
      </w:r>
      <w:r w:rsidR="00583E05">
        <w:t xml:space="preserve">Die Anforderungen der Module sind in den Kapiteln </w:t>
      </w:r>
      <w:r w:rsidR="00583E05">
        <w:fldChar w:fldCharType="begin"/>
      </w:r>
      <w:r w:rsidR="00583E05">
        <w:instrText xml:space="preserve"> REF _Ref463977071 \r \h </w:instrText>
      </w:r>
      <w:r w:rsidR="00583E05">
        <w:fldChar w:fldCharType="separate"/>
      </w:r>
      <w:r w:rsidR="002F3BBF">
        <w:t>3</w:t>
      </w:r>
      <w:r w:rsidR="00583E05">
        <w:fldChar w:fldCharType="end"/>
      </w:r>
      <w:r w:rsidR="00583E05">
        <w:t xml:space="preserve">, </w:t>
      </w:r>
      <w:r w:rsidR="00583E05">
        <w:fldChar w:fldCharType="begin"/>
      </w:r>
      <w:r w:rsidR="00583E05">
        <w:instrText xml:space="preserve"> REF _Ref463977081 \r \h </w:instrText>
      </w:r>
      <w:r w:rsidR="00583E05">
        <w:fldChar w:fldCharType="separate"/>
      </w:r>
      <w:r w:rsidR="002F3BBF">
        <w:t>4</w:t>
      </w:r>
      <w:r w:rsidR="00583E05">
        <w:fldChar w:fldCharType="end"/>
      </w:r>
      <w:r w:rsidR="00583E05">
        <w:t xml:space="preserve"> und </w:t>
      </w:r>
      <w:r w:rsidR="00583E05">
        <w:fldChar w:fldCharType="begin"/>
      </w:r>
      <w:r w:rsidR="00583E05">
        <w:instrText xml:space="preserve"> REF _Ref487470708 \r \h </w:instrText>
      </w:r>
      <w:r w:rsidR="00583E05">
        <w:fldChar w:fldCharType="separate"/>
      </w:r>
      <w:r w:rsidR="002F3BBF">
        <w:t>5</w:t>
      </w:r>
      <w:r w:rsidR="00583E05">
        <w:fldChar w:fldCharType="end"/>
      </w:r>
      <w:r w:rsidR="00583E05">
        <w:t xml:space="preserve"> beschrieben.</w:t>
      </w:r>
    </w:p>
    <w:p w:rsidR="00675AA8" w:rsidRDefault="007D59B6" w:rsidP="009B30B1">
      <w:pPr>
        <w:pStyle w:val="gemStandard"/>
        <w:keepNext/>
        <w:jc w:val="center"/>
      </w:pPr>
      <w:r>
        <w:rPr>
          <w:noProof/>
        </w:rPr>
        <w:lastRenderedPageBreak/>
        <w:drawing>
          <wp:inline distT="0" distB="0" distL="0" distR="0" wp14:anchorId="03007025" wp14:editId="42DAEC72">
            <wp:extent cx="3773805" cy="360299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3805" cy="3602990"/>
                    </a:xfrm>
                    <a:prstGeom prst="rect">
                      <a:avLst/>
                    </a:prstGeom>
                    <a:noFill/>
                  </pic:spPr>
                </pic:pic>
              </a:graphicData>
            </a:graphic>
          </wp:inline>
        </w:drawing>
      </w:r>
      <w:r w:rsidR="00516612" w:rsidRPr="00516612">
        <w:t xml:space="preserve"> </w:t>
      </w:r>
    </w:p>
    <w:p w:rsidR="00675AA8" w:rsidRPr="00C22CF3" w:rsidRDefault="00675AA8" w:rsidP="0071250F">
      <w:pPr>
        <w:pStyle w:val="Beschriftung"/>
        <w:jc w:val="center"/>
      </w:pPr>
      <w:bookmarkStart w:id="61" w:name="_Ref460517081"/>
      <w:bookmarkStart w:id="62" w:name="_Toc496518432"/>
      <w:r>
        <w:t xml:space="preserve">Abbildung </w:t>
      </w:r>
      <w:fldSimple w:instr=" SEQ Abbildung \* ARABIC ">
        <w:r w:rsidR="002F3BBF">
          <w:rPr>
            <w:noProof/>
          </w:rPr>
          <w:t>2</w:t>
        </w:r>
      </w:fldSimple>
      <w:bookmarkEnd w:id="61"/>
      <w:r w:rsidR="006912DD">
        <w:t xml:space="preserve"> – Modulübersicht für Anbietermodule</w:t>
      </w:r>
      <w:bookmarkEnd w:id="62"/>
    </w:p>
    <w:p w:rsidR="008E4B1F" w:rsidRDefault="00583E05" w:rsidP="00583E05">
      <w:pPr>
        <w:pStyle w:val="gemStandard"/>
      </w:pPr>
      <w:r>
        <w:t xml:space="preserve">Die Module zur Informationssicherheit (blau) und zum Datenschutz (grün) </w:t>
      </w:r>
      <w:r w:rsidR="000278CC">
        <w:t>sind</w:t>
      </w:r>
      <w:r>
        <w:t xml:space="preserve"> </w:t>
      </w:r>
      <w:r w:rsidR="000278CC">
        <w:t>a</w:t>
      </w:r>
      <w:r>
        <w:t xml:space="preserve">nbieter-übergreifend, </w:t>
      </w:r>
      <w:r w:rsidR="000278CC">
        <w:t>d.</w:t>
      </w:r>
      <w:r w:rsidR="00D83750">
        <w:t> </w:t>
      </w:r>
      <w:r w:rsidR="000278CC">
        <w:t xml:space="preserve">h. </w:t>
      </w:r>
      <w:r>
        <w:t xml:space="preserve">unabhängig von einer speziellen Rolle des Anbieters. </w:t>
      </w:r>
    </w:p>
    <w:p w:rsidR="00F0547E" w:rsidRDefault="008E4B1F" w:rsidP="008E4B1F">
      <w:pPr>
        <w:pStyle w:val="gemStandard"/>
      </w:pPr>
      <w:r>
        <w:t>Darüber hinaus gibt es spezifische Module für Kartenherausgeber, Anbieter von Schlüsselverwaltungen sowie Anbieter weiterer Anwendungen</w:t>
      </w:r>
      <w:r w:rsidR="00F0547E">
        <w:t xml:space="preserve"> </w:t>
      </w:r>
      <w:r w:rsidR="00F0547E" w:rsidRPr="00F0547E">
        <w:rPr>
          <w:highlight w:val="yellow"/>
        </w:rPr>
        <w:t xml:space="preserve">nach § 291a Abs. 7 S. 3 SGB </w:t>
      </w:r>
      <w:commentRangeStart w:id="63"/>
      <w:r w:rsidR="00F0547E" w:rsidRPr="00F0547E">
        <w:rPr>
          <w:highlight w:val="yellow"/>
        </w:rPr>
        <w:t>V</w:t>
      </w:r>
      <w:commentRangeEnd w:id="63"/>
      <w:r w:rsidR="00F0547E">
        <w:rPr>
          <w:rStyle w:val="Kommentarzeichen"/>
        </w:rPr>
        <w:commentReference w:id="63"/>
      </w:r>
      <w:r>
        <w:t xml:space="preserve">. Diese Module enthalten Sicherheitsanforderungen, die nur von Anbietern in diesen Rollen zu erfüllen sind. </w:t>
      </w:r>
    </w:p>
    <w:p w:rsidR="00F0547E" w:rsidRDefault="00F0547E" w:rsidP="008E4B1F">
      <w:pPr>
        <w:pStyle w:val="gemStandard"/>
      </w:pPr>
      <w:r w:rsidRPr="00F0547E">
        <w:rPr>
          <w:highlight w:val="yellow"/>
        </w:rPr>
        <w:t xml:space="preserve">Im Folgenden bezeichnet der Begriff „weitere Anwendungen“ immer weitere Anwendungen nach § 291a Abs. 7 S. 3 SGB </w:t>
      </w:r>
      <w:commentRangeStart w:id="64"/>
      <w:r w:rsidRPr="00F0547E">
        <w:rPr>
          <w:highlight w:val="yellow"/>
        </w:rPr>
        <w:t>V</w:t>
      </w:r>
      <w:commentRangeEnd w:id="64"/>
      <w:r>
        <w:rPr>
          <w:rStyle w:val="Kommentarzeichen"/>
        </w:rPr>
        <w:commentReference w:id="64"/>
      </w:r>
      <w:r>
        <w:t xml:space="preserve">. </w:t>
      </w:r>
    </w:p>
    <w:p w:rsidR="00301D81" w:rsidRDefault="00301D81" w:rsidP="0071250F">
      <w:pPr>
        <w:pStyle w:val="berschrift2"/>
      </w:pPr>
      <w:bookmarkStart w:id="65" w:name="_Toc503165496"/>
      <w:r>
        <w:t>Zuordnung der Module zur Informationssicherheit</w:t>
      </w:r>
      <w:bookmarkEnd w:id="65"/>
    </w:p>
    <w:p w:rsidR="005A0A18" w:rsidRDefault="00C66533" w:rsidP="00472E21">
      <w:pPr>
        <w:pStyle w:val="gemStandard"/>
      </w:pPr>
      <w:r>
        <w:t xml:space="preserve">In diesem Abschnitt werden die </w:t>
      </w:r>
      <w:r w:rsidR="00AD6664">
        <w:t>a</w:t>
      </w:r>
      <w:r w:rsidR="005A0A18">
        <w:t xml:space="preserve">nbieterübergreifenden </w:t>
      </w:r>
      <w:r>
        <w:t xml:space="preserve">Module zur Informationssicherheit </w:t>
      </w:r>
      <w:r w:rsidR="00583E05">
        <w:t>Anbietern von Diensten der TI</w:t>
      </w:r>
      <w:r w:rsidR="00D52C8A">
        <w:t xml:space="preserve">, </w:t>
      </w:r>
      <w:r w:rsidR="00B71431">
        <w:t xml:space="preserve">Anbietern </w:t>
      </w:r>
      <w:r w:rsidR="00D52C8A">
        <w:t>der Fachdienste VSDM</w:t>
      </w:r>
      <w:r w:rsidR="00583E05">
        <w:t xml:space="preserve"> </w:t>
      </w:r>
      <w:r w:rsidR="005A0A18">
        <w:t>und</w:t>
      </w:r>
      <w:r w:rsidR="00583E05">
        <w:t xml:space="preserve"> Anbietern weiterer Anwendungen </w:t>
      </w:r>
      <w:r>
        <w:t>zugeordnet</w:t>
      </w:r>
      <w:r w:rsidR="00583E05">
        <w:t xml:space="preserve"> (</w:t>
      </w:r>
      <w:r w:rsidR="00583E05">
        <w:fldChar w:fldCharType="begin"/>
      </w:r>
      <w:r w:rsidR="00583E05">
        <w:instrText xml:space="preserve"> REF _Ref474426613 \h </w:instrText>
      </w:r>
      <w:r w:rsidR="00583E05">
        <w:fldChar w:fldCharType="separate"/>
      </w:r>
      <w:r w:rsidR="002F3BBF">
        <w:t xml:space="preserve">Abbildung </w:t>
      </w:r>
      <w:r w:rsidR="002F3BBF">
        <w:rPr>
          <w:noProof/>
        </w:rPr>
        <w:t>3</w:t>
      </w:r>
      <w:r w:rsidR="00583E05">
        <w:fldChar w:fldCharType="end"/>
      </w:r>
      <w:r w:rsidR="00583E05">
        <w:t>)</w:t>
      </w:r>
      <w:r>
        <w:t>.</w:t>
      </w:r>
      <w:r w:rsidR="00583E05">
        <w:t xml:space="preserve"> </w:t>
      </w:r>
    </w:p>
    <w:p w:rsidR="00120774" w:rsidRDefault="00583E05" w:rsidP="00120774">
      <w:pPr>
        <w:pStyle w:val="gemStandard"/>
      </w:pPr>
      <w:r>
        <w:t>Bei</w:t>
      </w:r>
      <w:r w:rsidR="0095502B">
        <w:t xml:space="preserve"> den</w:t>
      </w:r>
      <w:r>
        <w:t xml:space="preserve"> </w:t>
      </w:r>
      <w:r w:rsidR="00B71431">
        <w:t xml:space="preserve">Fachdiensten VSDM und </w:t>
      </w:r>
      <w:r>
        <w:t xml:space="preserve">weiteren Anwendungen wird unterschieden, ob </w:t>
      </w:r>
      <w:r w:rsidR="005A0A18">
        <w:t xml:space="preserve">der Verlust </w:t>
      </w:r>
      <w:r w:rsidR="00BD0A09">
        <w:t xml:space="preserve">der Sicherheit </w:t>
      </w:r>
      <w:r w:rsidR="005A0A18">
        <w:t xml:space="preserve">des Dienstes die Sicherheit oder den Datenschutz der TI beeinträchtigen </w:t>
      </w:r>
      <w:r w:rsidR="00AD6664">
        <w:t>könnte</w:t>
      </w:r>
      <w:r w:rsidR="005A0A18">
        <w:t xml:space="preserve"> oder ob dies technisch ausgeschlossen ist. </w:t>
      </w:r>
      <w:r w:rsidR="00120774">
        <w:t xml:space="preserve">Dies ist abhängig vom </w:t>
      </w:r>
      <w:r w:rsidR="00A7661D">
        <w:t xml:space="preserve">technischen </w:t>
      </w:r>
      <w:r w:rsidR="00120774">
        <w:t xml:space="preserve">Anschlusstyp des </w:t>
      </w:r>
      <w:r w:rsidR="00A7661D">
        <w:t xml:space="preserve">Dienstes </w:t>
      </w:r>
      <w:r w:rsidR="00120774">
        <w:t xml:space="preserve">an die TI. </w:t>
      </w:r>
    </w:p>
    <w:p w:rsidR="00C226E1" w:rsidRDefault="00120774" w:rsidP="00120774">
      <w:pPr>
        <w:pStyle w:val="gemStandard"/>
      </w:pPr>
      <w:r>
        <w:t>Die aktuell verfügbaren Anschlusstypen sind der Sichere Zentrale Zugangspunkt (SZZP) und das Sicherheitsgateway Bestandsnetze</w:t>
      </w:r>
      <w:r w:rsidR="00C45645">
        <w:t xml:space="preserve"> (SG-BNet)</w:t>
      </w:r>
      <w:r>
        <w:t>. Beim Sicherheitsgateway Bestandsnetze kann eine Beeinträchtigung der TI technisch ausgeschlossen werden, da darüber keine Dienste der TI erreichbar sind. Bei</w:t>
      </w:r>
      <w:r w:rsidR="00C226E1">
        <w:t>m Verlust der Sicherheit eines über einen SZZP an die TI angeschlossenen Dienstes</w:t>
      </w:r>
      <w:r>
        <w:t xml:space="preserve"> </w:t>
      </w:r>
      <w:r w:rsidR="00B83D80">
        <w:t xml:space="preserve">hingegen </w:t>
      </w:r>
      <w:r w:rsidR="00C226E1">
        <w:t>ist</w:t>
      </w:r>
      <w:r>
        <w:t xml:space="preserve"> eine Beeinträchtigung der TI technisch </w:t>
      </w:r>
      <w:r w:rsidR="00B83D80">
        <w:t xml:space="preserve">nicht </w:t>
      </w:r>
      <w:r>
        <w:t xml:space="preserve">ausgeschlossen.  </w:t>
      </w:r>
    </w:p>
    <w:p w:rsidR="00A7661D" w:rsidRDefault="00A7661D" w:rsidP="00A7661D">
      <w:pPr>
        <w:pStyle w:val="gemStandard"/>
      </w:pPr>
      <w:r>
        <w:lastRenderedPageBreak/>
        <w:t>Derzeit werden die Fachdienste VSDM mittels SZZP an die TI angeschlossen. Daher werden den Fachdiensten VSDM die Module der Zeile „B</w:t>
      </w:r>
      <w:r w:rsidR="006A562C">
        <w:t>e</w:t>
      </w:r>
      <w:r>
        <w:t>einträchtigt TI“ zugeordnet. Die Zuordnung der Module zu den Fachdiensten VSDM berücksichtigt die Anwendbarkeit des § 274 Abs. 1 SGB V (vgl. Anhang C).</w:t>
      </w:r>
    </w:p>
    <w:p w:rsidR="00120774" w:rsidRDefault="00C226E1" w:rsidP="00120774">
      <w:pPr>
        <w:pStyle w:val="gemStandard"/>
      </w:pPr>
      <w:r>
        <w:t>Die gematik prüft</w:t>
      </w:r>
      <w:r w:rsidR="00B60D37">
        <w:t xml:space="preserve">, ob </w:t>
      </w:r>
      <w:r>
        <w:t xml:space="preserve">ein technischer Anschlusstyp zur Verfügung gestellt werden kann, </w:t>
      </w:r>
      <w:r w:rsidR="00BD0A09">
        <w:t xml:space="preserve">über den </w:t>
      </w:r>
      <w:r w:rsidR="00A7661D">
        <w:t xml:space="preserve">ein Zugriff </w:t>
      </w:r>
      <w:r w:rsidR="00BD0A09">
        <w:t xml:space="preserve">auf Dienste der TI </w:t>
      </w:r>
      <w:r w:rsidR="00A7661D">
        <w:t>ermöglicht wird</w:t>
      </w:r>
      <w:r w:rsidR="00BD0A09">
        <w:t xml:space="preserve"> und der gleichzeitig die TI</w:t>
      </w:r>
      <w:r w:rsidR="00A7661D">
        <w:t xml:space="preserve"> vor Angriffen schützt</w:t>
      </w:r>
      <w:r w:rsidR="00D067FB">
        <w:t xml:space="preserve">, um </w:t>
      </w:r>
      <w:r w:rsidR="00A7661D">
        <w:t xml:space="preserve">so Sicherheitsanforderungen auf Seiten des </w:t>
      </w:r>
      <w:r w:rsidR="00BD0A09">
        <w:t>Anbieter</w:t>
      </w:r>
      <w:r w:rsidR="00A7661D">
        <w:t xml:space="preserve">s derart entbehrlich </w:t>
      </w:r>
      <w:r w:rsidR="00D067FB">
        <w:t xml:space="preserve">zu </w:t>
      </w:r>
      <w:r w:rsidR="00A7661D">
        <w:t>mach</w:t>
      </w:r>
      <w:r w:rsidR="00D067FB">
        <w:t>en</w:t>
      </w:r>
      <w:r w:rsidR="00A7661D">
        <w:t xml:space="preserve">, dass </w:t>
      </w:r>
      <w:r w:rsidR="00D067FB">
        <w:t>bestimmte</w:t>
      </w:r>
      <w:r w:rsidR="00BD0A09">
        <w:t xml:space="preserve"> Module zur Sicherheit </w:t>
      </w:r>
      <w:r w:rsidR="00A7661D">
        <w:t>für den Anbieter entfallen</w:t>
      </w:r>
      <w:r w:rsidR="00B60D37">
        <w:t>.</w:t>
      </w:r>
      <w:r>
        <w:t xml:space="preserve"> </w:t>
      </w:r>
      <w:r w:rsidR="00001618">
        <w:t xml:space="preserve">In den Abbildungen </w:t>
      </w:r>
      <w:r w:rsidR="00051840">
        <w:t>ist</w:t>
      </w:r>
      <w:r w:rsidR="00001618">
        <w:t xml:space="preserve"> dieser </w:t>
      </w:r>
      <w:r w:rsidR="00D067FB">
        <w:t xml:space="preserve">intendierte </w:t>
      </w:r>
      <w:r w:rsidR="00001618">
        <w:t xml:space="preserve">technische Anschlusstyp </w:t>
      </w:r>
      <w:r w:rsidR="00A7661D">
        <w:t xml:space="preserve">als „Dienstegateway“ aufgenommen, </w:t>
      </w:r>
      <w:r w:rsidR="00D067FB">
        <w:t xml:space="preserve">um das Ziel </w:t>
      </w:r>
      <w:r w:rsidR="00A7661D">
        <w:t xml:space="preserve">zu verdeutlichen, </w:t>
      </w:r>
      <w:r w:rsidR="00001618">
        <w:t>welc</w:t>
      </w:r>
      <w:r w:rsidR="00A7661D">
        <w:t>h</w:t>
      </w:r>
      <w:r w:rsidR="00001618">
        <w:t xml:space="preserve">e Module </w:t>
      </w:r>
      <w:r w:rsidR="00051840">
        <w:t xml:space="preserve">mit dem Dienstegateway </w:t>
      </w:r>
      <w:r w:rsidR="00001618">
        <w:t xml:space="preserve">im Gegensatz zum </w:t>
      </w:r>
      <w:r w:rsidR="00A7661D">
        <w:t xml:space="preserve">Anschluss mittels </w:t>
      </w:r>
      <w:r w:rsidR="00001618">
        <w:t>SZZP entfallen</w:t>
      </w:r>
      <w:r w:rsidR="00D067FB">
        <w:t xml:space="preserve"> sollen</w:t>
      </w:r>
      <w:r w:rsidR="00001618">
        <w:t xml:space="preserve">.  </w:t>
      </w:r>
      <w:r w:rsidR="00120774">
        <w:t xml:space="preserve"> </w:t>
      </w:r>
    </w:p>
    <w:p w:rsidR="00D52C8A" w:rsidRDefault="00583E05" w:rsidP="00B83D80">
      <w:pPr>
        <w:pStyle w:val="gemStandard"/>
        <w:keepNext/>
      </w:pPr>
      <w:r>
        <w:t>Der Verlust der Sicherheit eines Dienstes der TI beeinträchtigt die TI</w:t>
      </w:r>
      <w:r w:rsidRPr="00C66533">
        <w:t xml:space="preserve"> </w:t>
      </w:r>
      <w:r>
        <w:t xml:space="preserve">per Definition (daher </w:t>
      </w:r>
      <w:r w:rsidR="000278CC">
        <w:t xml:space="preserve">„nicht anwendbar“ </w:t>
      </w:r>
      <w:r>
        <w:t>in der Abbildung für Dienste der TI</w:t>
      </w:r>
      <w:r w:rsidR="00DB22C0">
        <w:t>-Plattform, der § 291a-eGK-Anwendungen und der sicheren Übermittlungsverfahren</w:t>
      </w:r>
      <w:r>
        <w:t>).</w:t>
      </w:r>
      <w:r w:rsidR="00D52C8A">
        <w:t xml:space="preserve"> </w:t>
      </w:r>
    </w:p>
    <w:p w:rsidR="00ED1B48" w:rsidRDefault="00ED1B48" w:rsidP="00B83D80">
      <w:pPr>
        <w:pStyle w:val="gemStandard"/>
        <w:keepNext/>
      </w:pPr>
      <w:r w:rsidRPr="00ED1B48">
        <w:rPr>
          <w:highlight w:val="yellow"/>
        </w:rPr>
        <w:t xml:space="preserve">Die Produkttypen der TI-Plattform sind in [gemKPT_Arch_TIP] </w:t>
      </w:r>
      <w:commentRangeStart w:id="66"/>
      <w:r w:rsidRPr="00ED1B48">
        <w:rPr>
          <w:highlight w:val="yellow"/>
        </w:rPr>
        <w:t>festgelegt</w:t>
      </w:r>
      <w:commentRangeEnd w:id="66"/>
      <w:r>
        <w:rPr>
          <w:rStyle w:val="Kommentarzeichen"/>
        </w:rPr>
        <w:commentReference w:id="66"/>
      </w:r>
      <w:r w:rsidRPr="00ED1B48">
        <w:rPr>
          <w:highlight w:val="yellow"/>
        </w:rPr>
        <w:t>.</w:t>
      </w:r>
    </w:p>
    <w:p w:rsidR="00EE71C1" w:rsidRDefault="00036683" w:rsidP="00036683">
      <w:pPr>
        <w:pStyle w:val="gemStandard"/>
        <w:keepNext/>
      </w:pPr>
      <w:r>
        <w:rPr>
          <w:noProof/>
        </w:rPr>
        <w:drawing>
          <wp:inline distT="0" distB="0" distL="0" distR="0" wp14:anchorId="63ADA350" wp14:editId="175F1300">
            <wp:extent cx="5593176" cy="2985654"/>
            <wp:effectExtent l="0" t="0" r="762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8630" cy="2988565"/>
                    </a:xfrm>
                    <a:prstGeom prst="rect">
                      <a:avLst/>
                    </a:prstGeom>
                    <a:noFill/>
                  </pic:spPr>
                </pic:pic>
              </a:graphicData>
            </a:graphic>
          </wp:inline>
        </w:drawing>
      </w:r>
    </w:p>
    <w:p w:rsidR="00301D81" w:rsidRDefault="00EE71C1" w:rsidP="0071250F">
      <w:pPr>
        <w:pStyle w:val="Beschriftung"/>
        <w:jc w:val="center"/>
      </w:pPr>
      <w:bookmarkStart w:id="67" w:name="_Ref474426613"/>
      <w:bookmarkStart w:id="68" w:name="_Toc496518433"/>
      <w:r w:rsidRPr="00036683">
        <w:rPr>
          <w:highlight w:val="yellow"/>
        </w:rPr>
        <w:t xml:space="preserve">Abbildung </w:t>
      </w:r>
      <w:commentRangeStart w:id="69"/>
      <w:r w:rsidR="00BE4606" w:rsidRPr="00036683">
        <w:rPr>
          <w:highlight w:val="yellow"/>
        </w:rPr>
        <w:fldChar w:fldCharType="begin"/>
      </w:r>
      <w:r w:rsidR="00BE4606" w:rsidRPr="00036683">
        <w:rPr>
          <w:highlight w:val="yellow"/>
        </w:rPr>
        <w:instrText xml:space="preserve"> SEQ Abbildung \* ARABIC </w:instrText>
      </w:r>
      <w:r w:rsidR="00BE4606" w:rsidRPr="00036683">
        <w:rPr>
          <w:highlight w:val="yellow"/>
        </w:rPr>
        <w:fldChar w:fldCharType="separate"/>
      </w:r>
      <w:r w:rsidR="002F3BBF" w:rsidRPr="00036683">
        <w:rPr>
          <w:noProof/>
          <w:highlight w:val="yellow"/>
        </w:rPr>
        <w:t>3</w:t>
      </w:r>
      <w:r w:rsidR="00BE4606" w:rsidRPr="00036683">
        <w:rPr>
          <w:noProof/>
          <w:highlight w:val="yellow"/>
        </w:rPr>
        <w:fldChar w:fldCharType="end"/>
      </w:r>
      <w:bookmarkEnd w:id="67"/>
      <w:commentRangeEnd w:id="69"/>
      <w:r w:rsidR="00036683">
        <w:rPr>
          <w:rStyle w:val="Kommentarzeichen"/>
          <w:b w:val="0"/>
          <w:bCs w:val="0"/>
        </w:rPr>
        <w:commentReference w:id="69"/>
      </w:r>
      <w:r>
        <w:t xml:space="preserve"> </w:t>
      </w:r>
      <w:r w:rsidR="00556D48">
        <w:t>–</w:t>
      </w:r>
      <w:r>
        <w:t xml:space="preserve"> Zuordnung der Module der Informationssicherheit</w:t>
      </w:r>
      <w:bookmarkEnd w:id="68"/>
    </w:p>
    <w:p w:rsidR="004B3463" w:rsidRDefault="004B3463" w:rsidP="0071250F">
      <w:pPr>
        <w:pStyle w:val="berschrift2"/>
      </w:pPr>
      <w:bookmarkStart w:id="70" w:name="_Toc503165497"/>
      <w:r>
        <w:t>Zuordnung der Module zum Datenschutz</w:t>
      </w:r>
      <w:bookmarkEnd w:id="70"/>
    </w:p>
    <w:p w:rsidR="005A0A18" w:rsidRDefault="005A0A18" w:rsidP="00C06430">
      <w:pPr>
        <w:pStyle w:val="gemStandard"/>
      </w:pPr>
      <w:r>
        <w:fldChar w:fldCharType="begin"/>
      </w:r>
      <w:r>
        <w:instrText xml:space="preserve"> REF _Ref474427745 \h </w:instrText>
      </w:r>
      <w:r>
        <w:fldChar w:fldCharType="separate"/>
      </w:r>
      <w:r w:rsidR="002F3BBF">
        <w:t xml:space="preserve">Abbildung </w:t>
      </w:r>
      <w:r w:rsidR="002F3BBF">
        <w:rPr>
          <w:noProof/>
        </w:rPr>
        <w:t>4</w:t>
      </w:r>
      <w:r>
        <w:fldChar w:fldCharType="end"/>
      </w:r>
      <w:r>
        <w:t xml:space="preserve"> z</w:t>
      </w:r>
      <w:r w:rsidR="00AD6664">
        <w:t>eigt die Zuordnung der anbieter</w:t>
      </w:r>
      <w:r>
        <w:t>übergreifenden Module zum Datenschutz.</w:t>
      </w:r>
    </w:p>
    <w:p w:rsidR="00C06430" w:rsidRDefault="00873C68" w:rsidP="00C06430">
      <w:pPr>
        <w:pStyle w:val="gemStandard"/>
      </w:pPr>
      <w:r>
        <w:t xml:space="preserve">Anbietern werden Module zum Datenschutz nur zugeordnet, falls personenbezogene Daten </w:t>
      </w:r>
      <w:r w:rsidR="005A0A18">
        <w:t xml:space="preserve">in ihren Diensten </w:t>
      </w:r>
      <w:r>
        <w:t>verarbeitet werden.</w:t>
      </w:r>
      <w:r w:rsidR="00556D48">
        <w:t xml:space="preserve"> </w:t>
      </w:r>
    </w:p>
    <w:p w:rsidR="00BE1FA9" w:rsidRDefault="00BE1FA9" w:rsidP="00C06430">
      <w:pPr>
        <w:pStyle w:val="gemStandard"/>
      </w:pPr>
      <w:r w:rsidRPr="00BE1FA9">
        <w:rPr>
          <w:highlight w:val="yellow"/>
        </w:rPr>
        <w:t>Die Anforderungen der gematik zum Datenschutz konkretisieren die bestehenden Vorschriften zum Datenschutz um TI-spezifische Vorgaben, die aus Sicht der gematik  notwendig sind, ihren gesetzlichen A</w:t>
      </w:r>
      <w:r w:rsidR="004B5D26">
        <w:rPr>
          <w:highlight w:val="yellow"/>
        </w:rPr>
        <w:t>uftrag nach § 291b Abs. 1 SGB V</w:t>
      </w:r>
      <w:r w:rsidRPr="00BE1FA9">
        <w:rPr>
          <w:highlight w:val="yellow"/>
        </w:rPr>
        <w:t xml:space="preserve"> zu erfüllen. Die Anforderungen der gematik ersetzen die bestehenden Vorschriften zum Datenschutz nicht. Diese sind weiterhin von den Anbietern in ihrer eigenen Verantwortung </w:t>
      </w:r>
      <w:commentRangeStart w:id="71"/>
      <w:r w:rsidRPr="00BE1FA9">
        <w:rPr>
          <w:highlight w:val="yellow"/>
        </w:rPr>
        <w:t>einzuhalten</w:t>
      </w:r>
      <w:commentRangeEnd w:id="71"/>
      <w:r>
        <w:rPr>
          <w:rStyle w:val="Kommentarzeichen"/>
        </w:rPr>
        <w:commentReference w:id="71"/>
      </w:r>
      <w:r w:rsidRPr="00BE1FA9">
        <w:rPr>
          <w:highlight w:val="yellow"/>
        </w:rPr>
        <w:t>.</w:t>
      </w:r>
    </w:p>
    <w:p w:rsidR="00AB1421" w:rsidRDefault="0095785B" w:rsidP="00CD713E">
      <w:pPr>
        <w:pStyle w:val="gemStandard"/>
        <w:jc w:val="center"/>
      </w:pPr>
      <w:r>
        <w:rPr>
          <w:noProof/>
        </w:rPr>
        <w:lastRenderedPageBreak/>
        <w:drawing>
          <wp:inline distT="0" distB="0" distL="0" distR="0" wp14:anchorId="35689FCC" wp14:editId="09C722D0">
            <wp:extent cx="5556256" cy="3179619"/>
            <wp:effectExtent l="0" t="0" r="6350" b="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0183" cy="3181866"/>
                    </a:xfrm>
                    <a:prstGeom prst="rect">
                      <a:avLst/>
                    </a:prstGeom>
                    <a:noFill/>
                  </pic:spPr>
                </pic:pic>
              </a:graphicData>
            </a:graphic>
          </wp:inline>
        </w:drawing>
      </w:r>
    </w:p>
    <w:p w:rsidR="005B2DC4" w:rsidRDefault="00AB1421" w:rsidP="0071250F">
      <w:pPr>
        <w:pStyle w:val="Beschriftung"/>
        <w:jc w:val="center"/>
      </w:pPr>
      <w:bookmarkStart w:id="72" w:name="_Ref474427745"/>
      <w:bookmarkStart w:id="73" w:name="_Toc496518434"/>
      <w:r w:rsidRPr="00ED6006">
        <w:rPr>
          <w:highlight w:val="yellow"/>
        </w:rPr>
        <w:t>Abbildung</w:t>
      </w:r>
      <w:r>
        <w:t xml:space="preserve"> </w:t>
      </w:r>
      <w:commentRangeStart w:id="74"/>
      <w:r w:rsidR="00BE4606">
        <w:fldChar w:fldCharType="begin"/>
      </w:r>
      <w:r w:rsidR="00BE4606">
        <w:instrText xml:space="preserve"> SEQ Abbildung \* ARABIC </w:instrText>
      </w:r>
      <w:r w:rsidR="00BE4606">
        <w:fldChar w:fldCharType="separate"/>
      </w:r>
      <w:r w:rsidR="002F3BBF">
        <w:rPr>
          <w:noProof/>
        </w:rPr>
        <w:t>4</w:t>
      </w:r>
      <w:r w:rsidR="00BE4606">
        <w:rPr>
          <w:noProof/>
        </w:rPr>
        <w:fldChar w:fldCharType="end"/>
      </w:r>
      <w:bookmarkEnd w:id="72"/>
      <w:commentRangeEnd w:id="74"/>
      <w:r w:rsidR="00ED6006">
        <w:rPr>
          <w:rStyle w:val="Kommentarzeichen"/>
          <w:b w:val="0"/>
          <w:bCs w:val="0"/>
        </w:rPr>
        <w:commentReference w:id="74"/>
      </w:r>
      <w:r>
        <w:t xml:space="preserve"> </w:t>
      </w:r>
      <w:r w:rsidR="00556D48">
        <w:t>–</w:t>
      </w:r>
      <w:r>
        <w:t xml:space="preserve"> Zuordnung der Module zum Datenschutz</w:t>
      </w:r>
      <w:bookmarkEnd w:id="73"/>
    </w:p>
    <w:p w:rsidR="00C403FC" w:rsidRDefault="00C403FC" w:rsidP="0071250F">
      <w:pPr>
        <w:pStyle w:val="berschrift2"/>
      </w:pPr>
      <w:bookmarkStart w:id="75" w:name="_Ref485313732"/>
      <w:bookmarkStart w:id="76" w:name="_Toc503165498"/>
      <w:r>
        <w:t xml:space="preserve">Regelungen im </w:t>
      </w:r>
      <w:r w:rsidR="005613E3">
        <w:t>Anbietervert</w:t>
      </w:r>
      <w:r>
        <w:t>rag</w:t>
      </w:r>
      <w:bookmarkEnd w:id="75"/>
      <w:r w:rsidR="001A5AC8">
        <w:t xml:space="preserve"> und Steckbriefen</w:t>
      </w:r>
      <w:bookmarkEnd w:id="76"/>
    </w:p>
    <w:p w:rsidR="00C66533" w:rsidRDefault="00C66533" w:rsidP="00C403FC">
      <w:pPr>
        <w:pStyle w:val="gemStandard"/>
      </w:pPr>
      <w:r>
        <w:t xml:space="preserve">Neben den Anforderungen </w:t>
      </w:r>
      <w:r w:rsidR="001A5AC8">
        <w:t xml:space="preserve">des Datenschutzes und der Informationssicherheit </w:t>
      </w:r>
      <w:r>
        <w:t xml:space="preserve">dieses Dokumentes </w:t>
      </w:r>
      <w:r w:rsidR="005613E3">
        <w:t xml:space="preserve">können sich für </w:t>
      </w:r>
      <w:r w:rsidR="008F47C9">
        <w:t>Anbiete</w:t>
      </w:r>
      <w:r w:rsidR="005613E3">
        <w:t>r</w:t>
      </w:r>
      <w:r>
        <w:t xml:space="preserve"> weitere </w:t>
      </w:r>
      <w:r w:rsidR="00AD6664">
        <w:t xml:space="preserve">vertragliche </w:t>
      </w:r>
      <w:r w:rsidR="008F47C9">
        <w:t>Pflichten bzgl.</w:t>
      </w:r>
      <w:r>
        <w:t xml:space="preserve"> Datenschutz und Informationssicherheit</w:t>
      </w:r>
      <w:r w:rsidR="008F47C9">
        <w:t xml:space="preserve"> ergeben. </w:t>
      </w:r>
    </w:p>
    <w:p w:rsidR="00C403FC" w:rsidRDefault="00C403FC" w:rsidP="00C403FC">
      <w:pPr>
        <w:pStyle w:val="gemStandard"/>
      </w:pPr>
      <w:r>
        <w:t>Hierzu gehören</w:t>
      </w:r>
      <w:r w:rsidR="008F47C9">
        <w:t xml:space="preserve"> insbesondere</w:t>
      </w:r>
    </w:p>
    <w:p w:rsidR="00C403FC" w:rsidRDefault="00C403FC" w:rsidP="005B2DC4">
      <w:pPr>
        <w:pStyle w:val="gemStandard"/>
        <w:numPr>
          <w:ilvl w:val="0"/>
          <w:numId w:val="13"/>
        </w:numPr>
      </w:pPr>
      <w:r>
        <w:t>Festlegungen, ob bei Zuordnung des Moduls „Erw</w:t>
      </w:r>
      <w:r w:rsidR="007C6C9D">
        <w:t>ei</w:t>
      </w:r>
      <w:r>
        <w:t xml:space="preserve">tertes ISMS“ </w:t>
      </w:r>
      <w:r w:rsidR="001036B1">
        <w:t xml:space="preserve">zusätzlich </w:t>
      </w:r>
      <w:r w:rsidR="00443013">
        <w:t>eine ISO27001-Zertifi</w:t>
      </w:r>
      <w:r w:rsidR="00F20646">
        <w:t>zierung gefordert wird und</w:t>
      </w:r>
    </w:p>
    <w:p w:rsidR="00857E45" w:rsidRDefault="008F47C9" w:rsidP="00F20646">
      <w:pPr>
        <w:pStyle w:val="gemStandard"/>
        <w:numPr>
          <w:ilvl w:val="0"/>
          <w:numId w:val="13"/>
        </w:numPr>
      </w:pPr>
      <w:r>
        <w:t>Festlegungen zu durch die gematik veranlasste</w:t>
      </w:r>
      <w:r w:rsidR="00C71FE9">
        <w:t>n</w:t>
      </w:r>
      <w:r>
        <w:t xml:space="preserve"> </w:t>
      </w:r>
      <w:r w:rsidR="00F20646">
        <w:t>Audits</w:t>
      </w:r>
      <w:r w:rsidR="00321E5C">
        <w:t>.</w:t>
      </w:r>
    </w:p>
    <w:p w:rsidR="00C403FC" w:rsidRPr="00C403FC" w:rsidRDefault="005613E3" w:rsidP="005613E3">
      <w:pPr>
        <w:pStyle w:val="gemStandard"/>
      </w:pPr>
      <w:r>
        <w:t xml:space="preserve">Die </w:t>
      </w:r>
      <w:r w:rsidR="008F47C9">
        <w:t>Art des</w:t>
      </w:r>
      <w:r w:rsidR="007C6C9D">
        <w:t xml:space="preserve"> Nachweis</w:t>
      </w:r>
      <w:r w:rsidR="003E1616">
        <w:t>es</w:t>
      </w:r>
      <w:r w:rsidR="007C6C9D">
        <w:t xml:space="preserve"> der Anforderungen (Sicherheitsgutachten, Anbietererklärungen)</w:t>
      </w:r>
      <w:r>
        <w:t xml:space="preserve"> ergibt sich aus dem </w:t>
      </w:r>
      <w:r w:rsidR="00DC41B4">
        <w:t>S</w:t>
      </w:r>
      <w:r>
        <w:t>teckbrief des Dienstes bzw. der weiteren Anwendung</w:t>
      </w:r>
      <w:r w:rsidR="007C6C9D">
        <w:t>.</w:t>
      </w:r>
    </w:p>
    <w:p w:rsidR="0071250F" w:rsidRDefault="0071250F" w:rsidP="0071250F">
      <w:pPr>
        <w:pStyle w:val="berschrift1"/>
        <w:sectPr w:rsidR="0071250F" w:rsidSect="007B74C1">
          <w:pgSz w:w="11906" w:h="16838" w:code="9"/>
          <w:pgMar w:top="1916" w:right="1418" w:bottom="1134" w:left="1701" w:header="539" w:footer="437" w:gutter="0"/>
          <w:cols w:space="708"/>
          <w:docGrid w:linePitch="360"/>
        </w:sectPr>
      </w:pPr>
      <w:bookmarkStart w:id="77" w:name="_Ref463977071"/>
    </w:p>
    <w:p w:rsidR="00E21116" w:rsidRDefault="00E21116" w:rsidP="0071250F">
      <w:pPr>
        <w:pStyle w:val="berschrift1"/>
      </w:pPr>
      <w:bookmarkStart w:id="78" w:name="_Toc503165499"/>
      <w:r>
        <w:lastRenderedPageBreak/>
        <w:t xml:space="preserve">Module der </w:t>
      </w:r>
      <w:commentRangeStart w:id="79"/>
      <w:r>
        <w:t>Informationssicherheit</w:t>
      </w:r>
      <w:bookmarkEnd w:id="77"/>
      <w:commentRangeEnd w:id="79"/>
      <w:r w:rsidR="000710C4">
        <w:rPr>
          <w:rStyle w:val="Kommentarzeichen"/>
          <w:b w:val="0"/>
        </w:rPr>
        <w:commentReference w:id="79"/>
      </w:r>
      <w:bookmarkEnd w:id="78"/>
    </w:p>
    <w:p w:rsidR="00372289" w:rsidRDefault="00376065" w:rsidP="00372289">
      <w:pPr>
        <w:pStyle w:val="gemStandard"/>
      </w:pPr>
      <w:r>
        <w:t xml:space="preserve">Dieses Kapitel beschreibt die </w:t>
      </w:r>
      <w:r w:rsidR="00CF2876">
        <w:t xml:space="preserve">Anforderungen der </w:t>
      </w:r>
      <w:r>
        <w:t xml:space="preserve">Module </w:t>
      </w:r>
      <w:r w:rsidR="00CF2876">
        <w:t>zur</w:t>
      </w:r>
      <w:r>
        <w:t xml:space="preserve"> Informationssic</w:t>
      </w:r>
      <w:r w:rsidR="00CF2876">
        <w:t>herheit.</w:t>
      </w:r>
    </w:p>
    <w:p w:rsidR="004812BF" w:rsidRDefault="004812BF" w:rsidP="0071250F">
      <w:pPr>
        <w:pStyle w:val="berschrift2"/>
      </w:pPr>
      <w:bookmarkStart w:id="80" w:name="_Ref476238777"/>
      <w:bookmarkStart w:id="81" w:name="_Toc503165500"/>
      <w:r>
        <w:t xml:space="preserve">Modul </w:t>
      </w:r>
      <w:r w:rsidR="00C403FC">
        <w:t>„</w:t>
      </w:r>
      <w:r>
        <w:t>Basis-IS</w:t>
      </w:r>
      <w:r w:rsidR="00C403FC">
        <w:t>“</w:t>
      </w:r>
      <w:bookmarkEnd w:id="80"/>
      <w:bookmarkEnd w:id="81"/>
    </w:p>
    <w:p w:rsidR="00C2239C" w:rsidRDefault="00C2239C" w:rsidP="00C2239C">
      <w:pPr>
        <w:pStyle w:val="gemStandard"/>
      </w:pPr>
      <w:r>
        <w:t xml:space="preserve">Die Anforderungen </w:t>
      </w:r>
      <w:r w:rsidR="0075066F">
        <w:t xml:space="preserve">dieses Moduls </w:t>
      </w:r>
      <w:r w:rsidR="00516D53">
        <w:t>fordern ein grundlegendes Informationssicherheitsmanagement</w:t>
      </w:r>
      <w:r w:rsidR="00FF1B4C">
        <w:t>. Vorgaben</w:t>
      </w:r>
      <w:r w:rsidR="003E2A54">
        <w:t xml:space="preserve"> zu de</w:t>
      </w:r>
      <w:r w:rsidR="00095B8B">
        <w:t>ss</w:t>
      </w:r>
      <w:r w:rsidR="003E2A54">
        <w:t>en</w:t>
      </w:r>
      <w:r w:rsidR="00FF1B4C">
        <w:t xml:space="preserve"> konkreter</w:t>
      </w:r>
      <w:r w:rsidR="003E2A54">
        <w:t xml:space="preserve"> Ausgestaltung</w:t>
      </w:r>
      <w:r w:rsidR="00FF1B4C">
        <w:t xml:space="preserve"> erfolgen jedoch nicht</w:t>
      </w:r>
      <w:r w:rsidR="00516D53">
        <w:t>.</w:t>
      </w:r>
    </w:p>
    <w:p w:rsidR="005E1DD4" w:rsidRPr="00A74755" w:rsidRDefault="005E1DD4" w:rsidP="005E1DD4">
      <w:pPr>
        <w:pStyle w:val="gemEinzug"/>
        <w:ind w:left="0"/>
        <w:rPr>
          <w:rStyle w:val="gemStandardfettZchn"/>
        </w:rPr>
      </w:pPr>
      <w:r w:rsidRPr="00A74755">
        <w:rPr>
          <w:b/>
        </w:rPr>
        <w:sym w:font="Wingdings" w:char="F0D6"/>
      </w:r>
      <w:r w:rsidRPr="00A74755">
        <w:rPr>
          <w:b/>
        </w:rPr>
        <w:tab/>
      </w:r>
      <w:r w:rsidR="00B67F6B" w:rsidRPr="00B67F6B">
        <w:rPr>
          <w:b/>
          <w:highlight w:val="yellow"/>
        </w:rPr>
        <w:t>GS-A_5551</w:t>
      </w:r>
      <w:r w:rsidR="00B67F6B">
        <w:rPr>
          <w:b/>
        </w:rPr>
        <w:t xml:space="preserve"> </w:t>
      </w:r>
      <w:r w:rsidRPr="0073547F">
        <w:rPr>
          <w:rStyle w:val="gemStandardfettZchn"/>
        </w:rPr>
        <w:t xml:space="preserve">Betriebsumgebung in </w:t>
      </w:r>
      <w:r>
        <w:rPr>
          <w:rStyle w:val="gemStandardfettZchn"/>
        </w:rPr>
        <w:t>einem Mitgliedstaat der EU bzw. des EWR</w:t>
      </w:r>
    </w:p>
    <w:p w:rsidR="0071250F" w:rsidRDefault="005E1DD4" w:rsidP="0025634E">
      <w:pPr>
        <w:pStyle w:val="gemEinzug"/>
        <w:kinsoku w:val="0"/>
        <w:ind w:left="709"/>
        <w:rPr>
          <w:b/>
        </w:rPr>
      </w:pPr>
      <w:r w:rsidRPr="0073547F">
        <w:rPr>
          <w:lang w:eastAsia="ja-JP"/>
        </w:rPr>
        <w:t>Der Anbieter MUSS sicherstellen, dass sich die Betri</w:t>
      </w:r>
      <w:r w:rsidR="00B47653">
        <w:rPr>
          <w:lang w:eastAsia="ja-JP"/>
        </w:rPr>
        <w:t>ebsumgebung/</w:t>
      </w:r>
      <w:r>
        <w:rPr>
          <w:lang w:eastAsia="ja-JP"/>
        </w:rPr>
        <w:t xml:space="preserve">en der mittels der TI </w:t>
      </w:r>
      <w:r w:rsidRPr="0025634E">
        <w:rPr>
          <w:rFonts w:cs="Arial"/>
          <w:lang w:eastAsia="ja-JP"/>
        </w:rPr>
        <w:t>erreichbaren</w:t>
      </w:r>
      <w:r>
        <w:rPr>
          <w:lang w:eastAsia="ja-JP"/>
        </w:rPr>
        <w:t xml:space="preserve"> Dienste </w:t>
      </w:r>
      <w:r w:rsidRPr="0073547F">
        <w:rPr>
          <w:lang w:eastAsia="ja-JP"/>
        </w:rPr>
        <w:t xml:space="preserve">auf dem Gebiet </w:t>
      </w:r>
      <w:r>
        <w:rPr>
          <w:lang w:eastAsia="ja-JP"/>
        </w:rPr>
        <w:t>eines Mitgliedstaates der EU bzw. des EWR</w:t>
      </w:r>
      <w:r w:rsidRPr="0073547F">
        <w:rPr>
          <w:lang w:eastAsia="ja-JP"/>
        </w:rPr>
        <w:t xml:space="preserve"> befindet</w:t>
      </w:r>
      <w:r w:rsidR="00B47653">
        <w:rPr>
          <w:lang w:eastAsia="ja-JP"/>
        </w:rPr>
        <w:t>/</w:t>
      </w:r>
      <w:r w:rsidRPr="0073547F">
        <w:rPr>
          <w:lang w:eastAsia="ja-JP"/>
        </w:rPr>
        <w:t>befinden</w:t>
      </w:r>
      <w:r w:rsidRPr="00A74755">
        <w:rPr>
          <w:rFonts w:hint="eastAsia"/>
          <w:lang w:eastAsia="ja-JP"/>
        </w:rPr>
        <w:t>.</w:t>
      </w:r>
      <w:r w:rsidRPr="00A74755">
        <w:rPr>
          <w:b/>
        </w:rPr>
        <w:t xml:space="preserve"> </w:t>
      </w:r>
    </w:p>
    <w:p w:rsidR="005E1DD4" w:rsidRPr="0071250F" w:rsidRDefault="0071250F" w:rsidP="0071250F">
      <w:pPr>
        <w:pStyle w:val="gemStandard"/>
      </w:pPr>
      <w:r>
        <w:rPr>
          <w:b/>
        </w:rPr>
        <w:sym w:font="Wingdings" w:char="F0D5"/>
      </w:r>
    </w:p>
    <w:p w:rsidR="003C5FA4" w:rsidRDefault="00AF141A" w:rsidP="003C5FA4">
      <w:pPr>
        <w:pStyle w:val="gemStandard"/>
      </w:pPr>
      <w:r>
        <w:t>Hi</w:t>
      </w:r>
      <w:r w:rsidR="003C5FA4" w:rsidRPr="003C5FA4">
        <w:t>nweis</w:t>
      </w:r>
      <w:r>
        <w:t xml:space="preserve">: Anbietern von </w:t>
      </w:r>
      <w:r w:rsidR="003C5FA4">
        <w:t>Fachdienste</w:t>
      </w:r>
      <w:r>
        <w:t>n</w:t>
      </w:r>
      <w:r w:rsidR="003C5FA4">
        <w:t xml:space="preserve"> VSDM </w:t>
      </w:r>
      <w:r>
        <w:t xml:space="preserve">wird die Anforderung </w:t>
      </w:r>
      <w:r w:rsidRPr="002C13CE">
        <w:rPr>
          <w:strike/>
          <w:highlight w:val="yellow"/>
        </w:rPr>
        <w:t>WA-A_2010</w:t>
      </w:r>
      <w:r w:rsidR="002C13CE">
        <w:t xml:space="preserve"> </w:t>
      </w:r>
      <w:r w:rsidR="002C13CE" w:rsidRPr="002C13CE">
        <w:rPr>
          <w:highlight w:val="yellow"/>
        </w:rPr>
        <w:t>GS-A_5551</w:t>
      </w:r>
      <w:r>
        <w:t xml:space="preserve"> </w:t>
      </w:r>
      <w:commentRangeStart w:id="82"/>
      <w:r w:rsidR="00F743C2">
        <w:t>aufgrund</w:t>
      </w:r>
      <w:commentRangeEnd w:id="82"/>
      <w:r w:rsidR="00F743C2">
        <w:rPr>
          <w:rStyle w:val="Kommentarzeichen"/>
        </w:rPr>
        <w:commentReference w:id="82"/>
      </w:r>
      <w:r w:rsidR="00F743C2">
        <w:t xml:space="preserve"> </w:t>
      </w:r>
      <w:r w:rsidR="00020E2B" w:rsidRPr="00020E2B">
        <w:rPr>
          <w:highlight w:val="yellow"/>
        </w:rPr>
        <w:t xml:space="preserve">gesetzlicher Regelungen im </w:t>
      </w:r>
      <w:r w:rsidR="00F743C2" w:rsidRPr="00020E2B">
        <w:rPr>
          <w:highlight w:val="yellow"/>
        </w:rPr>
        <w:t xml:space="preserve">SGB </w:t>
      </w:r>
      <w:r w:rsidR="00F743C2" w:rsidRPr="00F743C2">
        <w:rPr>
          <w:highlight w:val="yellow"/>
        </w:rPr>
        <w:t>X</w:t>
      </w:r>
      <w:r w:rsidR="00F743C2">
        <w:t xml:space="preserve"> </w:t>
      </w:r>
      <w:r>
        <w:t xml:space="preserve">nicht zugeordnet </w:t>
      </w:r>
      <w:r w:rsidRPr="00F743C2">
        <w:rPr>
          <w:strike/>
          <w:highlight w:val="yellow"/>
        </w:rPr>
        <w:t xml:space="preserve">(siehe </w:t>
      </w:r>
      <w:r w:rsidRPr="00F743C2">
        <w:rPr>
          <w:strike/>
          <w:highlight w:val="yellow"/>
        </w:rPr>
        <w:fldChar w:fldCharType="begin"/>
      </w:r>
      <w:r w:rsidRPr="00F743C2">
        <w:rPr>
          <w:strike/>
          <w:highlight w:val="yellow"/>
        </w:rPr>
        <w:instrText xml:space="preserve"> REF _Ref494702658 \h </w:instrText>
      </w:r>
      <w:r w:rsidR="00F743C2" w:rsidRPr="00F743C2">
        <w:rPr>
          <w:strike/>
          <w:highlight w:val="yellow"/>
        </w:rPr>
        <w:instrText xml:space="preserve"> \* MERGEFORMAT </w:instrText>
      </w:r>
      <w:r w:rsidRPr="00F743C2">
        <w:rPr>
          <w:strike/>
          <w:highlight w:val="yellow"/>
        </w:rPr>
      </w:r>
      <w:r w:rsidRPr="00F743C2">
        <w:rPr>
          <w:strike/>
          <w:highlight w:val="yellow"/>
        </w:rPr>
        <w:fldChar w:fldCharType="separate"/>
      </w:r>
      <w:r w:rsidR="002F3BBF" w:rsidRPr="00F743C2">
        <w:rPr>
          <w:strike/>
          <w:highlight w:val="yellow"/>
        </w:rPr>
        <w:t xml:space="preserve">Tabelle </w:t>
      </w:r>
      <w:r w:rsidR="002F3BBF" w:rsidRPr="00F743C2">
        <w:rPr>
          <w:strike/>
          <w:noProof/>
          <w:highlight w:val="yellow"/>
        </w:rPr>
        <w:t>1</w:t>
      </w:r>
      <w:r w:rsidRPr="00F743C2">
        <w:rPr>
          <w:strike/>
          <w:highlight w:val="yellow"/>
        </w:rPr>
        <w:fldChar w:fldCharType="end"/>
      </w:r>
      <w:r w:rsidRPr="00F743C2">
        <w:rPr>
          <w:strike/>
          <w:highlight w:val="yellow"/>
        </w:rPr>
        <w:t>)</w:t>
      </w:r>
      <w:r>
        <w:t>.</w:t>
      </w:r>
      <w:r w:rsidR="003C5FA4">
        <w:t xml:space="preserve"> </w:t>
      </w:r>
      <w:r w:rsidR="003C5FA4" w:rsidRPr="003C5FA4">
        <w:t xml:space="preserve"> </w:t>
      </w:r>
    </w:p>
    <w:p w:rsidR="005E7EAC" w:rsidRPr="003C5FA4" w:rsidRDefault="005E7EAC" w:rsidP="005E7EAC">
      <w:pPr>
        <w:pStyle w:val="TBD"/>
      </w:pPr>
      <w:r>
        <w:t>Der Verweis auf den konkreten Paragraphen im SGB X ist noch zu ergänzen.</w:t>
      </w:r>
    </w:p>
    <w:p w:rsidR="00AC3A4A" w:rsidRPr="00A74755" w:rsidRDefault="00AC3A4A" w:rsidP="00AC3A4A">
      <w:pPr>
        <w:pStyle w:val="gemEinzug"/>
        <w:ind w:left="0"/>
        <w:rPr>
          <w:rStyle w:val="gemStandardfettZchn"/>
        </w:rPr>
      </w:pPr>
      <w:r w:rsidRPr="00A74755">
        <w:rPr>
          <w:b/>
        </w:rPr>
        <w:sym w:font="Wingdings" w:char="F0D6"/>
      </w:r>
      <w:r w:rsidRPr="00A74755">
        <w:rPr>
          <w:b/>
        </w:rPr>
        <w:tab/>
      </w:r>
      <w:r w:rsidR="00B67F6B" w:rsidRPr="00B67F6B">
        <w:rPr>
          <w:rStyle w:val="gemStandardfettZchn"/>
          <w:highlight w:val="yellow"/>
        </w:rPr>
        <w:t>GS-A_5552</w:t>
      </w:r>
      <w:r w:rsidR="00B67F6B">
        <w:rPr>
          <w:rStyle w:val="gemStandardfettZchn"/>
        </w:rPr>
        <w:t xml:space="preserve"> </w:t>
      </w:r>
      <w:r w:rsidRPr="00AC3A4A">
        <w:rPr>
          <w:rStyle w:val="gemStandardfettZchn"/>
        </w:rPr>
        <w:t>Angemessene Sicherheitsmaßnahmen</w:t>
      </w:r>
    </w:p>
    <w:p w:rsidR="0071250F" w:rsidRDefault="00AC3A4A" w:rsidP="0025634E">
      <w:pPr>
        <w:pStyle w:val="gemEinzug"/>
        <w:kinsoku w:val="0"/>
        <w:ind w:left="709"/>
        <w:rPr>
          <w:b/>
        </w:rPr>
      </w:pPr>
      <w:r w:rsidRPr="00AC3A4A">
        <w:rPr>
          <w:lang w:eastAsia="ja-JP"/>
        </w:rPr>
        <w:t xml:space="preserve">Der Anbieter MUSS die erforderlichen technischen Maßnahmen treffen, um die </w:t>
      </w:r>
      <w:r w:rsidRPr="0025634E">
        <w:rPr>
          <w:rFonts w:cs="Arial"/>
          <w:lang w:eastAsia="ja-JP"/>
        </w:rPr>
        <w:t>Anforderungen</w:t>
      </w:r>
      <w:r w:rsidRPr="00AC3A4A">
        <w:rPr>
          <w:lang w:eastAsia="ja-JP"/>
        </w:rPr>
        <w:t xml:space="preserve"> an die Sicherheit </w:t>
      </w:r>
      <w:r w:rsidR="00CB09F7">
        <w:rPr>
          <w:lang w:eastAsia="ja-JP"/>
        </w:rPr>
        <w:t xml:space="preserve">des Dienstes der TI </w:t>
      </w:r>
      <w:r w:rsidR="000E5611">
        <w:rPr>
          <w:lang w:eastAsia="ja-JP"/>
        </w:rPr>
        <w:t>bzw. der weiteren Anwendung</w:t>
      </w:r>
      <w:r w:rsidRPr="00AC3A4A">
        <w:rPr>
          <w:lang w:eastAsia="ja-JP"/>
        </w:rPr>
        <w:t xml:space="preserve"> im Hinblick auf die Schutzbedürftigkeit der </w:t>
      </w:r>
      <w:r w:rsidR="00AD7E89">
        <w:rPr>
          <w:lang w:eastAsia="ja-JP"/>
        </w:rPr>
        <w:t xml:space="preserve">im </w:t>
      </w:r>
      <w:r w:rsidR="00CB09F7">
        <w:rPr>
          <w:lang w:eastAsia="ja-JP"/>
        </w:rPr>
        <w:t>Dienst der TI bzw. in der weiteren Anwendung</w:t>
      </w:r>
      <w:r w:rsidRPr="00AC3A4A">
        <w:rPr>
          <w:lang w:eastAsia="ja-JP"/>
        </w:rPr>
        <w:t xml:space="preserve"> verarbeiteten Daten zu gewährleisten</w:t>
      </w:r>
      <w:r w:rsidR="009E6C21">
        <w:rPr>
          <w:lang w:eastAsia="ja-JP"/>
        </w:rPr>
        <w:t xml:space="preserve">. </w:t>
      </w:r>
    </w:p>
    <w:p w:rsidR="00AC3A4A" w:rsidRPr="0071250F" w:rsidRDefault="0071250F" w:rsidP="0071250F">
      <w:pPr>
        <w:pStyle w:val="gemStandard"/>
        <w:rPr>
          <w:b/>
        </w:rPr>
      </w:pPr>
      <w:r>
        <w:rPr>
          <w:b/>
        </w:rPr>
        <w:sym w:font="Wingdings" w:char="F0D5"/>
      </w:r>
      <w:r w:rsidR="00EE6462" w:rsidRPr="0071250F">
        <w:rPr>
          <w:b/>
        </w:rPr>
        <w:t xml:space="preserve"> </w:t>
      </w:r>
    </w:p>
    <w:p w:rsidR="009E6C21" w:rsidRPr="00A74755" w:rsidRDefault="009E6C21" w:rsidP="009E6C21">
      <w:pPr>
        <w:pStyle w:val="gemEinzug"/>
        <w:ind w:left="0"/>
        <w:rPr>
          <w:rStyle w:val="gemStandardfettZchn"/>
        </w:rPr>
      </w:pPr>
      <w:r w:rsidRPr="00A74755">
        <w:rPr>
          <w:b/>
        </w:rPr>
        <w:sym w:font="Wingdings" w:char="F0D6"/>
      </w:r>
      <w:r w:rsidRPr="00A74755">
        <w:rPr>
          <w:b/>
        </w:rPr>
        <w:tab/>
      </w:r>
      <w:r w:rsidR="00B67F6B" w:rsidRPr="00B67F6B">
        <w:rPr>
          <w:rStyle w:val="gemStandardfettZchn"/>
          <w:highlight w:val="yellow"/>
        </w:rPr>
        <w:t>GS-A_5553</w:t>
      </w:r>
      <w:r w:rsidR="00B67F6B">
        <w:rPr>
          <w:rStyle w:val="gemStandardfettZchn"/>
        </w:rPr>
        <w:t xml:space="preserve"> </w:t>
      </w:r>
      <w:r w:rsidRPr="009E6C21">
        <w:rPr>
          <w:rStyle w:val="gemStandardfettZchn"/>
        </w:rPr>
        <w:t>Sicherheitskonzept</w:t>
      </w:r>
    </w:p>
    <w:p w:rsidR="0071250F" w:rsidRDefault="00443013" w:rsidP="0025634E">
      <w:pPr>
        <w:pStyle w:val="gemEinzug"/>
        <w:kinsoku w:val="0"/>
        <w:ind w:left="709"/>
        <w:rPr>
          <w:b/>
        </w:rPr>
      </w:pPr>
      <w:r>
        <w:rPr>
          <w:lang w:eastAsia="ja-JP"/>
        </w:rPr>
        <w:t xml:space="preserve">Der Anbieter MUSS </w:t>
      </w:r>
      <w:r w:rsidR="009E6C21" w:rsidRPr="009E6C21">
        <w:rPr>
          <w:lang w:eastAsia="ja-JP"/>
        </w:rPr>
        <w:t xml:space="preserve">eine aktuelle und nachvollziehbare Dokumentation besitzen, in der der Schutzbedarf der Daten und die technischen Maßnahmen beschrieben werden, die getroffen </w:t>
      </w:r>
      <w:r w:rsidR="009E6C21" w:rsidRPr="0025634E">
        <w:rPr>
          <w:rFonts w:cs="Arial"/>
          <w:lang w:eastAsia="ja-JP"/>
        </w:rPr>
        <w:t>wurden</w:t>
      </w:r>
      <w:r w:rsidR="009E6C21" w:rsidRPr="009E6C21">
        <w:rPr>
          <w:lang w:eastAsia="ja-JP"/>
        </w:rPr>
        <w:t>, um die Anfo</w:t>
      </w:r>
      <w:r w:rsidR="009E6C21">
        <w:rPr>
          <w:lang w:eastAsia="ja-JP"/>
        </w:rPr>
        <w:t xml:space="preserve">rderungen an die Sicherheit des </w:t>
      </w:r>
      <w:r w:rsidR="00B45A69">
        <w:rPr>
          <w:lang w:eastAsia="ja-JP"/>
        </w:rPr>
        <w:t>Dienstes der TI bzw. der weiteren Anwendung</w:t>
      </w:r>
      <w:r w:rsidR="009E6C21">
        <w:rPr>
          <w:lang w:eastAsia="ja-JP"/>
        </w:rPr>
        <w:t xml:space="preserve"> </w:t>
      </w:r>
      <w:r w:rsidR="009E6C21" w:rsidRPr="009E6C21">
        <w:rPr>
          <w:lang w:eastAsia="ja-JP"/>
        </w:rPr>
        <w:t xml:space="preserve">im Hinblick auf die Schutzbedürftigkeit der </w:t>
      </w:r>
      <w:r w:rsidR="00AD4322">
        <w:rPr>
          <w:lang w:eastAsia="ja-JP"/>
        </w:rPr>
        <w:t xml:space="preserve">dort verarbeiteten </w:t>
      </w:r>
      <w:r w:rsidR="009E6C21" w:rsidRPr="009E6C21">
        <w:rPr>
          <w:lang w:eastAsia="ja-JP"/>
        </w:rPr>
        <w:t>Daten zu gewährleisten. Es sind zudem die Wirksamkeit der Sicherheitsmaßnahmen hinsichtlich des Schutzbedarfs der verarbeiteten Daten, die Restrisiken</w:t>
      </w:r>
      <w:r w:rsidR="001346D2">
        <w:rPr>
          <w:lang w:eastAsia="ja-JP"/>
        </w:rPr>
        <w:t>, ein Netzstrukturplan</w:t>
      </w:r>
      <w:r w:rsidR="009E6C21" w:rsidRPr="009E6C21">
        <w:rPr>
          <w:lang w:eastAsia="ja-JP"/>
        </w:rPr>
        <w:t xml:space="preserve"> und die Maßnahmen zum Notfallmanagement zu dokumentierten.</w:t>
      </w:r>
    </w:p>
    <w:p w:rsidR="009E6C21" w:rsidRPr="0071250F" w:rsidRDefault="0071250F" w:rsidP="0071250F">
      <w:pPr>
        <w:pStyle w:val="gemStandard"/>
      </w:pPr>
      <w:r>
        <w:rPr>
          <w:b/>
        </w:rPr>
        <w:sym w:font="Wingdings" w:char="F0D5"/>
      </w:r>
    </w:p>
    <w:p w:rsidR="006F020D" w:rsidRDefault="006F020D" w:rsidP="009E6C21">
      <w:pPr>
        <w:pStyle w:val="gemStandard"/>
        <w:rPr>
          <w:b/>
        </w:rPr>
      </w:pPr>
      <w:r w:rsidRPr="00A74755">
        <w:rPr>
          <w:b/>
        </w:rPr>
        <w:sym w:font="Wingdings" w:char="F0D6"/>
      </w:r>
      <w:r w:rsidRPr="00A74755">
        <w:rPr>
          <w:b/>
        </w:rPr>
        <w:tab/>
      </w:r>
      <w:r w:rsidR="00B67F6B" w:rsidRPr="00B67F6B">
        <w:rPr>
          <w:rStyle w:val="gemStandardfettZchn"/>
          <w:highlight w:val="yellow"/>
        </w:rPr>
        <w:t>GS-A_5554</w:t>
      </w:r>
      <w:r w:rsidR="00B67F6B">
        <w:rPr>
          <w:rStyle w:val="gemStandardfettZchn"/>
        </w:rPr>
        <w:t xml:space="preserve"> </w:t>
      </w:r>
      <w:r>
        <w:rPr>
          <w:b/>
        </w:rPr>
        <w:t>Aufrechterhaltung der Informationssicherheit</w:t>
      </w:r>
    </w:p>
    <w:p w:rsidR="0071250F" w:rsidRDefault="006F020D" w:rsidP="0025634E">
      <w:pPr>
        <w:pStyle w:val="gemEinzug"/>
        <w:kinsoku w:val="0"/>
        <w:ind w:left="709"/>
        <w:rPr>
          <w:b/>
        </w:rPr>
      </w:pPr>
      <w:r w:rsidRPr="006F020D">
        <w:rPr>
          <w:lang w:eastAsia="ja-JP"/>
        </w:rPr>
        <w:t xml:space="preserve">Der </w:t>
      </w:r>
      <w:r w:rsidRPr="0025634E">
        <w:rPr>
          <w:rFonts w:cs="Arial"/>
          <w:lang w:eastAsia="ja-JP"/>
        </w:rPr>
        <w:t>Anbieter</w:t>
      </w:r>
      <w:r>
        <w:rPr>
          <w:lang w:eastAsia="ja-JP"/>
        </w:rPr>
        <w:t xml:space="preserve"> </w:t>
      </w:r>
      <w:r w:rsidRPr="006F020D">
        <w:rPr>
          <w:lang w:eastAsia="ja-JP"/>
        </w:rPr>
        <w:t xml:space="preserve">MUSS Prozesse zur Gewährleistung der Informationssicherheit aufbauen und kontinuierlich </w:t>
      </w:r>
      <w:r w:rsidR="008B236F">
        <w:rPr>
          <w:lang w:eastAsia="ja-JP"/>
        </w:rPr>
        <w:t>verbessern</w:t>
      </w:r>
      <w:r w:rsidRPr="006F020D">
        <w:rPr>
          <w:lang w:eastAsia="ja-JP"/>
        </w:rPr>
        <w:t>.</w:t>
      </w:r>
      <w:r w:rsidR="00CF2876" w:rsidRPr="00CF2876">
        <w:rPr>
          <w:b/>
        </w:rPr>
        <w:t xml:space="preserve"> </w:t>
      </w:r>
    </w:p>
    <w:p w:rsidR="006F020D" w:rsidRPr="0071250F" w:rsidRDefault="0071250F" w:rsidP="0071250F">
      <w:pPr>
        <w:pStyle w:val="gemStandard"/>
      </w:pPr>
      <w:r>
        <w:rPr>
          <w:b/>
        </w:rPr>
        <w:sym w:font="Wingdings" w:char="F0D5"/>
      </w:r>
    </w:p>
    <w:p w:rsidR="00A606EF" w:rsidRPr="008D67F2" w:rsidRDefault="00A606EF" w:rsidP="005018F0">
      <w:pPr>
        <w:pStyle w:val="gemStandard"/>
        <w:rPr>
          <w:b/>
        </w:rPr>
      </w:pPr>
      <w:r w:rsidRPr="008D67F2">
        <w:rPr>
          <w:b/>
        </w:rPr>
        <w:lastRenderedPageBreak/>
        <w:sym w:font="Wingdings" w:char="F0D6"/>
      </w:r>
      <w:r w:rsidRPr="008D67F2">
        <w:rPr>
          <w:b/>
        </w:rPr>
        <w:tab/>
        <w:t>GS-A_4523</w:t>
      </w:r>
      <w:r w:rsidR="00DB6C95" w:rsidRPr="00DB6C95">
        <w:rPr>
          <w:b/>
          <w:highlight w:val="yellow"/>
        </w:rPr>
        <w:t>-01</w:t>
      </w:r>
      <w:r w:rsidRPr="008D67F2">
        <w:rPr>
          <w:b/>
        </w:rPr>
        <w:t xml:space="preserve"> Bereitstellung </w:t>
      </w:r>
      <w:r>
        <w:rPr>
          <w:b/>
        </w:rPr>
        <w:t xml:space="preserve">Kontaktinformationen </w:t>
      </w:r>
      <w:r w:rsidRPr="008D67F2">
        <w:rPr>
          <w:b/>
        </w:rPr>
        <w:t>für Informations</w:t>
      </w:r>
      <w:r w:rsidRPr="008D67F2">
        <w:rPr>
          <w:b/>
        </w:rPr>
        <w:softHyphen/>
        <w:t>sicherheit</w:t>
      </w:r>
    </w:p>
    <w:p w:rsidR="0071250F" w:rsidRDefault="004C1F9F" w:rsidP="0025634E">
      <w:pPr>
        <w:pStyle w:val="gemEinzug"/>
        <w:kinsoku w:val="0"/>
        <w:ind w:left="709"/>
        <w:rPr>
          <w:b/>
        </w:rPr>
      </w:pPr>
      <w:r>
        <w:rPr>
          <w:lang w:eastAsia="ja-JP"/>
        </w:rPr>
        <w:t xml:space="preserve">Der </w:t>
      </w:r>
      <w:r w:rsidR="00086FC1" w:rsidRPr="00086FC1">
        <w:rPr>
          <w:lang w:eastAsia="ja-JP"/>
        </w:rPr>
        <w:t xml:space="preserve">Anbieter </w:t>
      </w:r>
      <w:r w:rsidR="00086FC1">
        <w:rPr>
          <w:lang w:eastAsia="ja-JP"/>
        </w:rPr>
        <w:t>M</w:t>
      </w:r>
      <w:r>
        <w:rPr>
          <w:lang w:eastAsia="ja-JP"/>
        </w:rPr>
        <w:t>U</w:t>
      </w:r>
      <w:r w:rsidR="00086FC1" w:rsidRPr="00086FC1">
        <w:rPr>
          <w:lang w:eastAsia="ja-JP"/>
        </w:rPr>
        <w:t xml:space="preserve">SS im Rahmen des Informationssicherheitsmanagements eine Kommunikationsschnittstelle </w:t>
      </w:r>
      <w:r w:rsidR="00497B64">
        <w:rPr>
          <w:lang w:eastAsia="ja-JP"/>
        </w:rPr>
        <w:t xml:space="preserve">direkt der gematik </w:t>
      </w:r>
      <w:r w:rsidR="00086FC1" w:rsidRPr="00086FC1">
        <w:rPr>
          <w:lang w:eastAsia="ja-JP"/>
        </w:rPr>
        <w:t>mitteile</w:t>
      </w:r>
      <w:r w:rsidR="00B47653">
        <w:rPr>
          <w:lang w:eastAsia="ja-JP"/>
        </w:rPr>
        <w:t>n (übliche Kontaktinformationen</w:t>
      </w:r>
      <w:r w:rsidR="00086FC1" w:rsidRPr="00086FC1">
        <w:rPr>
          <w:lang w:eastAsia="ja-JP"/>
        </w:rPr>
        <w:t xml:space="preserve"> wie Name eines Ansprechpartners, Stellvertreter, E</w:t>
      </w:r>
      <w:r w:rsidR="00B47653">
        <w:rPr>
          <w:lang w:eastAsia="ja-JP"/>
        </w:rPr>
        <w:t>-M</w:t>
      </w:r>
      <w:r w:rsidR="00086FC1" w:rsidRPr="00086FC1">
        <w:rPr>
          <w:lang w:eastAsia="ja-JP"/>
        </w:rPr>
        <w:t>ailadresse, Telefon, Fax, Anschrift, …).</w:t>
      </w:r>
    </w:p>
    <w:p w:rsidR="00F47C3D" w:rsidRPr="0071250F" w:rsidRDefault="0071250F" w:rsidP="0071250F">
      <w:pPr>
        <w:pStyle w:val="gemStandard"/>
      </w:pPr>
      <w:r>
        <w:rPr>
          <w:b/>
        </w:rPr>
        <w:sym w:font="Wingdings" w:char="F0D5"/>
      </w:r>
    </w:p>
    <w:p w:rsidR="00B47653" w:rsidRDefault="00B47653" w:rsidP="0025634E">
      <w:pPr>
        <w:pStyle w:val="gemEinzug"/>
        <w:kinsoku w:val="0"/>
        <w:ind w:left="709"/>
        <w:rPr>
          <w:b/>
        </w:rPr>
      </w:pPr>
    </w:p>
    <w:p w:rsidR="00B47653" w:rsidRDefault="00B47653" w:rsidP="0025634E">
      <w:pPr>
        <w:pStyle w:val="gemEinzug"/>
        <w:kinsoku w:val="0"/>
        <w:ind w:left="709"/>
        <w:rPr>
          <w:b/>
        </w:rPr>
      </w:pPr>
    </w:p>
    <w:p w:rsidR="00E3666C" w:rsidRPr="008D67F2" w:rsidRDefault="00E3666C" w:rsidP="005018F0">
      <w:pPr>
        <w:pStyle w:val="gemStandard"/>
        <w:ind w:left="708" w:hanging="708"/>
        <w:rPr>
          <w:b/>
        </w:rPr>
      </w:pPr>
      <w:r w:rsidRPr="008D67F2">
        <w:rPr>
          <w:b/>
        </w:rPr>
        <w:sym w:font="Wingdings" w:char="F0D6"/>
      </w:r>
      <w:r w:rsidRPr="008D67F2">
        <w:rPr>
          <w:b/>
        </w:rPr>
        <w:tab/>
        <w:t>GS-A_452</w:t>
      </w:r>
      <w:r>
        <w:rPr>
          <w:b/>
        </w:rPr>
        <w:t>4</w:t>
      </w:r>
      <w:r w:rsidR="0094106C" w:rsidRPr="0094106C">
        <w:rPr>
          <w:b/>
          <w:highlight w:val="yellow"/>
        </w:rPr>
        <w:t>-01</w:t>
      </w:r>
      <w:r w:rsidRPr="008D67F2">
        <w:rPr>
          <w:b/>
        </w:rPr>
        <w:t xml:space="preserve"> </w:t>
      </w:r>
      <w:r w:rsidR="006A5E17" w:rsidRPr="00E83321">
        <w:rPr>
          <w:rStyle w:val="gemStandardfettZchn"/>
        </w:rPr>
        <w:t xml:space="preserve">Meldung von </w:t>
      </w:r>
      <w:r w:rsidR="006A5E17">
        <w:rPr>
          <w:rStyle w:val="gemStandardfettZchn"/>
        </w:rPr>
        <w:t xml:space="preserve">Änderungen der </w:t>
      </w:r>
      <w:r w:rsidR="006A5E17" w:rsidRPr="00E83321">
        <w:rPr>
          <w:rStyle w:val="gemStandardfettZchn"/>
        </w:rPr>
        <w:t xml:space="preserve">Kontaktinformationen </w:t>
      </w:r>
      <w:r w:rsidRPr="008D67F2">
        <w:rPr>
          <w:b/>
        </w:rPr>
        <w:t>für</w:t>
      </w:r>
      <w:r w:rsidR="00556D48">
        <w:rPr>
          <w:b/>
        </w:rPr>
        <w:t xml:space="preserve"> </w:t>
      </w:r>
      <w:r w:rsidRPr="008D67F2">
        <w:rPr>
          <w:b/>
        </w:rPr>
        <w:t>Informations</w:t>
      </w:r>
      <w:r w:rsidRPr="008D67F2">
        <w:rPr>
          <w:b/>
        </w:rPr>
        <w:softHyphen/>
        <w:t>sicherheit</w:t>
      </w:r>
    </w:p>
    <w:p w:rsidR="0071250F" w:rsidRDefault="00C93E3E" w:rsidP="006A5E17">
      <w:pPr>
        <w:pStyle w:val="gemEinzug"/>
        <w:kinsoku w:val="0"/>
        <w:ind w:left="709"/>
        <w:rPr>
          <w:b/>
        </w:rPr>
      </w:pPr>
      <w:r>
        <w:rPr>
          <w:lang w:eastAsia="ja-JP"/>
        </w:rPr>
        <w:t xml:space="preserve">Der </w:t>
      </w:r>
      <w:r w:rsidR="006A5E17">
        <w:rPr>
          <w:lang w:eastAsia="ja-JP"/>
        </w:rPr>
        <w:t>A</w:t>
      </w:r>
      <w:r w:rsidR="006A5E17" w:rsidRPr="006A5E17">
        <w:rPr>
          <w:lang w:eastAsia="ja-JP"/>
        </w:rPr>
        <w:t>nbieter M</w:t>
      </w:r>
      <w:r>
        <w:rPr>
          <w:lang w:eastAsia="ja-JP"/>
        </w:rPr>
        <w:t>U</w:t>
      </w:r>
      <w:r w:rsidR="006A5E17" w:rsidRPr="006A5E17">
        <w:rPr>
          <w:lang w:eastAsia="ja-JP"/>
        </w:rPr>
        <w:t xml:space="preserve">SS Änderungen an der Kommunikationsschnittstelle </w:t>
      </w:r>
      <w:r>
        <w:rPr>
          <w:lang w:eastAsia="ja-JP"/>
        </w:rPr>
        <w:t>seines</w:t>
      </w:r>
      <w:r w:rsidR="006A5E17" w:rsidRPr="006A5E17">
        <w:rPr>
          <w:lang w:eastAsia="ja-JP"/>
        </w:rPr>
        <w:t xml:space="preserve"> </w:t>
      </w:r>
      <w:r w:rsidR="003E2A54" w:rsidRPr="008D67F2">
        <w:t>Informations</w:t>
      </w:r>
      <w:r w:rsidR="003E2A54" w:rsidRPr="008D67F2">
        <w:softHyphen/>
        <w:t>sicherheits</w:t>
      </w:r>
      <w:r w:rsidR="003E2A54">
        <w:softHyphen/>
      </w:r>
      <w:r w:rsidR="003E2A54" w:rsidRPr="008D67F2">
        <w:t>managements</w:t>
      </w:r>
      <w:r w:rsidR="006A5E17" w:rsidRPr="006A5E17">
        <w:rPr>
          <w:lang w:eastAsia="ja-JP"/>
        </w:rPr>
        <w:t xml:space="preserve"> </w:t>
      </w:r>
      <w:r w:rsidR="00B47653">
        <w:rPr>
          <w:lang w:eastAsia="ja-JP"/>
        </w:rPr>
        <w:t xml:space="preserve">der gematik </w:t>
      </w:r>
      <w:r w:rsidR="006A5E17" w:rsidRPr="006A5E17">
        <w:rPr>
          <w:lang w:eastAsia="ja-JP"/>
        </w:rPr>
        <w:t>unv</w:t>
      </w:r>
      <w:r w:rsidR="006A5E17">
        <w:rPr>
          <w:lang w:eastAsia="ja-JP"/>
        </w:rPr>
        <w:t xml:space="preserve">erzüglich </w:t>
      </w:r>
      <w:r>
        <w:rPr>
          <w:lang w:eastAsia="ja-JP"/>
        </w:rPr>
        <w:t>direkt</w:t>
      </w:r>
      <w:r w:rsidR="006A5E17">
        <w:rPr>
          <w:lang w:eastAsia="ja-JP"/>
        </w:rPr>
        <w:t xml:space="preserve"> melden</w:t>
      </w:r>
      <w:r w:rsidR="00E3666C" w:rsidRPr="00086FC1">
        <w:rPr>
          <w:lang w:eastAsia="ja-JP"/>
        </w:rPr>
        <w:t>.</w:t>
      </w:r>
    </w:p>
    <w:p w:rsidR="00E3666C" w:rsidRPr="0071250F" w:rsidRDefault="0071250F" w:rsidP="0071250F">
      <w:pPr>
        <w:pStyle w:val="gemStandard"/>
      </w:pPr>
      <w:r>
        <w:rPr>
          <w:b/>
        </w:rPr>
        <w:sym w:font="Wingdings" w:char="F0D5"/>
      </w:r>
    </w:p>
    <w:p w:rsidR="00362CFD" w:rsidRPr="004C5626" w:rsidRDefault="0094106C" w:rsidP="00362CFD">
      <w:pPr>
        <w:pStyle w:val="gemStandard"/>
        <w:ind w:left="708" w:hanging="708"/>
        <w:rPr>
          <w:b/>
          <w:strike/>
          <w:highlight w:val="yellow"/>
        </w:rPr>
      </w:pPr>
      <w:r>
        <w:rPr>
          <w:b/>
          <w:strike/>
          <w:highlight w:val="yellow"/>
        </w:rPr>
        <w:t>X</w:t>
      </w:r>
      <w:r w:rsidR="00362CFD" w:rsidRPr="004C5626">
        <w:rPr>
          <w:b/>
          <w:strike/>
          <w:highlight w:val="yellow"/>
        </w:rPr>
        <w:t xml:space="preserve"> </w:t>
      </w:r>
      <w:r w:rsidR="00362CFD" w:rsidRPr="004C5626">
        <w:rPr>
          <w:b/>
          <w:strike/>
          <w:highlight w:val="yellow"/>
        </w:rPr>
        <w:tab/>
        <w:t>GS-A_5324</w:t>
      </w:r>
      <w:r w:rsidR="00F32DB2" w:rsidRPr="004C5626">
        <w:rPr>
          <w:b/>
          <w:strike/>
          <w:highlight w:val="yellow"/>
        </w:rPr>
        <w:t xml:space="preserve"> </w:t>
      </w:r>
      <w:r w:rsidR="00362CFD" w:rsidRPr="004C5626">
        <w:rPr>
          <w:b/>
          <w:strike/>
          <w:highlight w:val="yellow"/>
        </w:rPr>
        <w:t xml:space="preserve">Teilnahme des Anbieters an Sitzungen des </w:t>
      </w:r>
      <w:commentRangeStart w:id="83"/>
      <w:r w:rsidR="00362CFD" w:rsidRPr="004C5626">
        <w:rPr>
          <w:b/>
          <w:strike/>
          <w:highlight w:val="yellow"/>
        </w:rPr>
        <w:t>kISMS</w:t>
      </w:r>
      <w:commentRangeEnd w:id="83"/>
      <w:r w:rsidR="004C5626">
        <w:rPr>
          <w:rStyle w:val="Kommentarzeichen"/>
        </w:rPr>
        <w:commentReference w:id="83"/>
      </w:r>
      <w:r w:rsidR="00362CFD" w:rsidRPr="004C5626">
        <w:rPr>
          <w:b/>
          <w:strike/>
          <w:highlight w:val="yellow"/>
        </w:rPr>
        <w:t xml:space="preserve"> </w:t>
      </w:r>
    </w:p>
    <w:p w:rsidR="00362CFD" w:rsidRPr="007E6A37" w:rsidRDefault="00362CFD" w:rsidP="00362CFD">
      <w:pPr>
        <w:pStyle w:val="gemEinzug"/>
        <w:kinsoku w:val="0"/>
        <w:ind w:left="709"/>
      </w:pPr>
      <w:r w:rsidRPr="004C5626">
        <w:rPr>
          <w:strike/>
          <w:highlight w:val="yellow"/>
        </w:rPr>
        <w:t>Der Anbieter MUSS der gematik zusichern, dass der Anbieter das koordinierende Informationssicherheitsmanagementsystem (kISMS) der gematik unterstützt, indem auf Einladung der gematik ein Sicherheitsbeauftragter des Anbieters am Arbeitskreis Datenschutz und Informationssicherheit (AK DIS) teilnimmt, der sich im Rahmen seiner beruflichen Tätigkeit mit dem operativen Betrieb der vom Anbieter betriebenen Dienste befasst.</w:t>
      </w:r>
      <w:r w:rsidRPr="0094106C">
        <w:rPr>
          <w:b/>
          <w:strike/>
          <w:highlight w:val="yellow"/>
        </w:rPr>
        <w:t xml:space="preserve"> </w:t>
      </w:r>
      <w:r w:rsidR="0094106C" w:rsidRPr="0094106C">
        <w:rPr>
          <w:b/>
          <w:strike/>
          <w:highlight w:val="yellow"/>
        </w:rPr>
        <w:t>X</w:t>
      </w:r>
    </w:p>
    <w:p w:rsidR="00C2239C" w:rsidRPr="0047175D" w:rsidRDefault="00C2239C" w:rsidP="004C39A0">
      <w:pPr>
        <w:pStyle w:val="gemStandard"/>
        <w:ind w:left="708" w:hanging="708"/>
        <w:rPr>
          <w:b/>
        </w:rPr>
      </w:pPr>
      <w:r w:rsidRPr="0047175D">
        <w:rPr>
          <w:rFonts w:ascii="Wingdings" w:hAnsi="Wingdings"/>
          <w:b/>
        </w:rPr>
        <w:sym w:font="Wingdings" w:char="F0D6"/>
      </w:r>
      <w:r w:rsidRPr="0047175D">
        <w:rPr>
          <w:b/>
        </w:rPr>
        <w:tab/>
      </w:r>
      <w:r w:rsidR="007E011C" w:rsidRPr="007E011C">
        <w:rPr>
          <w:b/>
          <w:highlight w:val="yellow"/>
        </w:rPr>
        <w:t>GS-A_5555</w:t>
      </w:r>
      <w:r w:rsidR="007E011C">
        <w:rPr>
          <w:b/>
        </w:rPr>
        <w:t xml:space="preserve"> </w:t>
      </w:r>
      <w:r w:rsidRPr="0047175D">
        <w:rPr>
          <w:b/>
        </w:rPr>
        <w:t xml:space="preserve">Unverzügliche Meldung von </w:t>
      </w:r>
      <w:r w:rsidRPr="00CF5C53">
        <w:rPr>
          <w:b/>
          <w:strike/>
          <w:highlight w:val="yellow"/>
        </w:rPr>
        <w:t>schwerwiegenden</w:t>
      </w:r>
      <w:r w:rsidR="00CF5C53" w:rsidRPr="00CF5C53">
        <w:rPr>
          <w:b/>
          <w:highlight w:val="yellow"/>
        </w:rPr>
        <w:t xml:space="preserve"> </w:t>
      </w:r>
      <w:commentRangeStart w:id="84"/>
      <w:r w:rsidR="00CF5C53" w:rsidRPr="00CF5C53">
        <w:rPr>
          <w:b/>
          <w:highlight w:val="yellow"/>
        </w:rPr>
        <w:t>erheblichen</w:t>
      </w:r>
      <w:commentRangeEnd w:id="84"/>
      <w:r w:rsidR="00CF5C53">
        <w:rPr>
          <w:rStyle w:val="Kommentarzeichen"/>
        </w:rPr>
        <w:commentReference w:id="84"/>
      </w:r>
      <w:r w:rsidR="00CF5C53">
        <w:rPr>
          <w:b/>
        </w:rPr>
        <w:t xml:space="preserve"> </w:t>
      </w:r>
      <w:r w:rsidRPr="0047175D">
        <w:rPr>
          <w:b/>
        </w:rPr>
        <w:t xml:space="preserve"> Sicherheitsvorfällen und </w:t>
      </w:r>
      <w:r w:rsidR="00B47653">
        <w:rPr>
          <w:b/>
        </w:rPr>
        <w:t>-</w:t>
      </w:r>
      <w:r w:rsidRPr="0047175D">
        <w:rPr>
          <w:b/>
        </w:rPr>
        <w:t>notfällen</w:t>
      </w:r>
    </w:p>
    <w:p w:rsidR="0071250F" w:rsidRDefault="00C2239C" w:rsidP="0025634E">
      <w:pPr>
        <w:pStyle w:val="gemEinzug"/>
        <w:kinsoku w:val="0"/>
        <w:ind w:left="709"/>
        <w:rPr>
          <w:rFonts w:ascii="Wingdings" w:hAnsi="Wingdings"/>
          <w:b/>
        </w:rPr>
      </w:pPr>
      <w:r w:rsidRPr="0047175D">
        <w:t xml:space="preserve">Der </w:t>
      </w:r>
      <w:r w:rsidRPr="0025634E">
        <w:rPr>
          <w:rFonts w:cs="Arial"/>
          <w:lang w:eastAsia="ja-JP"/>
        </w:rPr>
        <w:t>Anbieter</w:t>
      </w:r>
      <w:r>
        <w:t xml:space="preserve"> </w:t>
      </w:r>
      <w:r w:rsidRPr="0047175D">
        <w:t xml:space="preserve">MUSS erhebliche Störungen der Verfügbarkeit, Integrität, Authentizität und Vertraulichkeit, die zum Ausfall oder zur Beeinträchtigung der Sicherheit oder Funktionsfähigkeit </w:t>
      </w:r>
      <w:r w:rsidR="00C93E3E">
        <w:t>des Dienstes der TI bzw. eines</w:t>
      </w:r>
      <w:r w:rsidRPr="0047175D">
        <w:t xml:space="preserve"> Dienstes der </w:t>
      </w:r>
      <w:r w:rsidR="00C93E3E">
        <w:t xml:space="preserve">weiteren </w:t>
      </w:r>
      <w:r w:rsidRPr="0047175D">
        <w:t xml:space="preserve">Anwendung oder zum Ausfall oder zur Beeinträchtigung der Sicherheit oder Funktionsfähigkeit der Telematikinfrastruktur führen können oder bereits geführt haben, unverzüglich nach bekannt werden </w:t>
      </w:r>
      <w:r w:rsidR="005219D4">
        <w:t xml:space="preserve">direkt </w:t>
      </w:r>
      <w:r w:rsidRPr="0047175D">
        <w:t>de</w:t>
      </w:r>
      <w:r w:rsidR="000308B2">
        <w:t>r gem</w:t>
      </w:r>
      <w:r w:rsidR="005219D4">
        <w:t xml:space="preserve">atik </w:t>
      </w:r>
      <w:r w:rsidRPr="0047175D">
        <w:t>melden.</w:t>
      </w:r>
    </w:p>
    <w:p w:rsidR="00C2239C" w:rsidRPr="0071250F" w:rsidRDefault="0071250F" w:rsidP="0071250F">
      <w:pPr>
        <w:pStyle w:val="gemStandard"/>
        <w:rPr>
          <w:b/>
        </w:rPr>
      </w:pPr>
      <w:r>
        <w:rPr>
          <w:b/>
        </w:rPr>
        <w:sym w:font="Wingdings" w:char="F0D5"/>
      </w:r>
      <w:r w:rsidR="00C2239C" w:rsidRPr="0071250F">
        <w:rPr>
          <w:b/>
        </w:rPr>
        <w:t xml:space="preserve"> </w:t>
      </w:r>
    </w:p>
    <w:p w:rsidR="00A70225" w:rsidRPr="004C3343" w:rsidRDefault="00484B42" w:rsidP="00A70225">
      <w:pPr>
        <w:pStyle w:val="gemStandardfett"/>
        <w:ind w:left="705" w:hanging="705"/>
        <w:rPr>
          <w:strike/>
          <w:highlight w:val="yellow"/>
          <w:lang w:eastAsia="ja-JP"/>
        </w:rPr>
      </w:pPr>
      <w:r>
        <w:rPr>
          <w:strike/>
          <w:highlight w:val="yellow"/>
        </w:rPr>
        <w:t>X</w:t>
      </w:r>
      <w:r w:rsidR="00A70225" w:rsidRPr="004C3343">
        <w:rPr>
          <w:strike/>
          <w:highlight w:val="yellow"/>
        </w:rPr>
        <w:tab/>
      </w:r>
      <w:r w:rsidR="00A70225" w:rsidRPr="004C3343">
        <w:rPr>
          <w:strike/>
          <w:highlight w:val="yellow"/>
          <w:lang w:eastAsia="ja-JP"/>
        </w:rPr>
        <w:t xml:space="preserve">GS-A_2355 </w:t>
      </w:r>
      <w:r w:rsidR="00777C02" w:rsidRPr="004C3343">
        <w:rPr>
          <w:strike/>
          <w:highlight w:val="yellow"/>
        </w:rPr>
        <w:t xml:space="preserve">Meldung von schwerwiegenden Schwachstellen und </w:t>
      </w:r>
      <w:commentRangeStart w:id="85"/>
      <w:r w:rsidR="00777C02" w:rsidRPr="004C3343">
        <w:rPr>
          <w:strike/>
          <w:highlight w:val="yellow"/>
        </w:rPr>
        <w:t>Bedrohungen</w:t>
      </w:r>
      <w:commentRangeEnd w:id="85"/>
      <w:r w:rsidR="004C3343">
        <w:rPr>
          <w:rStyle w:val="Kommentarzeichen"/>
          <w:b w:val="0"/>
        </w:rPr>
        <w:commentReference w:id="85"/>
      </w:r>
    </w:p>
    <w:p w:rsidR="00A70225" w:rsidRPr="004C3343" w:rsidRDefault="0047623C" w:rsidP="00A70225">
      <w:pPr>
        <w:pStyle w:val="gemEinzug"/>
        <w:kinsoku w:val="0"/>
        <w:ind w:left="709"/>
        <w:rPr>
          <w:rFonts w:cs="Arial"/>
          <w:b/>
          <w:strike/>
        </w:rPr>
      </w:pPr>
      <w:r w:rsidRPr="004C3343">
        <w:rPr>
          <w:rFonts w:cs="Arial"/>
          <w:strike/>
          <w:highlight w:val="yellow"/>
          <w:lang w:eastAsia="ja-JP"/>
        </w:rPr>
        <w:t xml:space="preserve">Der </w:t>
      </w:r>
      <w:r w:rsidR="00A70225" w:rsidRPr="004C3343">
        <w:rPr>
          <w:rFonts w:cs="Arial"/>
          <w:strike/>
          <w:highlight w:val="yellow"/>
          <w:lang w:eastAsia="ja-JP"/>
        </w:rPr>
        <w:t>Anbieter M</w:t>
      </w:r>
      <w:r w:rsidRPr="004C3343">
        <w:rPr>
          <w:rFonts w:cs="Arial"/>
          <w:strike/>
          <w:highlight w:val="yellow"/>
          <w:lang w:eastAsia="ja-JP"/>
        </w:rPr>
        <w:t>U</w:t>
      </w:r>
      <w:r w:rsidR="00A70225" w:rsidRPr="004C3343">
        <w:rPr>
          <w:rFonts w:cs="Arial"/>
          <w:strike/>
          <w:highlight w:val="yellow"/>
          <w:lang w:eastAsia="ja-JP"/>
        </w:rPr>
        <w:t>SS schwerwiegende Schwachstellen und schwerwiegende Bedrohungen</w:t>
      </w:r>
      <w:r w:rsidR="006F55DA" w:rsidRPr="004C3343">
        <w:rPr>
          <w:rFonts w:cs="Arial"/>
          <w:strike/>
          <w:highlight w:val="yellow"/>
          <w:lang w:eastAsia="ja-JP"/>
        </w:rPr>
        <w:t xml:space="preserve">, </w:t>
      </w:r>
      <w:r w:rsidR="006F55DA" w:rsidRPr="004C3343">
        <w:rPr>
          <w:strike/>
          <w:highlight w:val="yellow"/>
        </w:rPr>
        <w:t>die Dienste der TI bzw. Dienste einer weiteren Anwendung betreffen,</w:t>
      </w:r>
      <w:r w:rsidR="00A70225" w:rsidRPr="004C3343">
        <w:rPr>
          <w:rFonts w:cs="Arial"/>
          <w:strike/>
          <w:highlight w:val="yellow"/>
          <w:lang w:eastAsia="ja-JP"/>
        </w:rPr>
        <w:t xml:space="preserve"> </w:t>
      </w:r>
      <w:r w:rsidR="00497B64" w:rsidRPr="004C3343">
        <w:rPr>
          <w:rFonts w:cs="Arial"/>
          <w:strike/>
          <w:highlight w:val="yellow"/>
          <w:lang w:eastAsia="ja-JP"/>
        </w:rPr>
        <w:t xml:space="preserve">unverzüglich und </w:t>
      </w:r>
      <w:r w:rsidR="00826731" w:rsidRPr="004C3343">
        <w:rPr>
          <w:rFonts w:cs="Arial"/>
          <w:strike/>
          <w:highlight w:val="yellow"/>
          <w:lang w:eastAsia="ja-JP"/>
        </w:rPr>
        <w:t xml:space="preserve">direkt </w:t>
      </w:r>
      <w:r w:rsidR="00A70225" w:rsidRPr="004C3343">
        <w:rPr>
          <w:rFonts w:cs="Arial"/>
          <w:strike/>
          <w:highlight w:val="yellow"/>
          <w:lang w:eastAsia="ja-JP"/>
        </w:rPr>
        <w:t>an die gematik melden.</w:t>
      </w:r>
      <w:r w:rsidR="00A70225" w:rsidRPr="00484B42">
        <w:rPr>
          <w:rFonts w:cs="Arial"/>
          <w:b/>
          <w:strike/>
          <w:highlight w:val="yellow"/>
        </w:rPr>
        <w:t xml:space="preserve"> </w:t>
      </w:r>
      <w:r w:rsidR="00484B42" w:rsidRPr="00484B42">
        <w:rPr>
          <w:rFonts w:cs="Arial"/>
          <w:b/>
          <w:strike/>
          <w:highlight w:val="yellow"/>
        </w:rPr>
        <w:t>X</w:t>
      </w:r>
    </w:p>
    <w:p w:rsidR="00014E74" w:rsidRPr="00014E74" w:rsidRDefault="00014E74" w:rsidP="004C39A0">
      <w:pPr>
        <w:pStyle w:val="gemStandard"/>
        <w:ind w:left="708" w:hanging="708"/>
        <w:rPr>
          <w:b/>
        </w:rPr>
      </w:pPr>
      <w:r w:rsidRPr="00014E74">
        <w:rPr>
          <w:rFonts w:ascii="Wingdings" w:hAnsi="Wingdings"/>
          <w:b/>
        </w:rPr>
        <w:sym w:font="Wingdings" w:char="F0D6"/>
      </w:r>
      <w:r w:rsidRPr="00014E74">
        <w:rPr>
          <w:b/>
        </w:rPr>
        <w:tab/>
      </w:r>
      <w:r w:rsidR="00C72C04" w:rsidRPr="00C72C04">
        <w:rPr>
          <w:b/>
          <w:highlight w:val="yellow"/>
        </w:rPr>
        <w:t>GS-A_5556</w:t>
      </w:r>
      <w:r w:rsidRPr="00014E74">
        <w:rPr>
          <w:b/>
        </w:rPr>
        <w:t xml:space="preserve"> Unverzügliche Behebung von </w:t>
      </w:r>
      <w:r w:rsidRPr="00CF5C53">
        <w:rPr>
          <w:b/>
          <w:strike/>
          <w:highlight w:val="yellow"/>
        </w:rPr>
        <w:t>schwerwiegenden</w:t>
      </w:r>
      <w:r w:rsidR="00CF5C53" w:rsidRPr="00CF5C53">
        <w:rPr>
          <w:b/>
          <w:highlight w:val="yellow"/>
        </w:rPr>
        <w:t xml:space="preserve"> </w:t>
      </w:r>
      <w:commentRangeStart w:id="86"/>
      <w:r w:rsidR="00CF5C53" w:rsidRPr="00CF5C53">
        <w:rPr>
          <w:b/>
          <w:highlight w:val="yellow"/>
        </w:rPr>
        <w:t>erheblichen</w:t>
      </w:r>
      <w:commentRangeEnd w:id="86"/>
      <w:r w:rsidR="00CF5C53">
        <w:rPr>
          <w:rStyle w:val="Kommentarzeichen"/>
        </w:rPr>
        <w:commentReference w:id="86"/>
      </w:r>
      <w:r w:rsidRPr="00014E74">
        <w:rPr>
          <w:b/>
        </w:rPr>
        <w:t xml:space="preserve"> Sicherheitsvorfällen und -notfällen</w:t>
      </w:r>
    </w:p>
    <w:p w:rsidR="0071250F" w:rsidRDefault="00126BA4" w:rsidP="00014E74">
      <w:pPr>
        <w:pStyle w:val="gemEinzug"/>
        <w:kinsoku w:val="0"/>
        <w:ind w:left="709"/>
        <w:rPr>
          <w:rFonts w:ascii="Wingdings" w:hAnsi="Wingdings"/>
          <w:b/>
        </w:rPr>
      </w:pPr>
      <w:r>
        <w:t xml:space="preserve">Der </w:t>
      </w:r>
      <w:r w:rsidR="00014E74" w:rsidRPr="00014E74">
        <w:t xml:space="preserve">Anbieter </w:t>
      </w:r>
      <w:r w:rsidR="00A70225">
        <w:t>M</w:t>
      </w:r>
      <w:r>
        <w:t>U</w:t>
      </w:r>
      <w:r w:rsidR="00014E74" w:rsidRPr="00014E74">
        <w:t xml:space="preserve">SS bei </w:t>
      </w:r>
      <w:r w:rsidR="00014E74" w:rsidRPr="00CF5C53">
        <w:rPr>
          <w:strike/>
          <w:highlight w:val="yellow"/>
        </w:rPr>
        <w:t>schwerwiegenden</w:t>
      </w:r>
      <w:r w:rsidR="00014E74" w:rsidRPr="00CF5C53">
        <w:rPr>
          <w:highlight w:val="yellow"/>
        </w:rPr>
        <w:t xml:space="preserve"> </w:t>
      </w:r>
      <w:r w:rsidR="00CF5C53" w:rsidRPr="00CF5C53">
        <w:rPr>
          <w:highlight w:val="yellow"/>
        </w:rPr>
        <w:t>erheblichen</w:t>
      </w:r>
      <w:r w:rsidR="00CF5C53">
        <w:t xml:space="preserve"> </w:t>
      </w:r>
      <w:r w:rsidR="00014E74" w:rsidRPr="00014E74">
        <w:t>Sicherheitsvorfällen oder Sicherheitsnotfällen</w:t>
      </w:r>
      <w:r w:rsidR="006F55DA">
        <w:rPr>
          <w:rFonts w:cs="Arial"/>
          <w:lang w:eastAsia="ja-JP"/>
        </w:rPr>
        <w:t xml:space="preserve">, </w:t>
      </w:r>
      <w:r w:rsidR="006F55DA">
        <w:t xml:space="preserve">die Dienste der TI bzw. </w:t>
      </w:r>
      <w:r w:rsidR="006F55DA" w:rsidRPr="0047175D">
        <w:t xml:space="preserve">Dienste </w:t>
      </w:r>
      <w:r w:rsidR="006F55DA">
        <w:t>einer</w:t>
      </w:r>
      <w:r w:rsidR="006F55DA" w:rsidRPr="0047175D">
        <w:t xml:space="preserve"> </w:t>
      </w:r>
      <w:r w:rsidR="006F55DA">
        <w:t xml:space="preserve">weiteren </w:t>
      </w:r>
      <w:r w:rsidR="006F55DA" w:rsidRPr="0047175D">
        <w:t>Anwendung</w:t>
      </w:r>
      <w:r w:rsidR="006F55DA">
        <w:t xml:space="preserve"> betreffen,</w:t>
      </w:r>
      <w:r w:rsidR="00014E74" w:rsidRPr="00014E74">
        <w:t xml:space="preserve"> unverzüglich Maßnahmen zur Behebung des Vorfalls bzw. Notfalls umsetzen und den erfolgreichen Abschluss </w:t>
      </w:r>
      <w:r w:rsidR="00AC7008">
        <w:t xml:space="preserve">direkt </w:t>
      </w:r>
      <w:r w:rsidR="00014E74" w:rsidRPr="00014E74">
        <w:t xml:space="preserve">an </w:t>
      </w:r>
      <w:r w:rsidR="00733D55">
        <w:t xml:space="preserve">die gematik </w:t>
      </w:r>
      <w:r w:rsidR="00014E74" w:rsidRPr="00014E74">
        <w:t>melden.</w:t>
      </w:r>
    </w:p>
    <w:p w:rsidR="00014E74" w:rsidRPr="0071250F" w:rsidRDefault="0071250F" w:rsidP="0071250F">
      <w:pPr>
        <w:pStyle w:val="gemStandard"/>
      </w:pPr>
      <w:r>
        <w:rPr>
          <w:b/>
        </w:rPr>
        <w:lastRenderedPageBreak/>
        <w:sym w:font="Wingdings" w:char="F0D5"/>
      </w:r>
    </w:p>
    <w:p w:rsidR="000E121C" w:rsidRPr="000C6E82" w:rsidRDefault="000E121C" w:rsidP="000C6E82">
      <w:pPr>
        <w:pStyle w:val="gemStandard"/>
      </w:pPr>
      <w:r w:rsidRPr="006A7BA5">
        <w:t xml:space="preserve">Hinweis: </w:t>
      </w:r>
      <w:r>
        <w:t xml:space="preserve">ITSM-TI-Teilnehmer melden die erfolgreiche Behebung </w:t>
      </w:r>
      <w:r w:rsidR="000C6E82">
        <w:t>eines</w:t>
      </w:r>
      <w:r>
        <w:t xml:space="preserve"> Vorfalls </w:t>
      </w:r>
      <w:r w:rsidR="003802F2">
        <w:t xml:space="preserve">gemäß den Vorgaben des </w:t>
      </w:r>
      <w:r>
        <w:t>Incident</w:t>
      </w:r>
      <w:r w:rsidR="003802F2">
        <w:t xml:space="preserve"> Management</w:t>
      </w:r>
      <w:r>
        <w:t>s (vgl. [gemRL_Betr_TI]).</w:t>
      </w:r>
    </w:p>
    <w:p w:rsidR="00500114" w:rsidRPr="00B677C8" w:rsidRDefault="00484B42" w:rsidP="00500114">
      <w:pPr>
        <w:pStyle w:val="gemEinzug"/>
        <w:ind w:left="708" w:hanging="708"/>
        <w:rPr>
          <w:b/>
          <w:strike/>
          <w:highlight w:val="yellow"/>
        </w:rPr>
      </w:pPr>
      <w:r>
        <w:rPr>
          <w:b/>
          <w:strike/>
          <w:highlight w:val="yellow"/>
        </w:rPr>
        <w:t>X</w:t>
      </w:r>
      <w:r w:rsidR="00500114" w:rsidRPr="00B677C8">
        <w:rPr>
          <w:b/>
          <w:strike/>
          <w:highlight w:val="yellow"/>
        </w:rPr>
        <w:tab/>
        <w:t xml:space="preserve">GS-A_2158 Informationstechnische Trennung von Umgebungen mit </w:t>
      </w:r>
      <w:commentRangeStart w:id="87"/>
      <w:r w:rsidR="00500114" w:rsidRPr="00B677C8">
        <w:rPr>
          <w:b/>
          <w:strike/>
          <w:highlight w:val="yellow"/>
        </w:rPr>
        <w:t>Echtdaten</w:t>
      </w:r>
      <w:commentRangeEnd w:id="87"/>
      <w:r w:rsidR="00B677C8">
        <w:rPr>
          <w:rStyle w:val="Kommentarzeichen"/>
        </w:rPr>
        <w:commentReference w:id="87"/>
      </w:r>
    </w:p>
    <w:p w:rsidR="00500114" w:rsidRPr="00B677C8" w:rsidRDefault="00500114" w:rsidP="00500114">
      <w:pPr>
        <w:pStyle w:val="gemEinzug"/>
        <w:kinsoku w:val="0"/>
        <w:ind w:left="709"/>
        <w:rPr>
          <w:b/>
          <w:strike/>
          <w:highlight w:val="yellow"/>
        </w:rPr>
      </w:pPr>
      <w:r w:rsidRPr="00B677C8">
        <w:rPr>
          <w:strike/>
          <w:highlight w:val="yellow"/>
        </w:rPr>
        <w:t>Der Anbieter MUSS sicherstellen, dass die Produktivumgebung der TI des Anb</w:t>
      </w:r>
      <w:r w:rsidR="009B56E4" w:rsidRPr="00B677C8">
        <w:rPr>
          <w:strike/>
          <w:highlight w:val="yellow"/>
        </w:rPr>
        <w:t>ieters (Umgebung mit Echtdaten)</w:t>
      </w:r>
      <w:r w:rsidRPr="00B677C8">
        <w:rPr>
          <w:strike/>
          <w:highlight w:val="yellow"/>
        </w:rPr>
        <w:t xml:space="preserve"> informationstechnisch von Testumgebungen getrennt ist.</w:t>
      </w:r>
      <w:r w:rsidRPr="00B677C8">
        <w:rPr>
          <w:b/>
          <w:strike/>
          <w:highlight w:val="yellow"/>
        </w:rPr>
        <w:t xml:space="preserve"> </w:t>
      </w:r>
      <w:r w:rsidR="00484B42">
        <w:rPr>
          <w:b/>
          <w:strike/>
          <w:highlight w:val="yellow"/>
        </w:rPr>
        <w:t>X</w:t>
      </w:r>
    </w:p>
    <w:p w:rsidR="00500114" w:rsidRPr="00B677C8" w:rsidRDefault="00500114" w:rsidP="00500114">
      <w:pPr>
        <w:pStyle w:val="gemStandard"/>
        <w:rPr>
          <w:strike/>
          <w:highlight w:val="yellow"/>
        </w:rPr>
      </w:pPr>
      <w:r w:rsidRPr="00B677C8">
        <w:rPr>
          <w:strike/>
          <w:highlight w:val="yellow"/>
        </w:rPr>
        <w:t>Hinweis: Dies bedeutet insbesondere, dass in Testumgebungen keine Echtdaten der TI oder kryptographische Identitäten bzw. Schlüssel der Produktivumgebung der TI</w:t>
      </w:r>
      <w:r w:rsidR="007B55CB" w:rsidRPr="00B677C8">
        <w:rPr>
          <w:strike/>
          <w:highlight w:val="yellow"/>
        </w:rPr>
        <w:t xml:space="preserve"> verwendet werden dürfen</w:t>
      </w:r>
      <w:r w:rsidRPr="00B677C8">
        <w:rPr>
          <w:strike/>
          <w:highlight w:val="yellow"/>
        </w:rPr>
        <w:t xml:space="preserve">. Genauso dürfen </w:t>
      </w:r>
      <w:r w:rsidR="007B55CB" w:rsidRPr="00B677C8">
        <w:rPr>
          <w:strike/>
          <w:highlight w:val="yellow"/>
        </w:rPr>
        <w:t xml:space="preserve">aber auch </w:t>
      </w:r>
      <w:r w:rsidRPr="00B677C8">
        <w:rPr>
          <w:strike/>
          <w:highlight w:val="yellow"/>
        </w:rPr>
        <w:t>keine kryptographischen Identitäten bzw. Schlüssel aus Testumgebungen in der Produktivumgebung der TI genutzt werden.</w:t>
      </w:r>
    </w:p>
    <w:p w:rsidR="00500114" w:rsidRPr="00B677C8" w:rsidRDefault="00484B42" w:rsidP="00500114">
      <w:pPr>
        <w:pStyle w:val="gemEinzug"/>
        <w:ind w:left="708" w:hanging="708"/>
        <w:rPr>
          <w:b/>
          <w:strike/>
          <w:highlight w:val="yellow"/>
        </w:rPr>
      </w:pPr>
      <w:r>
        <w:rPr>
          <w:b/>
          <w:strike/>
          <w:highlight w:val="yellow"/>
        </w:rPr>
        <w:t>X</w:t>
      </w:r>
      <w:r w:rsidR="00500114" w:rsidRPr="00B677C8">
        <w:rPr>
          <w:b/>
          <w:strike/>
          <w:highlight w:val="yellow"/>
        </w:rPr>
        <w:tab/>
        <w:t>GS-A_2160 Nachweispflicht der informationstechnischen Trennung</w:t>
      </w:r>
    </w:p>
    <w:p w:rsidR="00500114" w:rsidRPr="00B677C8" w:rsidRDefault="00500114" w:rsidP="00500114">
      <w:pPr>
        <w:pStyle w:val="gemEinzug"/>
        <w:kinsoku w:val="0"/>
        <w:ind w:left="709"/>
        <w:rPr>
          <w:b/>
          <w:strike/>
        </w:rPr>
      </w:pPr>
      <w:r w:rsidRPr="00B677C8">
        <w:rPr>
          <w:strike/>
          <w:highlight w:val="yellow"/>
        </w:rPr>
        <w:t>Der Anbieter MUSS die Wirksamkeit der informationstechnischen Trennung der Produktivumgebung der TI des Anbieters von Testumgebungen nachweisen können.</w:t>
      </w:r>
      <w:r w:rsidRPr="00484B42">
        <w:rPr>
          <w:b/>
          <w:strike/>
          <w:highlight w:val="yellow"/>
        </w:rPr>
        <w:t xml:space="preserve"> </w:t>
      </w:r>
      <w:r w:rsidR="00484B42" w:rsidRPr="00484B42">
        <w:rPr>
          <w:b/>
          <w:strike/>
          <w:highlight w:val="yellow"/>
        </w:rPr>
        <w:t>X</w:t>
      </w:r>
    </w:p>
    <w:p w:rsidR="00247F7A" w:rsidRPr="00F743C2" w:rsidRDefault="00AF141A" w:rsidP="00A0435D">
      <w:pPr>
        <w:pStyle w:val="gemStandard"/>
        <w:rPr>
          <w:strike/>
          <w:highlight w:val="yellow"/>
        </w:rPr>
      </w:pPr>
      <w:commentRangeStart w:id="88"/>
      <w:r w:rsidRPr="00F743C2">
        <w:rPr>
          <w:strike/>
          <w:highlight w:val="yellow"/>
        </w:rPr>
        <w:t>Hi</w:t>
      </w:r>
      <w:r w:rsidR="00A0435D" w:rsidRPr="00F743C2">
        <w:rPr>
          <w:strike/>
          <w:highlight w:val="yellow"/>
        </w:rPr>
        <w:t>nweis</w:t>
      </w:r>
      <w:commentRangeEnd w:id="88"/>
      <w:r w:rsidR="002B48ED">
        <w:rPr>
          <w:rStyle w:val="Kommentarzeichen"/>
        </w:rPr>
        <w:commentReference w:id="88"/>
      </w:r>
      <w:r w:rsidR="00A0435D" w:rsidRPr="00F743C2">
        <w:rPr>
          <w:strike/>
          <w:highlight w:val="yellow"/>
        </w:rPr>
        <w:t xml:space="preserve"> Fachdienste VSDM: Die Zuordnung der Anforderung</w:t>
      </w:r>
      <w:r w:rsidRPr="00F743C2">
        <w:rPr>
          <w:strike/>
          <w:highlight w:val="yellow"/>
        </w:rPr>
        <w:t>en</w:t>
      </w:r>
      <w:r w:rsidR="00A0435D" w:rsidRPr="00F743C2">
        <w:rPr>
          <w:strike/>
          <w:highlight w:val="yellow"/>
        </w:rPr>
        <w:t xml:space="preserve"> </w:t>
      </w:r>
      <w:r w:rsidRPr="00F743C2">
        <w:rPr>
          <w:strike/>
          <w:highlight w:val="yellow"/>
        </w:rPr>
        <w:t>WA-A_2010, GS-A_2158 und GS-A_2160</w:t>
      </w:r>
      <w:r w:rsidR="00A0435D" w:rsidRPr="00F743C2">
        <w:rPr>
          <w:strike/>
          <w:highlight w:val="yellow"/>
        </w:rPr>
        <w:t xml:space="preserve"> zu den Fachdiensten VSDM </w:t>
      </w:r>
      <w:r w:rsidR="00DC41B4" w:rsidRPr="00F743C2">
        <w:rPr>
          <w:strike/>
          <w:highlight w:val="yellow"/>
        </w:rPr>
        <w:t>entfällt aufgrund gesetzlicher Vorgaben im SGB X</w:t>
      </w:r>
      <w:r w:rsidR="00A0435D" w:rsidRPr="00F743C2">
        <w:rPr>
          <w:strike/>
          <w:highlight w:val="yellow"/>
        </w:rPr>
        <w:t xml:space="preserve">.  </w:t>
      </w:r>
      <w:r w:rsidRPr="00F743C2">
        <w:rPr>
          <w:strike/>
          <w:highlight w:val="yellow"/>
        </w:rPr>
        <w:t xml:space="preserve"> </w:t>
      </w:r>
    </w:p>
    <w:p w:rsidR="00F37F98" w:rsidRPr="00F743C2" w:rsidRDefault="00F37F98" w:rsidP="00F37F98">
      <w:pPr>
        <w:pStyle w:val="TBD"/>
        <w:rPr>
          <w:strike/>
          <w:highlight w:val="yellow"/>
        </w:rPr>
      </w:pPr>
      <w:r w:rsidRPr="00F743C2">
        <w:rPr>
          <w:strike/>
          <w:highlight w:val="yellow"/>
        </w:rPr>
        <w:t>Der Verweis auf die konkreten Paragraphen des SGB X ist noch zu ergänzen.</w:t>
      </w:r>
    </w:p>
    <w:p w:rsidR="00AF141A" w:rsidRPr="00F743C2" w:rsidRDefault="00A0435D" w:rsidP="0071250F">
      <w:pPr>
        <w:pStyle w:val="Beschriftung"/>
        <w:rPr>
          <w:highlight w:val="yellow"/>
        </w:rPr>
      </w:pPr>
      <w:r w:rsidRPr="00F743C2">
        <w:rPr>
          <w:highlight w:val="yellow"/>
        </w:rPr>
        <w:t xml:space="preserve"> </w:t>
      </w:r>
      <w:bookmarkStart w:id="89" w:name="_Ref494702658"/>
      <w:bookmarkStart w:id="90" w:name="_Toc496518438"/>
      <w:r w:rsidR="00AF141A" w:rsidRPr="00F743C2">
        <w:rPr>
          <w:highlight w:val="yellow"/>
        </w:rPr>
        <w:t xml:space="preserve">Tabelle </w:t>
      </w:r>
      <w:r w:rsidR="00BE4606" w:rsidRPr="00F743C2">
        <w:rPr>
          <w:highlight w:val="yellow"/>
        </w:rPr>
        <w:fldChar w:fldCharType="begin"/>
      </w:r>
      <w:r w:rsidR="00BE4606" w:rsidRPr="00F743C2">
        <w:rPr>
          <w:highlight w:val="yellow"/>
        </w:rPr>
        <w:instrText xml:space="preserve"> SEQ Tabelle \* ARABIC </w:instrText>
      </w:r>
      <w:r w:rsidR="00BE4606" w:rsidRPr="00F743C2">
        <w:rPr>
          <w:highlight w:val="yellow"/>
        </w:rPr>
        <w:fldChar w:fldCharType="separate"/>
      </w:r>
      <w:r w:rsidR="002F3BBF" w:rsidRPr="00F743C2">
        <w:rPr>
          <w:noProof/>
          <w:highlight w:val="yellow"/>
        </w:rPr>
        <w:t>1</w:t>
      </w:r>
      <w:r w:rsidR="00BE4606" w:rsidRPr="00F743C2">
        <w:rPr>
          <w:noProof/>
          <w:highlight w:val="yellow"/>
        </w:rPr>
        <w:fldChar w:fldCharType="end"/>
      </w:r>
      <w:bookmarkEnd w:id="89"/>
      <w:r w:rsidR="00AF141A" w:rsidRPr="00F743C2">
        <w:rPr>
          <w:highlight w:val="yellow"/>
        </w:rPr>
        <w:t xml:space="preserve">: </w:t>
      </w:r>
      <w:r w:rsidR="00932C36" w:rsidRPr="00F743C2">
        <w:rPr>
          <w:highlight w:val="yellow"/>
        </w:rPr>
        <w:t>Nicht</w:t>
      </w:r>
      <w:r w:rsidR="00AF141A" w:rsidRPr="00F743C2">
        <w:rPr>
          <w:highlight w:val="yellow"/>
        </w:rPr>
        <w:t xml:space="preserve"> zugeordnete Anforderungen </w:t>
      </w:r>
      <w:r w:rsidR="00932C36" w:rsidRPr="00F743C2">
        <w:rPr>
          <w:highlight w:val="yellow"/>
        </w:rPr>
        <w:t xml:space="preserve">bei Anwendbarkeit </w:t>
      </w:r>
      <w:r w:rsidR="00AF141A" w:rsidRPr="00F743C2">
        <w:rPr>
          <w:highlight w:val="yellow"/>
        </w:rPr>
        <w:t>des SGB X</w:t>
      </w:r>
      <w:bookmarkEnd w:id="90"/>
    </w:p>
    <w:tbl>
      <w:tblPr>
        <w:tblStyle w:val="Tabellenraster"/>
        <w:tblW w:w="0" w:type="auto"/>
        <w:tblInd w:w="108" w:type="dxa"/>
        <w:tblLook w:val="04A0" w:firstRow="1" w:lastRow="0" w:firstColumn="1" w:lastColumn="0" w:noHBand="0" w:noVBand="1"/>
      </w:tblPr>
      <w:tblGrid>
        <w:gridCol w:w="1358"/>
        <w:gridCol w:w="6155"/>
        <w:gridCol w:w="1382"/>
      </w:tblGrid>
      <w:tr w:rsidR="00932C36" w:rsidRPr="00F743C2" w:rsidTr="00247F7A">
        <w:tc>
          <w:tcPr>
            <w:tcW w:w="1358" w:type="dxa"/>
            <w:shd w:val="clear" w:color="auto" w:fill="F2F2F2" w:themeFill="background1" w:themeFillShade="F2"/>
          </w:tcPr>
          <w:p w:rsidR="00AF141A" w:rsidRPr="00F743C2" w:rsidRDefault="00AF141A" w:rsidP="00247F7A">
            <w:pPr>
              <w:pStyle w:val="gemTab10pt"/>
              <w:rPr>
                <w:b/>
                <w:strike/>
                <w:highlight w:val="yellow"/>
              </w:rPr>
            </w:pPr>
            <w:r w:rsidRPr="00F743C2">
              <w:rPr>
                <w:b/>
                <w:strike/>
                <w:highlight w:val="yellow"/>
              </w:rPr>
              <w:t>Nr.</w:t>
            </w:r>
          </w:p>
        </w:tc>
        <w:tc>
          <w:tcPr>
            <w:tcW w:w="6155" w:type="dxa"/>
            <w:shd w:val="clear" w:color="auto" w:fill="F2F2F2" w:themeFill="background1" w:themeFillShade="F2"/>
          </w:tcPr>
          <w:p w:rsidR="00AF141A" w:rsidRPr="00F743C2" w:rsidRDefault="00AF141A" w:rsidP="00247F7A">
            <w:pPr>
              <w:pStyle w:val="gemTab10pt"/>
              <w:rPr>
                <w:b/>
                <w:strike/>
                <w:highlight w:val="yellow"/>
              </w:rPr>
            </w:pPr>
            <w:r w:rsidRPr="00F743C2">
              <w:rPr>
                <w:b/>
                <w:strike/>
                <w:highlight w:val="yellow"/>
              </w:rPr>
              <w:t>Titel</w:t>
            </w:r>
          </w:p>
        </w:tc>
        <w:tc>
          <w:tcPr>
            <w:tcW w:w="1382" w:type="dxa"/>
            <w:shd w:val="clear" w:color="auto" w:fill="F2F2F2" w:themeFill="background1" w:themeFillShade="F2"/>
          </w:tcPr>
          <w:p w:rsidR="00AF141A" w:rsidRPr="00F743C2" w:rsidRDefault="00AF141A" w:rsidP="00247F7A">
            <w:pPr>
              <w:pStyle w:val="gemTab10pt"/>
              <w:rPr>
                <w:b/>
                <w:strike/>
                <w:highlight w:val="yellow"/>
              </w:rPr>
            </w:pPr>
            <w:r w:rsidRPr="00F743C2">
              <w:rPr>
                <w:b/>
                <w:strike/>
                <w:highlight w:val="yellow"/>
              </w:rPr>
              <w:t>SGB X</w:t>
            </w:r>
          </w:p>
        </w:tc>
      </w:tr>
      <w:tr w:rsidR="00932C36" w:rsidRPr="00F743C2" w:rsidTr="00932C36">
        <w:tc>
          <w:tcPr>
            <w:tcW w:w="1358" w:type="dxa"/>
          </w:tcPr>
          <w:p w:rsidR="00AF141A" w:rsidRPr="00F743C2" w:rsidRDefault="00AF141A" w:rsidP="00247F7A">
            <w:pPr>
              <w:pStyle w:val="gemTab10pt"/>
              <w:rPr>
                <w:strike/>
                <w:highlight w:val="yellow"/>
              </w:rPr>
            </w:pPr>
            <w:r w:rsidRPr="00F743C2">
              <w:rPr>
                <w:strike/>
                <w:highlight w:val="yellow"/>
              </w:rPr>
              <w:t>WA-A_2010</w:t>
            </w:r>
          </w:p>
        </w:tc>
        <w:tc>
          <w:tcPr>
            <w:tcW w:w="6155" w:type="dxa"/>
          </w:tcPr>
          <w:p w:rsidR="00AF141A" w:rsidRPr="00F743C2" w:rsidRDefault="00AF141A" w:rsidP="00247F7A">
            <w:pPr>
              <w:pStyle w:val="gemTab10pt"/>
              <w:rPr>
                <w:strike/>
                <w:highlight w:val="yellow"/>
              </w:rPr>
            </w:pPr>
            <w:r w:rsidRPr="00F743C2">
              <w:rPr>
                <w:strike/>
                <w:highlight w:val="yellow"/>
              </w:rPr>
              <w:t>Betriebsumgebung in einem Mitgliedstaat der EU bzw. des EWR</w:t>
            </w:r>
          </w:p>
        </w:tc>
        <w:tc>
          <w:tcPr>
            <w:tcW w:w="1382" w:type="dxa"/>
          </w:tcPr>
          <w:p w:rsidR="00AF141A" w:rsidRPr="00F743C2" w:rsidRDefault="005D1E3A" w:rsidP="00247F7A">
            <w:pPr>
              <w:pStyle w:val="gemTab10pt"/>
              <w:rPr>
                <w:strike/>
                <w:highlight w:val="yellow"/>
              </w:rPr>
            </w:pPr>
            <w:r w:rsidRPr="00F743C2">
              <w:rPr>
                <w:strike/>
                <w:highlight w:val="yellow"/>
              </w:rPr>
              <w:t>TODO</w:t>
            </w:r>
          </w:p>
        </w:tc>
      </w:tr>
      <w:tr w:rsidR="00932C36" w:rsidRPr="00F743C2" w:rsidTr="00932C36">
        <w:tc>
          <w:tcPr>
            <w:tcW w:w="1358" w:type="dxa"/>
          </w:tcPr>
          <w:p w:rsidR="00AF141A" w:rsidRPr="00F743C2" w:rsidRDefault="00AF141A" w:rsidP="00247F7A">
            <w:pPr>
              <w:pStyle w:val="gemTab10pt"/>
              <w:rPr>
                <w:strike/>
                <w:highlight w:val="yellow"/>
              </w:rPr>
            </w:pPr>
            <w:r w:rsidRPr="00F743C2">
              <w:rPr>
                <w:strike/>
                <w:highlight w:val="yellow"/>
              </w:rPr>
              <w:t>GS-A_2158</w:t>
            </w:r>
          </w:p>
        </w:tc>
        <w:tc>
          <w:tcPr>
            <w:tcW w:w="6155" w:type="dxa"/>
          </w:tcPr>
          <w:p w:rsidR="00AF141A" w:rsidRPr="00F743C2" w:rsidRDefault="00AF141A" w:rsidP="00247F7A">
            <w:pPr>
              <w:pStyle w:val="gemTab10pt"/>
              <w:rPr>
                <w:strike/>
                <w:highlight w:val="yellow"/>
              </w:rPr>
            </w:pPr>
            <w:r w:rsidRPr="00F743C2">
              <w:rPr>
                <w:strike/>
                <w:highlight w:val="yellow"/>
              </w:rPr>
              <w:t>Informationstechnische Trennung von Umgebungen mit Echtdaten</w:t>
            </w:r>
          </w:p>
        </w:tc>
        <w:tc>
          <w:tcPr>
            <w:tcW w:w="1382" w:type="dxa"/>
          </w:tcPr>
          <w:p w:rsidR="00AF141A" w:rsidRPr="00F743C2" w:rsidRDefault="005D1E3A" w:rsidP="00247F7A">
            <w:pPr>
              <w:pStyle w:val="gemTab10pt"/>
              <w:rPr>
                <w:strike/>
                <w:highlight w:val="yellow"/>
              </w:rPr>
            </w:pPr>
            <w:r w:rsidRPr="00F743C2">
              <w:rPr>
                <w:strike/>
                <w:highlight w:val="yellow"/>
              </w:rPr>
              <w:t>TODO</w:t>
            </w:r>
          </w:p>
        </w:tc>
      </w:tr>
      <w:tr w:rsidR="00932C36" w:rsidRPr="00F743C2" w:rsidTr="00932C36">
        <w:tc>
          <w:tcPr>
            <w:tcW w:w="1358" w:type="dxa"/>
          </w:tcPr>
          <w:p w:rsidR="00AF141A" w:rsidRPr="00F743C2" w:rsidRDefault="00AF141A" w:rsidP="00247F7A">
            <w:pPr>
              <w:pStyle w:val="gemTab10pt"/>
              <w:rPr>
                <w:strike/>
                <w:highlight w:val="yellow"/>
              </w:rPr>
            </w:pPr>
            <w:r w:rsidRPr="00F743C2">
              <w:rPr>
                <w:strike/>
                <w:highlight w:val="yellow"/>
              </w:rPr>
              <w:t>GS-A_2160</w:t>
            </w:r>
          </w:p>
        </w:tc>
        <w:tc>
          <w:tcPr>
            <w:tcW w:w="6155" w:type="dxa"/>
          </w:tcPr>
          <w:p w:rsidR="00AF141A" w:rsidRPr="00F743C2" w:rsidRDefault="00AF141A" w:rsidP="00247F7A">
            <w:pPr>
              <w:pStyle w:val="gemTab10pt"/>
              <w:rPr>
                <w:strike/>
                <w:highlight w:val="yellow"/>
              </w:rPr>
            </w:pPr>
            <w:r w:rsidRPr="00F743C2">
              <w:rPr>
                <w:strike/>
                <w:highlight w:val="yellow"/>
              </w:rPr>
              <w:t>Nachweispflicht der informationstechnischen Trennung</w:t>
            </w:r>
          </w:p>
        </w:tc>
        <w:tc>
          <w:tcPr>
            <w:tcW w:w="1382" w:type="dxa"/>
          </w:tcPr>
          <w:p w:rsidR="00AF141A" w:rsidRPr="00F743C2" w:rsidRDefault="005D1E3A" w:rsidP="00247F7A">
            <w:pPr>
              <w:pStyle w:val="gemTab10pt"/>
              <w:rPr>
                <w:strike/>
              </w:rPr>
            </w:pPr>
            <w:r w:rsidRPr="00F743C2">
              <w:rPr>
                <w:strike/>
                <w:highlight w:val="yellow"/>
              </w:rPr>
              <w:t>TODO</w:t>
            </w:r>
          </w:p>
        </w:tc>
      </w:tr>
    </w:tbl>
    <w:p w:rsidR="009A401C" w:rsidRDefault="009A401C" w:rsidP="0071250F">
      <w:pPr>
        <w:pStyle w:val="berschrift2"/>
      </w:pPr>
      <w:bookmarkStart w:id="91" w:name="_Toc496278482"/>
      <w:bookmarkStart w:id="92" w:name="_Toc496518248"/>
      <w:bookmarkStart w:id="93" w:name="_Ref476238799"/>
      <w:bookmarkStart w:id="94" w:name="_Toc503165501"/>
      <w:bookmarkEnd w:id="91"/>
      <w:bookmarkEnd w:id="92"/>
      <w:r>
        <w:t xml:space="preserve">Modul </w:t>
      </w:r>
      <w:r w:rsidR="00C403FC">
        <w:t>„</w:t>
      </w:r>
      <w:r>
        <w:t>Basis-ISMS</w:t>
      </w:r>
      <w:r w:rsidR="00C403FC">
        <w:t>“</w:t>
      </w:r>
      <w:bookmarkEnd w:id="93"/>
      <w:bookmarkEnd w:id="94"/>
    </w:p>
    <w:p w:rsidR="00516D53" w:rsidRDefault="00516D53" w:rsidP="00516D53">
      <w:pPr>
        <w:pStyle w:val="gemStandard"/>
      </w:pPr>
      <w:r>
        <w:t>Die Anforderungen dieses Moduls richten sich an die Ausgestaltung des ISMS beim Anbieter.</w:t>
      </w:r>
    </w:p>
    <w:p w:rsidR="00110C1D" w:rsidRPr="004A09C0" w:rsidRDefault="00110C1D" w:rsidP="004C39A0">
      <w:pPr>
        <w:pStyle w:val="gemStandard"/>
        <w:ind w:left="708" w:hanging="708"/>
        <w:rPr>
          <w:b/>
        </w:rPr>
      </w:pPr>
      <w:r w:rsidRPr="004A09C0">
        <w:rPr>
          <w:b/>
        </w:rPr>
        <w:sym w:font="Wingdings" w:char="F0D6"/>
      </w:r>
      <w:r w:rsidRPr="004A09C0">
        <w:rPr>
          <w:b/>
        </w:rPr>
        <w:tab/>
        <w:t>GS-A_4980</w:t>
      </w:r>
      <w:r w:rsidR="00484B42" w:rsidRPr="00484B42">
        <w:rPr>
          <w:b/>
          <w:highlight w:val="yellow"/>
        </w:rPr>
        <w:t>-01</w:t>
      </w:r>
      <w:r w:rsidRPr="004A09C0">
        <w:rPr>
          <w:b/>
        </w:rPr>
        <w:t xml:space="preserve"> Umsetzung der Norm ISO/IEC 27001</w:t>
      </w:r>
    </w:p>
    <w:p w:rsidR="0071250F" w:rsidRDefault="003568E4" w:rsidP="00110C1D">
      <w:pPr>
        <w:pStyle w:val="gemEinzug"/>
        <w:kinsoku w:val="0"/>
        <w:ind w:left="709"/>
        <w:rPr>
          <w:b/>
        </w:rPr>
      </w:pPr>
      <w:r>
        <w:t xml:space="preserve">Der </w:t>
      </w:r>
      <w:r w:rsidR="00110C1D">
        <w:t xml:space="preserve">Anbieter </w:t>
      </w:r>
      <w:r w:rsidR="00110C1D" w:rsidRPr="004A09C0">
        <w:t>M</w:t>
      </w:r>
      <w:r>
        <w:t>U</w:t>
      </w:r>
      <w:r w:rsidR="00110C1D" w:rsidRPr="004A09C0">
        <w:t xml:space="preserve">SS für </w:t>
      </w:r>
      <w:r w:rsidR="00B83D4C">
        <w:t xml:space="preserve">mindestens </w:t>
      </w:r>
      <w:r w:rsidR="00110C1D" w:rsidRPr="004A09C0">
        <w:t xml:space="preserve">genau die Umgebungen, in denen </w:t>
      </w:r>
      <w:r>
        <w:t>die Dienste der TI bzw. die weiteren Anwendungen</w:t>
      </w:r>
      <w:r w:rsidR="00110C1D" w:rsidRPr="004A09C0">
        <w:t xml:space="preserve"> betrieben werden, die internationale Norm ISO/IEC 27001 umsetzen.</w:t>
      </w:r>
    </w:p>
    <w:p w:rsidR="00110C1D" w:rsidRPr="0071250F" w:rsidRDefault="0071250F" w:rsidP="0071250F">
      <w:pPr>
        <w:pStyle w:val="gemStandard"/>
      </w:pPr>
      <w:r>
        <w:rPr>
          <w:b/>
        </w:rPr>
        <w:sym w:font="Wingdings" w:char="F0D5"/>
      </w:r>
    </w:p>
    <w:p w:rsidR="00110C1D" w:rsidRPr="00110C1D" w:rsidRDefault="00110C1D" w:rsidP="00110C1D">
      <w:pPr>
        <w:pStyle w:val="gemStandard"/>
      </w:pPr>
      <w:r w:rsidRPr="00C403FC">
        <w:t xml:space="preserve">Hinweis: </w:t>
      </w:r>
      <w:r w:rsidR="00377677">
        <w:t xml:space="preserve">Falls Anbieter direkt von der gematik beauftragt werden, kann </w:t>
      </w:r>
      <w:r>
        <w:t xml:space="preserve">zusätzlich eine </w:t>
      </w:r>
      <w:r w:rsidRPr="004A09C0">
        <w:t>ISO 27001-</w:t>
      </w:r>
      <w:r>
        <w:t xml:space="preserve">Zertifizierung </w:t>
      </w:r>
      <w:r w:rsidRPr="004A09C0">
        <w:t>mit einem Geltungs</w:t>
      </w:r>
      <w:r w:rsidRPr="004A09C0">
        <w:softHyphen/>
        <w:t xml:space="preserve">bereich, der den betriebenen Dienst </w:t>
      </w:r>
      <w:r w:rsidR="003568E4">
        <w:t xml:space="preserve">der TI </w:t>
      </w:r>
      <w:r w:rsidRPr="004A09C0">
        <w:t xml:space="preserve">und die unterstützenden Systeme umfasst, </w:t>
      </w:r>
      <w:r>
        <w:t>gefordert w</w:t>
      </w:r>
      <w:r w:rsidR="00377677">
        <w:t>e</w:t>
      </w:r>
      <w:r>
        <w:t>rd</w:t>
      </w:r>
      <w:r w:rsidR="00377677">
        <w:t>en</w:t>
      </w:r>
      <w:r>
        <w:t xml:space="preserve">. </w:t>
      </w:r>
    </w:p>
    <w:p w:rsidR="00110C1D" w:rsidRPr="004A09C0" w:rsidRDefault="00110C1D" w:rsidP="004C39A0">
      <w:pPr>
        <w:pStyle w:val="gemStandard"/>
        <w:ind w:left="708" w:hanging="708"/>
        <w:rPr>
          <w:b/>
        </w:rPr>
      </w:pPr>
      <w:r w:rsidRPr="004A09C0">
        <w:rPr>
          <w:b/>
        </w:rPr>
        <w:sym w:font="Wingdings" w:char="F0D6"/>
      </w:r>
      <w:r w:rsidRPr="004A09C0">
        <w:rPr>
          <w:b/>
        </w:rPr>
        <w:tab/>
        <w:t>GS-A_4981</w:t>
      </w:r>
      <w:r w:rsidR="00484B42" w:rsidRPr="00484B42">
        <w:rPr>
          <w:b/>
          <w:highlight w:val="yellow"/>
        </w:rPr>
        <w:t>-01</w:t>
      </w:r>
      <w:r w:rsidR="00484B42" w:rsidRPr="004A09C0">
        <w:rPr>
          <w:b/>
        </w:rPr>
        <w:t xml:space="preserve"> </w:t>
      </w:r>
      <w:r w:rsidRPr="004A09C0">
        <w:rPr>
          <w:b/>
        </w:rPr>
        <w:t>Erreichen der Ziele der Norm ISO/IEC 27001 Annex A</w:t>
      </w:r>
    </w:p>
    <w:p w:rsidR="0071250F" w:rsidRDefault="003568E4" w:rsidP="004C39A0">
      <w:pPr>
        <w:pStyle w:val="gemEinzug"/>
        <w:kinsoku w:val="0"/>
        <w:ind w:left="709"/>
        <w:rPr>
          <w:b/>
        </w:rPr>
      </w:pPr>
      <w:r>
        <w:t xml:space="preserve">Der </w:t>
      </w:r>
      <w:r w:rsidR="00110C1D">
        <w:t xml:space="preserve">Anbieter </w:t>
      </w:r>
      <w:r w:rsidR="00110C1D" w:rsidRPr="004A09C0">
        <w:t>M</w:t>
      </w:r>
      <w:r>
        <w:t>U</w:t>
      </w:r>
      <w:r w:rsidR="00110C1D" w:rsidRPr="004A09C0">
        <w:t xml:space="preserve">SS für </w:t>
      </w:r>
      <w:r w:rsidR="00B83D4C">
        <w:t>mindestens</w:t>
      </w:r>
      <w:r w:rsidR="00B83D4C" w:rsidRPr="004A09C0">
        <w:t xml:space="preserve"> </w:t>
      </w:r>
      <w:r w:rsidR="00110C1D" w:rsidRPr="004A09C0">
        <w:t xml:space="preserve">genau die Umgebungen, in denen </w:t>
      </w:r>
      <w:r>
        <w:t>die Dienste der TI bzw. die weiteren Anwendungen</w:t>
      </w:r>
      <w:r w:rsidRPr="004A09C0">
        <w:t xml:space="preserve"> </w:t>
      </w:r>
      <w:r w:rsidR="00110C1D" w:rsidRPr="004A09C0">
        <w:t xml:space="preserve">betrieben werden, zu allen gemäß der </w:t>
      </w:r>
      <w:r w:rsidR="00110C1D" w:rsidRPr="004A09C0">
        <w:lastRenderedPageBreak/>
        <w:t>Erklärung der An</w:t>
      </w:r>
      <w:r w:rsidR="00110C1D" w:rsidRPr="004A09C0">
        <w:softHyphen/>
        <w:t>wend</w:t>
      </w:r>
      <w:r w:rsidR="00110C1D" w:rsidRPr="004A09C0">
        <w:softHyphen/>
        <w:t xml:space="preserve">barkeit (engl. „Statement of Applicability“) anwendbaren Maßnahmen (engl. „controls“) der internationalen Norm ISO/IEC 27001 ergreifen und die dort angegebenen Ziele (engl. „objectives“) erreichen. </w:t>
      </w:r>
    </w:p>
    <w:p w:rsidR="00110C1D" w:rsidRPr="0071250F" w:rsidRDefault="0071250F" w:rsidP="0071250F">
      <w:pPr>
        <w:pStyle w:val="gemStandard"/>
      </w:pPr>
      <w:r>
        <w:rPr>
          <w:b/>
        </w:rPr>
        <w:sym w:font="Wingdings" w:char="F0D5"/>
      </w:r>
    </w:p>
    <w:p w:rsidR="00110C1D" w:rsidRPr="004A09C0" w:rsidRDefault="00110C1D" w:rsidP="00110C1D">
      <w:pPr>
        <w:pStyle w:val="gemStandard"/>
        <w:tabs>
          <w:tab w:val="left" w:pos="567"/>
        </w:tabs>
        <w:ind w:left="567" w:hanging="567"/>
        <w:rPr>
          <w:b/>
        </w:rPr>
      </w:pPr>
      <w:r w:rsidRPr="004A09C0">
        <w:rPr>
          <w:b/>
        </w:rPr>
        <w:sym w:font="Wingdings" w:char="F0D6"/>
      </w:r>
      <w:r w:rsidRPr="004A09C0">
        <w:rPr>
          <w:b/>
        </w:rPr>
        <w:tab/>
      </w:r>
      <w:r w:rsidR="00556D48">
        <w:rPr>
          <w:b/>
        </w:rPr>
        <w:t xml:space="preserve"> </w:t>
      </w:r>
      <w:r w:rsidRPr="004A09C0">
        <w:rPr>
          <w:b/>
        </w:rPr>
        <w:t>GS-A_4982</w:t>
      </w:r>
      <w:r w:rsidR="00484B42" w:rsidRPr="00484B42">
        <w:rPr>
          <w:b/>
          <w:highlight w:val="yellow"/>
        </w:rPr>
        <w:t>-01</w:t>
      </w:r>
      <w:r w:rsidR="00484B42" w:rsidRPr="004A09C0">
        <w:rPr>
          <w:b/>
        </w:rPr>
        <w:t xml:space="preserve"> </w:t>
      </w:r>
      <w:r w:rsidRPr="004A09C0">
        <w:rPr>
          <w:b/>
        </w:rPr>
        <w:t>Umsetzung der Maßnahmen der Norm ISO/IEC 27002</w:t>
      </w:r>
    </w:p>
    <w:p w:rsidR="0071250F" w:rsidRDefault="003568E4" w:rsidP="004C39A0">
      <w:pPr>
        <w:pStyle w:val="gemEinzug"/>
        <w:kinsoku w:val="0"/>
        <w:ind w:left="709"/>
        <w:rPr>
          <w:b/>
        </w:rPr>
      </w:pPr>
      <w:r>
        <w:t xml:space="preserve">Der </w:t>
      </w:r>
      <w:r w:rsidR="00110C1D">
        <w:t xml:space="preserve">Anbieter </w:t>
      </w:r>
      <w:r>
        <w:t>SOLL</w:t>
      </w:r>
      <w:r w:rsidR="00110C1D" w:rsidRPr="004A09C0">
        <w:t xml:space="preserve"> für </w:t>
      </w:r>
      <w:r w:rsidR="00B83D4C">
        <w:t>mindestens</w:t>
      </w:r>
      <w:r w:rsidR="00B83D4C" w:rsidRPr="004A09C0">
        <w:t xml:space="preserve"> </w:t>
      </w:r>
      <w:r w:rsidR="00110C1D" w:rsidRPr="004A09C0">
        <w:t xml:space="preserve">genau die Umgebungen, in denen </w:t>
      </w:r>
      <w:r>
        <w:t>die Dienste der TI bzw. die weiteren Anwendungen</w:t>
      </w:r>
      <w:r w:rsidRPr="004A09C0">
        <w:t xml:space="preserve"> </w:t>
      </w:r>
      <w:r w:rsidR="00110C1D" w:rsidRPr="004A09C0">
        <w:t>betrieben werden, bei</w:t>
      </w:r>
      <w:r w:rsidR="008D4E61">
        <w:t>m</w:t>
      </w:r>
      <w:r w:rsidR="00110C1D" w:rsidRPr="004A09C0">
        <w:t xml:space="preserve"> Ergreif</w:t>
      </w:r>
      <w:r w:rsidR="008D4E61">
        <w:t>en</w:t>
      </w:r>
      <w:r w:rsidR="00110C1D" w:rsidRPr="004A09C0">
        <w:t xml:space="preserve"> der Maßnahmen (engl. „controls“) aus der internationalen Norm ISO/IEC 27002 die dort angegebene „Anleitung zur Umsetzung“ (engl. „implementation guida</w:t>
      </w:r>
      <w:r w:rsidR="006F40B3">
        <w:t>nce“) und die dort angegebenen „</w:t>
      </w:r>
      <w:r w:rsidR="00110C1D" w:rsidRPr="004A09C0">
        <w:t>Weiteren Informationen</w:t>
      </w:r>
      <w:r w:rsidR="006F40B3">
        <w:t>“</w:t>
      </w:r>
      <w:r w:rsidR="00110C1D" w:rsidRPr="004A09C0">
        <w:t xml:space="preserve"> (engl. „</w:t>
      </w:r>
      <w:proofErr w:type="spellStart"/>
      <w:r w:rsidR="00110C1D" w:rsidRPr="004A09C0">
        <w:t>other</w:t>
      </w:r>
      <w:proofErr w:type="spellEnd"/>
      <w:r w:rsidR="00110C1D" w:rsidRPr="004A09C0">
        <w:t xml:space="preserve"> </w:t>
      </w:r>
      <w:proofErr w:type="spellStart"/>
      <w:r w:rsidR="00110C1D" w:rsidRPr="004A09C0">
        <w:t>information</w:t>
      </w:r>
      <w:proofErr w:type="spellEnd"/>
      <w:r w:rsidR="00110C1D" w:rsidRPr="004A09C0">
        <w:t>“) befolgen.</w:t>
      </w:r>
    </w:p>
    <w:p w:rsidR="00110C1D" w:rsidRPr="0071250F" w:rsidRDefault="0071250F" w:rsidP="0071250F">
      <w:pPr>
        <w:pStyle w:val="gemStandard"/>
        <w:rPr>
          <w:b/>
        </w:rPr>
      </w:pPr>
      <w:r>
        <w:rPr>
          <w:b/>
        </w:rPr>
        <w:sym w:font="Wingdings" w:char="F0D5"/>
      </w:r>
      <w:r w:rsidR="003568E4" w:rsidRPr="0071250F">
        <w:rPr>
          <w:b/>
        </w:rPr>
        <w:t xml:space="preserve"> </w:t>
      </w:r>
    </w:p>
    <w:p w:rsidR="001B15A7" w:rsidRPr="00B95BCC" w:rsidRDefault="00110C1D" w:rsidP="00110C1D">
      <w:pPr>
        <w:pStyle w:val="gemEinzug"/>
        <w:ind w:left="0"/>
      </w:pPr>
      <w:r w:rsidRPr="00B95BCC">
        <w:t xml:space="preserve">Hinweis: Der Nachweis der Umsetzung der Anforderungen GS-A_4980, GS-A_4981 und GS-A_4982 kann </w:t>
      </w:r>
      <w:r>
        <w:t xml:space="preserve">durch Vorlage eines </w:t>
      </w:r>
      <w:r w:rsidR="003568E4">
        <w:t>ISO27001-</w:t>
      </w:r>
      <w:r w:rsidRPr="00B95BCC">
        <w:t>Zertifikat</w:t>
      </w:r>
      <w:r w:rsidR="003E2A54">
        <w:t>s</w:t>
      </w:r>
      <w:r w:rsidRPr="00B95BCC">
        <w:t xml:space="preserve">, welches den Geltungsbereich des </w:t>
      </w:r>
      <w:r w:rsidR="003568E4">
        <w:t>Dienstes der TI bzw. der weiteren Anwendung</w:t>
      </w:r>
      <w:r w:rsidR="003568E4" w:rsidRPr="004A09C0">
        <w:t xml:space="preserve"> </w:t>
      </w:r>
      <w:r w:rsidRPr="004A09C0">
        <w:t>und d</w:t>
      </w:r>
      <w:r>
        <w:t>er</w:t>
      </w:r>
      <w:r w:rsidRPr="004A09C0">
        <w:t xml:space="preserve"> unterstützenden Systeme umfasst</w:t>
      </w:r>
      <w:r>
        <w:t xml:space="preserve">, </w:t>
      </w:r>
      <w:r w:rsidR="00040FAF">
        <w:t>erfolgen</w:t>
      </w:r>
      <w:r w:rsidR="00484B42">
        <w:t>.</w:t>
      </w:r>
    </w:p>
    <w:p w:rsidR="00110C1D" w:rsidRPr="004A09C0" w:rsidRDefault="00110C1D" w:rsidP="00CD474B">
      <w:pPr>
        <w:pStyle w:val="gemStandard"/>
        <w:ind w:left="708" w:hanging="708"/>
        <w:rPr>
          <w:b/>
        </w:rPr>
      </w:pPr>
      <w:r w:rsidRPr="004A09C0">
        <w:rPr>
          <w:b/>
        </w:rPr>
        <w:sym w:font="Wingdings" w:char="F0D6"/>
      </w:r>
      <w:r w:rsidRPr="004A09C0">
        <w:rPr>
          <w:b/>
        </w:rPr>
        <w:tab/>
        <w:t>GS-A_4983</w:t>
      </w:r>
      <w:r w:rsidR="00484B42" w:rsidRPr="00484B42">
        <w:rPr>
          <w:b/>
          <w:highlight w:val="yellow"/>
        </w:rPr>
        <w:t>-01</w:t>
      </w:r>
      <w:r w:rsidR="00484B42" w:rsidRPr="004A09C0">
        <w:rPr>
          <w:b/>
        </w:rPr>
        <w:t xml:space="preserve"> </w:t>
      </w:r>
      <w:r w:rsidRPr="004A09C0">
        <w:rPr>
          <w:b/>
        </w:rPr>
        <w:t>Umsetzung der Maßnahmen aus dem BSI-Grundschutz</w:t>
      </w:r>
    </w:p>
    <w:p w:rsidR="0071250F" w:rsidRDefault="003568E4" w:rsidP="00CD474B">
      <w:pPr>
        <w:pStyle w:val="gemEinzug"/>
        <w:kinsoku w:val="0"/>
        <w:ind w:left="709"/>
        <w:rPr>
          <w:b/>
        </w:rPr>
      </w:pPr>
      <w:r>
        <w:t xml:space="preserve">Der </w:t>
      </w:r>
      <w:r w:rsidR="00110C1D">
        <w:t xml:space="preserve">Anbieter </w:t>
      </w:r>
      <w:r w:rsidR="00110C1D" w:rsidRPr="004A09C0">
        <w:t xml:space="preserve">SOLL für </w:t>
      </w:r>
      <w:r w:rsidR="00B83D4C">
        <w:t>mindestens</w:t>
      </w:r>
      <w:r w:rsidR="00B83D4C" w:rsidRPr="004A09C0">
        <w:t xml:space="preserve"> </w:t>
      </w:r>
      <w:r w:rsidR="00110C1D" w:rsidRPr="004A09C0">
        <w:t xml:space="preserve">genau die Umgebungen, in denen </w:t>
      </w:r>
      <w:r>
        <w:t>die Dienste der TI bzw. die weiteren Anwendungen</w:t>
      </w:r>
      <w:r w:rsidRPr="004A09C0">
        <w:t xml:space="preserve"> </w:t>
      </w:r>
      <w:r w:rsidR="00110C1D" w:rsidRPr="004A09C0">
        <w:t>betrieben werden, bei der Umsetzung der inter</w:t>
      </w:r>
      <w:r w:rsidR="00110C1D" w:rsidRPr="004A09C0">
        <w:softHyphen/>
        <w:t xml:space="preserve">nationalen Normen ISO/IEC 27001 und ISO/IEC 27002 die </w:t>
      </w:r>
      <w:commentRangeStart w:id="95"/>
      <w:r w:rsidR="00110C1D" w:rsidRPr="00425F2D">
        <w:rPr>
          <w:strike/>
          <w:highlight w:val="yellow"/>
        </w:rPr>
        <w:t>zugehörigen</w:t>
      </w:r>
      <w:commentRangeEnd w:id="95"/>
      <w:r w:rsidR="00FD4A76">
        <w:rPr>
          <w:rStyle w:val="Kommentarzeichen"/>
        </w:rPr>
        <w:commentReference w:id="95"/>
      </w:r>
      <w:r w:rsidR="00110C1D" w:rsidRPr="00425F2D">
        <w:rPr>
          <w:strike/>
          <w:highlight w:val="yellow"/>
        </w:rPr>
        <w:t xml:space="preserve"> Maßnahmen</w:t>
      </w:r>
      <w:r w:rsidR="00110C1D" w:rsidRPr="004A09C0">
        <w:t xml:space="preserve"> </w:t>
      </w:r>
      <w:r w:rsidR="00425F2D" w:rsidRPr="00425F2D">
        <w:rPr>
          <w:highlight w:val="yellow"/>
        </w:rPr>
        <w:t>anwendbaren Anforderungen</w:t>
      </w:r>
      <w:r w:rsidR="00425F2D">
        <w:t xml:space="preserve"> </w:t>
      </w:r>
      <w:r w:rsidR="00110C1D" w:rsidRPr="004A09C0">
        <w:t xml:space="preserve">des </w:t>
      </w:r>
      <w:r w:rsidR="00110C1D" w:rsidRPr="00425F2D">
        <w:rPr>
          <w:strike/>
          <w:highlight w:val="yellow"/>
        </w:rPr>
        <w:t>BSI-Grundschutzkatalogs</w:t>
      </w:r>
      <w:r w:rsidR="00110C1D" w:rsidRPr="004A09C0">
        <w:t xml:space="preserve"> </w:t>
      </w:r>
      <w:r w:rsidR="00425F2D" w:rsidRPr="00425F2D">
        <w:rPr>
          <w:highlight w:val="yellow"/>
        </w:rPr>
        <w:t>BSI-Grundschutzkompendiums oder entsprechende Maßnahmen, die ein vergleichbares Sicherheitsniveau gewährleisten,</w:t>
      </w:r>
      <w:r w:rsidR="00425F2D">
        <w:t xml:space="preserve"> </w:t>
      </w:r>
      <w:r w:rsidR="00110C1D" w:rsidRPr="004A09C0">
        <w:t xml:space="preserve">umsetzen </w:t>
      </w:r>
      <w:r w:rsidR="00110C1D" w:rsidRPr="00425F2D">
        <w:rPr>
          <w:strike/>
          <w:highlight w:val="yellow"/>
        </w:rPr>
        <w:t>(vgl. Zu</w:t>
      </w:r>
      <w:r w:rsidR="00110C1D" w:rsidRPr="00425F2D">
        <w:rPr>
          <w:strike/>
          <w:highlight w:val="yellow"/>
        </w:rPr>
        <w:softHyphen/>
        <w:t>ordnungs</w:t>
      </w:r>
      <w:r w:rsidR="00110C1D" w:rsidRPr="00425F2D">
        <w:rPr>
          <w:strike/>
          <w:highlight w:val="yellow"/>
        </w:rPr>
        <w:softHyphen/>
        <w:t>tabelle ISO 27001 sowie ISO 27002 und IT-Grundschutz des BSI)</w:t>
      </w:r>
      <w:r w:rsidR="00110C1D" w:rsidRPr="004A09C0">
        <w:t>.</w:t>
      </w:r>
    </w:p>
    <w:p w:rsidR="0075066F" w:rsidRPr="0071250F" w:rsidRDefault="0071250F" w:rsidP="0071250F">
      <w:pPr>
        <w:pStyle w:val="gemStandard"/>
        <w:rPr>
          <w:b/>
        </w:rPr>
      </w:pPr>
      <w:r>
        <w:rPr>
          <w:b/>
        </w:rPr>
        <w:sym w:font="Wingdings" w:char="F0D5"/>
      </w:r>
      <w:r w:rsidR="003568E4" w:rsidRPr="0071250F">
        <w:rPr>
          <w:b/>
        </w:rPr>
        <w:t xml:space="preserve"> </w:t>
      </w:r>
    </w:p>
    <w:p w:rsidR="00C12354" w:rsidRPr="009B46CF" w:rsidRDefault="00C12354" w:rsidP="00C12354">
      <w:pPr>
        <w:pStyle w:val="gemStandard"/>
        <w:rPr>
          <w:b/>
        </w:rPr>
      </w:pPr>
      <w:r w:rsidRPr="00C12354">
        <w:rPr>
          <w:highlight w:val="yellow"/>
        </w:rPr>
        <w:t>Hinweis:</w:t>
      </w:r>
      <w:r>
        <w:rPr>
          <w:highlight w:val="yellow"/>
        </w:rPr>
        <w:t xml:space="preserve"> </w:t>
      </w:r>
      <w:r w:rsidRPr="00C12354">
        <w:rPr>
          <w:highlight w:val="yellow"/>
        </w:rPr>
        <w:t xml:space="preserve">Der Anbieter muss aufgrund der Anforderung GS-A_4983 neben der nativen ISO 27001 Vorgehensweise nicht die Grundschutzvorgehensweise (BSI Standard 200-X) umsetzen. Eine zusätzliche Dokumentation ist aufgrund der Anforderung nicht erforderlich. Das BSI Grundschutzkompendium beschreibt zu erreichende Sicherheitsanforderungen detaillierter als die Normen ISO 27001 und ISO 27002. Hierdurch soll eine gemeinsame Baseline anhand des BSI Grundschutzkompendiums über das erforderliche Sicherheitsniveau und die Angemessenheit von Maßnahmen erlangt werden. Beispielsweise wird es einem Sicherheitsgutachter hierdurch erleichtert, die Angemessenheit von getroffenen Sicherheitsmaßnahmen besser </w:t>
      </w:r>
      <w:commentRangeStart w:id="96"/>
      <w:r w:rsidRPr="00C12354">
        <w:rPr>
          <w:highlight w:val="yellow"/>
        </w:rPr>
        <w:t>einzuschätzen</w:t>
      </w:r>
      <w:commentRangeEnd w:id="96"/>
      <w:r w:rsidRPr="00C12354">
        <w:rPr>
          <w:rStyle w:val="Kommentarzeichen"/>
          <w:highlight w:val="yellow"/>
        </w:rPr>
        <w:commentReference w:id="96"/>
      </w:r>
      <w:r w:rsidRPr="00C12354">
        <w:rPr>
          <w:highlight w:val="yellow"/>
        </w:rPr>
        <w:t>.</w:t>
      </w:r>
    </w:p>
    <w:p w:rsidR="007E6A37" w:rsidRPr="009D06FC" w:rsidRDefault="0025634E" w:rsidP="00CD474B">
      <w:pPr>
        <w:pStyle w:val="gemStandard"/>
        <w:ind w:left="708" w:hanging="708"/>
        <w:rPr>
          <w:b/>
        </w:rPr>
      </w:pPr>
      <w:r w:rsidRPr="001514A3">
        <w:rPr>
          <w:b/>
        </w:rPr>
        <w:t xml:space="preserve"> </w:t>
      </w:r>
      <w:r w:rsidR="007E6A37" w:rsidRPr="009D06FC">
        <w:rPr>
          <w:b/>
        </w:rPr>
        <w:sym w:font="Wingdings" w:char="F0D6"/>
      </w:r>
      <w:r w:rsidR="007E6A37" w:rsidRPr="009D06FC">
        <w:rPr>
          <w:b/>
        </w:rPr>
        <w:tab/>
        <w:t>GS-A_3737</w:t>
      </w:r>
      <w:r w:rsidR="00484B42" w:rsidRPr="00484B42">
        <w:rPr>
          <w:b/>
          <w:highlight w:val="yellow"/>
        </w:rPr>
        <w:t>-01</w:t>
      </w:r>
      <w:r w:rsidR="007E6A37" w:rsidRPr="009D06FC">
        <w:rPr>
          <w:b/>
        </w:rPr>
        <w:t xml:space="preserve"> </w:t>
      </w:r>
      <w:r w:rsidR="00284C89">
        <w:rPr>
          <w:b/>
        </w:rPr>
        <w:t>Sicherheitskonzept</w:t>
      </w:r>
    </w:p>
    <w:p w:rsidR="007E6A37" w:rsidRPr="009D06FC" w:rsidRDefault="007E6A37" w:rsidP="00CD474B">
      <w:pPr>
        <w:pStyle w:val="gemEinzug"/>
        <w:kinsoku w:val="0"/>
        <w:ind w:left="709"/>
      </w:pPr>
      <w:r w:rsidRPr="009D06FC">
        <w:t xml:space="preserve">Der Anbieter MUSS </w:t>
      </w:r>
      <w:r w:rsidR="00032F96">
        <w:t>die von ihm betriebenen Dienste</w:t>
      </w:r>
      <w:r w:rsidR="00973A17">
        <w:t xml:space="preserve"> der TI bzw. weiteren Anwendungen</w:t>
      </w:r>
      <w:r w:rsidR="00032F96">
        <w:t xml:space="preserve"> in seine bestehende Sicherheitskonzeption einbinden oder </w:t>
      </w:r>
      <w:r w:rsidRPr="009D06FC">
        <w:t>ein betreiberspezifisches Sicherheitskonzept erstellen</w:t>
      </w:r>
      <w:r w:rsidR="00032F96">
        <w:t xml:space="preserve">. Folgende </w:t>
      </w:r>
      <w:r>
        <w:t>Inhalte</w:t>
      </w:r>
      <w:r w:rsidR="00032F96">
        <w:t xml:space="preserve"> </w:t>
      </w:r>
      <w:r w:rsidR="00C40F05">
        <w:t xml:space="preserve">MÜSSEN vom Anbieter </w:t>
      </w:r>
      <w:r w:rsidR="00032F96">
        <w:t>mindestens dokumentiert werden</w:t>
      </w:r>
      <w:r w:rsidRPr="009D06FC">
        <w:t>:</w:t>
      </w:r>
    </w:p>
    <w:p w:rsidR="007E6A37" w:rsidRPr="009D06FC" w:rsidRDefault="007E6A37" w:rsidP="007E6A37">
      <w:pPr>
        <w:pStyle w:val="gemAufzhlung"/>
        <w:numPr>
          <w:ilvl w:val="0"/>
          <w:numId w:val="2"/>
        </w:numPr>
        <w:tabs>
          <w:tab w:val="clear" w:pos="1701"/>
        </w:tabs>
        <w:ind w:left="1135" w:hanging="284"/>
      </w:pPr>
      <w:r w:rsidRPr="009D06FC">
        <w:t xml:space="preserve">Beschreibung </w:t>
      </w:r>
      <w:r w:rsidR="00973A17">
        <w:t xml:space="preserve">des </w:t>
      </w:r>
      <w:r>
        <w:t>Dienstes</w:t>
      </w:r>
      <w:r w:rsidRPr="009D06FC">
        <w:t xml:space="preserve"> </w:t>
      </w:r>
      <w:r w:rsidR="00973A17">
        <w:t xml:space="preserve">der TI bzw. der weiteren Anwendung </w:t>
      </w:r>
      <w:r w:rsidR="008D4E61">
        <w:t>bzgl. der</w:t>
      </w:r>
      <w:r w:rsidR="00032F96">
        <w:t xml:space="preserve"> I</w:t>
      </w:r>
      <w:r w:rsidR="008D4E61">
        <w:t>nformationssicherheitsaspekte</w:t>
      </w:r>
      <w:r w:rsidR="006A0FCC">
        <w:t>,</w:t>
      </w:r>
    </w:p>
    <w:p w:rsidR="007E6A37" w:rsidRDefault="006A0FCC" w:rsidP="007E6A37">
      <w:pPr>
        <w:pStyle w:val="gemAufzhlung"/>
        <w:numPr>
          <w:ilvl w:val="0"/>
          <w:numId w:val="2"/>
        </w:numPr>
        <w:tabs>
          <w:tab w:val="clear" w:pos="1701"/>
        </w:tabs>
        <w:ind w:left="1135" w:hanging="284"/>
      </w:pPr>
      <w:r>
        <w:t>Schutzbedarf der Daten,</w:t>
      </w:r>
    </w:p>
    <w:p w:rsidR="007E6A37" w:rsidRDefault="007E6A37" w:rsidP="007E6A37">
      <w:pPr>
        <w:pStyle w:val="gemAufzhlung"/>
        <w:numPr>
          <w:ilvl w:val="0"/>
          <w:numId w:val="2"/>
        </w:numPr>
        <w:tabs>
          <w:tab w:val="clear" w:pos="1701"/>
        </w:tabs>
        <w:ind w:left="1135" w:hanging="284"/>
      </w:pPr>
      <w:r w:rsidRPr="009D06FC">
        <w:lastRenderedPageBreak/>
        <w:t>Bedrohungsanalyse</w:t>
      </w:r>
      <w:r w:rsidR="006A0FCC">
        <w:t>,</w:t>
      </w:r>
      <w:r w:rsidRPr="009D06FC">
        <w:t xml:space="preserve"> </w:t>
      </w:r>
    </w:p>
    <w:p w:rsidR="00032F96" w:rsidRPr="009D06FC" w:rsidRDefault="00032F96" w:rsidP="00032F96">
      <w:pPr>
        <w:pStyle w:val="gemAufzhlung"/>
        <w:numPr>
          <w:ilvl w:val="0"/>
          <w:numId w:val="2"/>
        </w:numPr>
        <w:tabs>
          <w:tab w:val="clear" w:pos="1701"/>
        </w:tabs>
        <w:ind w:left="1135" w:hanging="284"/>
      </w:pPr>
      <w:r w:rsidRPr="009D06FC">
        <w:t>Dokumentation</w:t>
      </w:r>
      <w:r w:rsidR="007C26FE">
        <w:t xml:space="preserve"> und Beschreibung</w:t>
      </w:r>
      <w:r w:rsidRPr="009D06FC">
        <w:t xml:space="preserve"> der Erfüllung der Sicherheitsanforderungen der gematik</w:t>
      </w:r>
      <w:r w:rsidR="006A0FCC">
        <w:t>,</w:t>
      </w:r>
    </w:p>
    <w:p w:rsidR="00032F96" w:rsidRPr="009D06FC" w:rsidRDefault="00032F96" w:rsidP="00032F96">
      <w:pPr>
        <w:pStyle w:val="gemAufzhlung"/>
        <w:numPr>
          <w:ilvl w:val="0"/>
          <w:numId w:val="2"/>
        </w:numPr>
        <w:tabs>
          <w:tab w:val="clear" w:pos="1701"/>
        </w:tabs>
        <w:ind w:left="1135" w:hanging="284"/>
      </w:pPr>
      <w:r>
        <w:t xml:space="preserve">Sicherheitsanalyse (Verifikation der </w:t>
      </w:r>
      <w:r w:rsidRPr="009D06FC">
        <w:t>Wirksamkeit der Sicherheitsmaßnahmen</w:t>
      </w:r>
      <w:r>
        <w:t>)</w:t>
      </w:r>
      <w:r w:rsidR="006A0FCC">
        <w:t>,</w:t>
      </w:r>
      <w:r w:rsidRPr="009D06FC">
        <w:t xml:space="preserve"> </w:t>
      </w:r>
    </w:p>
    <w:p w:rsidR="0071250F" w:rsidRDefault="00032F96" w:rsidP="008F79CD">
      <w:pPr>
        <w:pStyle w:val="gemAufzhlung"/>
        <w:numPr>
          <w:ilvl w:val="0"/>
          <w:numId w:val="2"/>
        </w:numPr>
        <w:tabs>
          <w:tab w:val="clear" w:pos="1701"/>
        </w:tabs>
        <w:ind w:left="1135" w:hanging="284"/>
        <w:rPr>
          <w:b/>
        </w:rPr>
      </w:pPr>
      <w:r w:rsidRPr="009D06FC">
        <w:t>Erstellu</w:t>
      </w:r>
      <w:r>
        <w:t>ng einer Restrisikoabschätzung</w:t>
      </w:r>
      <w:r w:rsidR="0040458A">
        <w:t>.</w:t>
      </w:r>
    </w:p>
    <w:p w:rsidR="008F79CD" w:rsidRPr="0071250F" w:rsidRDefault="0071250F" w:rsidP="0071250F">
      <w:pPr>
        <w:pStyle w:val="gemStandard"/>
      </w:pPr>
      <w:r>
        <w:rPr>
          <w:b/>
        </w:rPr>
        <w:sym w:font="Wingdings" w:char="F0D5"/>
      </w:r>
    </w:p>
    <w:p w:rsidR="00032F96" w:rsidRPr="0040458A" w:rsidRDefault="00032F96" w:rsidP="007F04E4">
      <w:pPr>
        <w:pStyle w:val="gemStandard"/>
        <w:ind w:left="708" w:hanging="708"/>
        <w:rPr>
          <w:b/>
        </w:rPr>
      </w:pPr>
      <w:r w:rsidRPr="009D06FC">
        <w:rPr>
          <w:b/>
        </w:rPr>
        <w:sym w:font="Wingdings" w:char="F0D6"/>
      </w:r>
      <w:r w:rsidRPr="0040458A">
        <w:rPr>
          <w:b/>
        </w:rPr>
        <w:tab/>
        <w:t>GS-A_</w:t>
      </w:r>
      <w:r w:rsidR="00284C89" w:rsidRPr="0040458A">
        <w:rPr>
          <w:b/>
        </w:rPr>
        <w:t>3753</w:t>
      </w:r>
      <w:r w:rsidR="00484B42" w:rsidRPr="00484B42">
        <w:rPr>
          <w:b/>
          <w:highlight w:val="yellow"/>
        </w:rPr>
        <w:t>-01</w:t>
      </w:r>
      <w:r w:rsidR="00284C89" w:rsidRPr="0040458A">
        <w:rPr>
          <w:b/>
        </w:rPr>
        <w:t xml:space="preserve"> </w:t>
      </w:r>
      <w:r w:rsidRPr="0040458A">
        <w:rPr>
          <w:b/>
        </w:rPr>
        <w:t>Notfallkonzept</w:t>
      </w:r>
    </w:p>
    <w:p w:rsidR="00032F96" w:rsidRDefault="00032F96" w:rsidP="007F04E4">
      <w:pPr>
        <w:pStyle w:val="gemEinzug"/>
        <w:kinsoku w:val="0"/>
        <w:ind w:left="709"/>
      </w:pPr>
      <w:r w:rsidRPr="009D06FC">
        <w:t xml:space="preserve">Der </w:t>
      </w:r>
      <w:r w:rsidRPr="00110C1D">
        <w:rPr>
          <w:rFonts w:cs="Arial"/>
          <w:lang w:eastAsia="ja-JP"/>
        </w:rPr>
        <w:t>Anbieter</w:t>
      </w:r>
      <w:r w:rsidRPr="009D06FC">
        <w:t xml:space="preserve"> MUSS </w:t>
      </w:r>
      <w:r>
        <w:t xml:space="preserve">die von ihm betriebenen </w:t>
      </w:r>
      <w:r w:rsidR="00973A17">
        <w:t xml:space="preserve">Dienste der TI bzw. weiteren Anwendungen </w:t>
      </w:r>
      <w:r>
        <w:t xml:space="preserve">in seine bestehende Notfallkonzeption einbinden oder </w:t>
      </w:r>
      <w:r w:rsidRPr="009D06FC">
        <w:t xml:space="preserve">ein betreiberspezifisches </w:t>
      </w:r>
      <w:r>
        <w:t>Notfall</w:t>
      </w:r>
      <w:r w:rsidRPr="009D06FC">
        <w:t>konzept erstellen</w:t>
      </w:r>
      <w:r>
        <w:t xml:space="preserve">. Folgende Inhalte </w:t>
      </w:r>
      <w:r w:rsidR="00EB0597">
        <w:t>MÜSSEN</w:t>
      </w:r>
      <w:r>
        <w:t xml:space="preserve"> mindestens dokumentiert werden</w:t>
      </w:r>
      <w:r w:rsidRPr="009D06FC">
        <w:t>:</w:t>
      </w:r>
      <w:r w:rsidR="00973A17">
        <w:t xml:space="preserve"> </w:t>
      </w:r>
    </w:p>
    <w:p w:rsidR="00BC3338" w:rsidRDefault="005356CD" w:rsidP="00284C89">
      <w:pPr>
        <w:pStyle w:val="gemAufzhlung"/>
        <w:numPr>
          <w:ilvl w:val="0"/>
          <w:numId w:val="2"/>
        </w:numPr>
        <w:tabs>
          <w:tab w:val="clear" w:pos="1701"/>
        </w:tabs>
        <w:ind w:left="1135" w:hanging="284"/>
      </w:pPr>
      <w:r>
        <w:t>ü</w:t>
      </w:r>
      <w:r w:rsidR="00BC3338">
        <w:t>bergeordnete Notfallstrategie</w:t>
      </w:r>
      <w:r w:rsidR="00284C89">
        <w:t xml:space="preserve"> und Einordnung der </w:t>
      </w:r>
      <w:r w:rsidR="00973A17">
        <w:t>Dienste der TI bzw. der weiteren Anwendungen</w:t>
      </w:r>
      <w:r w:rsidR="006A0FCC">
        <w:t>,</w:t>
      </w:r>
    </w:p>
    <w:p w:rsidR="00BC3338" w:rsidRDefault="005356CD" w:rsidP="00284C89">
      <w:pPr>
        <w:pStyle w:val="gemAufzhlung"/>
        <w:numPr>
          <w:ilvl w:val="0"/>
          <w:numId w:val="2"/>
        </w:numPr>
        <w:tabs>
          <w:tab w:val="clear" w:pos="1701"/>
        </w:tabs>
        <w:ind w:left="1135" w:hanging="284"/>
      </w:pPr>
      <w:r>
        <w:t>g</w:t>
      </w:r>
      <w:r w:rsidR="00BC3338">
        <w:t>esetzliche und vertragliche Anforderungen</w:t>
      </w:r>
      <w:r w:rsidR="006A0FCC">
        <w:t>,</w:t>
      </w:r>
    </w:p>
    <w:p w:rsidR="00BC3338" w:rsidRDefault="00BC3338" w:rsidP="00284C89">
      <w:pPr>
        <w:pStyle w:val="gemAufzhlung"/>
        <w:numPr>
          <w:ilvl w:val="0"/>
          <w:numId w:val="2"/>
        </w:numPr>
        <w:tabs>
          <w:tab w:val="clear" w:pos="1701"/>
        </w:tabs>
        <w:ind w:left="1135" w:hanging="284"/>
      </w:pPr>
      <w:r>
        <w:t>Rollen und Verantwortliche in Bezug auf das Notfall-Management</w:t>
      </w:r>
      <w:r w:rsidR="006A0FCC">
        <w:t>,</w:t>
      </w:r>
    </w:p>
    <w:p w:rsidR="00284C89" w:rsidRDefault="00BC3338" w:rsidP="00284C89">
      <w:pPr>
        <w:pStyle w:val="gemAufzhlung"/>
        <w:numPr>
          <w:ilvl w:val="0"/>
          <w:numId w:val="2"/>
        </w:numPr>
        <w:tabs>
          <w:tab w:val="clear" w:pos="1701"/>
        </w:tabs>
        <w:ind w:left="1135" w:hanging="284"/>
      </w:pPr>
      <w:r>
        <w:t>Dokumentation zur Notfallvorsorge</w:t>
      </w:r>
      <w:r w:rsidR="00284C89">
        <w:t xml:space="preserve"> inkl. durchgeführter Auswirkungsanalyse (BIA oder vergleichbar)</w:t>
      </w:r>
      <w:r w:rsidR="006A0FCC">
        <w:t>,</w:t>
      </w:r>
      <w:r w:rsidR="00284C89" w:rsidRPr="009D06FC">
        <w:t xml:space="preserve"> </w:t>
      </w:r>
    </w:p>
    <w:p w:rsidR="00284C89" w:rsidRDefault="00224C20" w:rsidP="00284C89">
      <w:pPr>
        <w:pStyle w:val="gemAufzhlung"/>
        <w:numPr>
          <w:ilvl w:val="0"/>
          <w:numId w:val="2"/>
        </w:numPr>
        <w:tabs>
          <w:tab w:val="clear" w:pos="1701"/>
        </w:tabs>
        <w:ind w:left="1135" w:hanging="284"/>
      </w:pPr>
      <w:r>
        <w:t>s</w:t>
      </w:r>
      <w:r w:rsidR="00284C89">
        <w:t>zenariounabhängige</w:t>
      </w:r>
      <w:r>
        <w:t xml:space="preserve"> Notfallbewältigungsstrategie (H</w:t>
      </w:r>
      <w:r w:rsidR="00284C89">
        <w:t>ierb</w:t>
      </w:r>
      <w:r>
        <w:t>ei ist insbesondere auch die TI-</w:t>
      </w:r>
      <w:r w:rsidR="00284C89">
        <w:t xml:space="preserve">spezifische Eskalation zu weiteren Anbietern und </w:t>
      </w:r>
      <w:r w:rsidR="007B5829">
        <w:t>zur</w:t>
      </w:r>
      <w:r w:rsidR="00284C89">
        <w:t xml:space="preserve"> gematik zu beschreiben</w:t>
      </w:r>
      <w:r>
        <w:t>.</w:t>
      </w:r>
      <w:r w:rsidR="00284C89">
        <w:t>)</w:t>
      </w:r>
      <w:r w:rsidR="006A0FCC">
        <w:t>,</w:t>
      </w:r>
    </w:p>
    <w:p w:rsidR="00284C89" w:rsidRDefault="00284C89" w:rsidP="00284C89">
      <w:pPr>
        <w:pStyle w:val="gemAufzhlung"/>
        <w:numPr>
          <w:ilvl w:val="0"/>
          <w:numId w:val="2"/>
        </w:numPr>
        <w:tabs>
          <w:tab w:val="clear" w:pos="1701"/>
        </w:tabs>
        <w:ind w:left="1135" w:hanging="284"/>
      </w:pPr>
      <w:r>
        <w:t>Dokumentation der szenariospezifische</w:t>
      </w:r>
      <w:r w:rsidR="00224C20">
        <w:t>n Notfallpläne (H</w:t>
      </w:r>
      <w:r>
        <w:t>ierbei sind neben allgemeinen Notfallplänen für Brand und Wasserein</w:t>
      </w:r>
      <w:r w:rsidR="00224C20">
        <w:t>bruch etc. insbesondere auch TI-</w:t>
      </w:r>
      <w:r>
        <w:t xml:space="preserve">spezifische Notfallszenarien wie </w:t>
      </w:r>
      <w:r w:rsidR="00224C20">
        <w:t xml:space="preserve">der </w:t>
      </w:r>
      <w:r>
        <w:t>Ausf</w:t>
      </w:r>
      <w:r w:rsidR="00224C20">
        <w:t>all verfügbarkeitskritischer TI-</w:t>
      </w:r>
      <w:r>
        <w:t>Produkte, Schwächung oder Kompromittierung von kryptographischen Schlüsselmaterial etc. zu dokumentieren</w:t>
      </w:r>
      <w:r w:rsidR="00224C20">
        <w:t>.</w:t>
      </w:r>
      <w:r>
        <w:t>)</w:t>
      </w:r>
    </w:p>
    <w:p w:rsidR="00BC3338" w:rsidRDefault="00284C89" w:rsidP="00BC3338">
      <w:pPr>
        <w:pStyle w:val="gemAufzhlung"/>
        <w:numPr>
          <w:ilvl w:val="0"/>
          <w:numId w:val="2"/>
        </w:numPr>
        <w:tabs>
          <w:tab w:val="clear" w:pos="1701"/>
        </w:tabs>
        <w:ind w:left="1135" w:hanging="284"/>
      </w:pPr>
      <w:r>
        <w:t>Nachbereitung von Notfällen</w:t>
      </w:r>
      <w:r w:rsidR="006A0FCC">
        <w:t>,</w:t>
      </w:r>
    </w:p>
    <w:p w:rsidR="0071250F" w:rsidRDefault="00BC3338" w:rsidP="00284C89">
      <w:pPr>
        <w:pStyle w:val="gemAufzhlung"/>
        <w:numPr>
          <w:ilvl w:val="0"/>
          <w:numId w:val="2"/>
        </w:numPr>
        <w:tabs>
          <w:tab w:val="clear" w:pos="1701"/>
        </w:tabs>
        <w:ind w:left="1135" w:hanging="284"/>
        <w:rPr>
          <w:b/>
        </w:rPr>
      </w:pPr>
      <w:r>
        <w:t>Prävention und Vorbeugung</w:t>
      </w:r>
      <w:r w:rsidR="008D4E61">
        <w:t xml:space="preserve"> von Notfällen</w:t>
      </w:r>
      <w:r>
        <w:t xml:space="preserve">, </w:t>
      </w:r>
      <w:r w:rsidR="007C26FE">
        <w:t xml:space="preserve">inklusive </w:t>
      </w:r>
      <w:r>
        <w:t>Fachkunde und Schulungen</w:t>
      </w:r>
      <w:r w:rsidR="00EB0597">
        <w:t>.</w:t>
      </w:r>
    </w:p>
    <w:p w:rsidR="00BC3338" w:rsidRPr="0071250F" w:rsidRDefault="0071250F" w:rsidP="0071250F">
      <w:pPr>
        <w:pStyle w:val="gemStandard"/>
      </w:pPr>
      <w:r>
        <w:rPr>
          <w:b/>
        </w:rPr>
        <w:sym w:font="Wingdings" w:char="F0D5"/>
      </w:r>
    </w:p>
    <w:p w:rsidR="00EB0597" w:rsidRPr="00EB0597" w:rsidRDefault="00EB0597" w:rsidP="007F04E4">
      <w:pPr>
        <w:pStyle w:val="gemStandard"/>
        <w:ind w:left="708" w:hanging="708"/>
        <w:rPr>
          <w:b/>
        </w:rPr>
      </w:pPr>
      <w:r w:rsidRPr="009D06FC">
        <w:rPr>
          <w:b/>
        </w:rPr>
        <w:sym w:font="Wingdings" w:char="F0D6"/>
      </w:r>
      <w:r w:rsidR="00556D48">
        <w:rPr>
          <w:b/>
        </w:rPr>
        <w:t xml:space="preserve"> </w:t>
      </w:r>
      <w:r w:rsidRPr="00EB0597">
        <w:rPr>
          <w:b/>
        </w:rPr>
        <w:t>GS-A_3772</w:t>
      </w:r>
      <w:r w:rsidR="00484B42" w:rsidRPr="00484B42">
        <w:rPr>
          <w:b/>
          <w:highlight w:val="yellow"/>
        </w:rPr>
        <w:t>-01</w:t>
      </w:r>
      <w:r w:rsidRPr="00EB0597">
        <w:rPr>
          <w:b/>
        </w:rPr>
        <w:t xml:space="preserve"> Notfallkonzept: Der Dienstanbieter soll dem BSI-Standard 100-4 folgen</w:t>
      </w:r>
      <w:r w:rsidR="00556D48">
        <w:rPr>
          <w:b/>
        </w:rPr>
        <w:t xml:space="preserve"> </w:t>
      </w:r>
    </w:p>
    <w:p w:rsidR="0071250F" w:rsidRDefault="00EB0597" w:rsidP="007F04E4">
      <w:pPr>
        <w:pStyle w:val="gemEinzug"/>
        <w:kinsoku w:val="0"/>
        <w:ind w:left="709"/>
        <w:rPr>
          <w:b/>
        </w:rPr>
      </w:pPr>
      <w:r>
        <w:t xml:space="preserve">Der </w:t>
      </w:r>
      <w:r w:rsidRPr="007F04E4">
        <w:t>Anbieter</w:t>
      </w:r>
      <w:r>
        <w:t xml:space="preserve"> SOLL </w:t>
      </w:r>
      <w:r w:rsidR="00224C20">
        <w:t>bei der Erstellung</w:t>
      </w:r>
      <w:r>
        <w:t xml:space="preserve"> sein</w:t>
      </w:r>
      <w:r w:rsidR="00224C20">
        <w:t>es</w:t>
      </w:r>
      <w:r>
        <w:t xml:space="preserve"> Notfallkonzept</w:t>
      </w:r>
      <w:r w:rsidR="00224C20">
        <w:t>es</w:t>
      </w:r>
      <w:r>
        <w:t xml:space="preserve"> den inhaltlichen Vorgaben des Dokuments BSI-Standard 100-4 „Notfallmanagement" [BSI 100-4] folgen.</w:t>
      </w:r>
      <w:r w:rsidRPr="00EB0597">
        <w:rPr>
          <w:b/>
        </w:rPr>
        <w:t xml:space="preserve"> </w:t>
      </w:r>
    </w:p>
    <w:p w:rsidR="00032F96" w:rsidRPr="0071250F" w:rsidRDefault="0071250F" w:rsidP="0071250F">
      <w:pPr>
        <w:pStyle w:val="gemStandard"/>
      </w:pPr>
      <w:r>
        <w:rPr>
          <w:b/>
        </w:rPr>
        <w:sym w:font="Wingdings" w:char="F0D5"/>
      </w:r>
    </w:p>
    <w:p w:rsidR="009A401C" w:rsidRPr="00673DE7" w:rsidRDefault="009A401C" w:rsidP="00F425D7">
      <w:pPr>
        <w:pStyle w:val="gemStandard"/>
        <w:ind w:left="708" w:hanging="708"/>
        <w:rPr>
          <w:b/>
          <w:lang w:eastAsia="ja-JP"/>
        </w:rPr>
      </w:pPr>
      <w:r w:rsidRPr="00673DE7">
        <w:rPr>
          <w:b/>
        </w:rPr>
        <w:sym w:font="Wingdings" w:char="F0D6"/>
      </w:r>
      <w:r w:rsidR="00556D48">
        <w:rPr>
          <w:b/>
        </w:rPr>
        <w:t xml:space="preserve"> </w:t>
      </w:r>
      <w:r w:rsidRPr="00673DE7">
        <w:rPr>
          <w:rFonts w:hint="eastAsia"/>
          <w:b/>
          <w:lang w:eastAsia="ja-JP"/>
        </w:rPr>
        <w:t>GS-A_</w:t>
      </w:r>
      <w:r w:rsidRPr="00673DE7">
        <w:rPr>
          <w:rFonts w:hint="eastAsia"/>
          <w:b/>
        </w:rPr>
        <w:t>2328</w:t>
      </w:r>
      <w:r w:rsidR="003C38CE" w:rsidRPr="003C38CE">
        <w:rPr>
          <w:b/>
          <w:highlight w:val="yellow"/>
        </w:rPr>
        <w:t>-01</w:t>
      </w:r>
      <w:r w:rsidRPr="00673DE7">
        <w:rPr>
          <w:b/>
          <w:lang w:eastAsia="ja-JP"/>
        </w:rPr>
        <w:t xml:space="preserve"> </w:t>
      </w:r>
      <w:r w:rsidRPr="00673DE7">
        <w:rPr>
          <w:b/>
        </w:rPr>
        <w:t>Pflege und Fortschreibung de</w:t>
      </w:r>
      <w:r w:rsidR="00284C89" w:rsidRPr="00673DE7">
        <w:rPr>
          <w:b/>
        </w:rPr>
        <w:t>s Sicherheits</w:t>
      </w:r>
      <w:r w:rsidR="00284C89" w:rsidRPr="00673DE7">
        <w:rPr>
          <w:b/>
        </w:rPr>
        <w:softHyphen/>
        <w:t>konzeptes und Notfallkonzeptes</w:t>
      </w:r>
    </w:p>
    <w:p w:rsidR="0071250F" w:rsidRDefault="00973A17" w:rsidP="00673DE7">
      <w:pPr>
        <w:pStyle w:val="gemEinzug"/>
        <w:kinsoku w:val="0"/>
        <w:ind w:left="709"/>
        <w:rPr>
          <w:b/>
        </w:rPr>
      </w:pPr>
      <w:r>
        <w:lastRenderedPageBreak/>
        <w:t xml:space="preserve">Der </w:t>
      </w:r>
      <w:r w:rsidR="009A401C" w:rsidRPr="00A74755">
        <w:rPr>
          <w:rFonts w:hint="eastAsia"/>
        </w:rPr>
        <w:t>Anbieter</w:t>
      </w:r>
      <w:r w:rsidR="009A401C" w:rsidRPr="00A74755">
        <w:rPr>
          <w:rFonts w:hint="eastAsia"/>
          <w:lang w:eastAsia="ja-JP"/>
        </w:rPr>
        <w:t xml:space="preserve"> </w:t>
      </w:r>
      <w:r w:rsidR="009A401C" w:rsidRPr="00110C1D">
        <w:rPr>
          <w:rFonts w:cs="Arial" w:hint="eastAsia"/>
          <w:lang w:eastAsia="ja-JP"/>
        </w:rPr>
        <w:t>M</w:t>
      </w:r>
      <w:r>
        <w:rPr>
          <w:rFonts w:cs="Arial"/>
          <w:lang w:eastAsia="ja-JP"/>
        </w:rPr>
        <w:t>U</w:t>
      </w:r>
      <w:r w:rsidR="009A401C" w:rsidRPr="00110C1D">
        <w:rPr>
          <w:rFonts w:cs="Arial" w:hint="eastAsia"/>
          <w:lang w:eastAsia="ja-JP"/>
        </w:rPr>
        <w:t>SS</w:t>
      </w:r>
      <w:r w:rsidR="009A401C" w:rsidRPr="00A74755">
        <w:rPr>
          <w:rFonts w:hint="eastAsia"/>
          <w:lang w:eastAsia="ja-JP"/>
        </w:rPr>
        <w:t xml:space="preserve"> die Pflege und Fortschreibung der Sicherheits</w:t>
      </w:r>
      <w:r w:rsidR="00A77403">
        <w:rPr>
          <w:lang w:eastAsia="ja-JP"/>
        </w:rPr>
        <w:t>- und Notfall</w:t>
      </w:r>
      <w:r w:rsidR="009A401C" w:rsidRPr="00A74755">
        <w:rPr>
          <w:rFonts w:hint="eastAsia"/>
          <w:lang w:eastAsia="ja-JP"/>
        </w:rPr>
        <w:t xml:space="preserve">konzepte </w:t>
      </w:r>
      <w:r w:rsidR="009A401C" w:rsidRPr="00A74755">
        <w:rPr>
          <w:lang w:eastAsia="ja-JP"/>
        </w:rPr>
        <w:t xml:space="preserve">für </w:t>
      </w:r>
      <w:r>
        <w:rPr>
          <w:lang w:eastAsia="ja-JP"/>
        </w:rPr>
        <w:t xml:space="preserve">die </w:t>
      </w:r>
      <w:r w:rsidR="008D4E61">
        <w:rPr>
          <w:lang w:eastAsia="ja-JP"/>
        </w:rPr>
        <w:t>von ihm</w:t>
      </w:r>
      <w:r>
        <w:rPr>
          <w:lang w:eastAsia="ja-JP"/>
        </w:rPr>
        <w:t xml:space="preserve"> betriebenen </w:t>
      </w:r>
      <w:r>
        <w:t xml:space="preserve">Dienste der TI bzw. weiteren Anwendungen </w:t>
      </w:r>
      <w:r w:rsidR="009A401C" w:rsidRPr="00A74755">
        <w:rPr>
          <w:rFonts w:hint="eastAsia"/>
          <w:lang w:eastAsia="ja-JP"/>
        </w:rPr>
        <w:t>durchführen.</w:t>
      </w:r>
      <w:r w:rsidR="009A401C" w:rsidRPr="00A74755">
        <w:rPr>
          <w:b/>
        </w:rPr>
        <w:t xml:space="preserve"> </w:t>
      </w:r>
    </w:p>
    <w:p w:rsidR="009A401C" w:rsidRPr="0071250F" w:rsidRDefault="0071250F" w:rsidP="0071250F">
      <w:pPr>
        <w:pStyle w:val="gemStandard"/>
      </w:pPr>
      <w:r>
        <w:rPr>
          <w:b/>
        </w:rPr>
        <w:sym w:font="Wingdings" w:char="F0D5"/>
      </w:r>
    </w:p>
    <w:p w:rsidR="009A401C" w:rsidRPr="00A74755" w:rsidRDefault="009A401C" w:rsidP="00B20780">
      <w:pPr>
        <w:pStyle w:val="gemStandardfett"/>
        <w:ind w:left="705" w:hanging="705"/>
        <w:rPr>
          <w:lang w:eastAsia="ja-JP"/>
        </w:rPr>
      </w:pPr>
      <w:r w:rsidRPr="00A74755">
        <w:sym w:font="Wingdings" w:char="F0D6"/>
      </w:r>
      <w:r w:rsidRPr="00A74755">
        <w:tab/>
      </w:r>
      <w:r w:rsidRPr="00A74755">
        <w:rPr>
          <w:rFonts w:hint="eastAsia"/>
          <w:lang w:eastAsia="ja-JP"/>
        </w:rPr>
        <w:t>GS-A_2329</w:t>
      </w:r>
      <w:r w:rsidR="003C38CE" w:rsidRPr="003C38CE">
        <w:rPr>
          <w:highlight w:val="yellow"/>
          <w:lang w:eastAsia="ja-JP"/>
        </w:rPr>
        <w:t>-01</w:t>
      </w:r>
      <w:r w:rsidRPr="00A74755">
        <w:rPr>
          <w:lang w:eastAsia="ja-JP"/>
        </w:rPr>
        <w:t xml:space="preserve"> </w:t>
      </w:r>
      <w:r w:rsidRPr="00A74755">
        <w:t>Umsetzung der Sicherheitskonzepte</w:t>
      </w:r>
    </w:p>
    <w:p w:rsidR="0071250F" w:rsidRDefault="00B20780" w:rsidP="00673DE7">
      <w:pPr>
        <w:pStyle w:val="gemEinzug"/>
        <w:kinsoku w:val="0"/>
        <w:ind w:left="709"/>
        <w:rPr>
          <w:b/>
        </w:rPr>
      </w:pPr>
      <w:r>
        <w:t xml:space="preserve">Der </w:t>
      </w:r>
      <w:r w:rsidR="009A401C" w:rsidRPr="00A74755">
        <w:rPr>
          <w:rFonts w:hint="eastAsia"/>
        </w:rPr>
        <w:t>Anbieter</w:t>
      </w:r>
      <w:r w:rsidR="009A401C" w:rsidRPr="00A74755">
        <w:rPr>
          <w:rFonts w:hint="eastAsia"/>
          <w:lang w:eastAsia="ja-JP"/>
        </w:rPr>
        <w:t xml:space="preserve"> M</w:t>
      </w:r>
      <w:r>
        <w:rPr>
          <w:lang w:eastAsia="ja-JP"/>
        </w:rPr>
        <w:t>U</w:t>
      </w:r>
      <w:r w:rsidR="009A401C" w:rsidRPr="00A74755">
        <w:rPr>
          <w:rFonts w:hint="eastAsia"/>
          <w:lang w:eastAsia="ja-JP"/>
        </w:rPr>
        <w:t>SS die Maßnahmen zur Sicherheit des Personal</w:t>
      </w:r>
      <w:r w:rsidR="009A401C" w:rsidRPr="00A74755">
        <w:rPr>
          <w:lang w:eastAsia="ja-JP"/>
        </w:rPr>
        <w:t>s</w:t>
      </w:r>
      <w:r w:rsidR="009A401C" w:rsidRPr="00A74755">
        <w:rPr>
          <w:rFonts w:hint="eastAsia"/>
          <w:lang w:eastAsia="ja-JP"/>
        </w:rPr>
        <w:t>, der Organisation, der Infrastruktur un</w:t>
      </w:r>
      <w:r w:rsidR="00D6064B">
        <w:rPr>
          <w:rFonts w:hint="eastAsia"/>
          <w:lang w:eastAsia="ja-JP"/>
        </w:rPr>
        <w:t>d der eingesetzten Technologien</w:t>
      </w:r>
      <w:r w:rsidR="009A401C" w:rsidRPr="00A74755">
        <w:rPr>
          <w:rFonts w:hint="eastAsia"/>
          <w:lang w:eastAsia="ja-JP"/>
        </w:rPr>
        <w:t xml:space="preserve"> ent</w:t>
      </w:r>
      <w:r w:rsidR="009A401C" w:rsidRPr="00A74755">
        <w:rPr>
          <w:lang w:eastAsia="ja-JP"/>
        </w:rPr>
        <w:softHyphen/>
      </w:r>
      <w:r w:rsidR="009A401C" w:rsidRPr="00A74755">
        <w:rPr>
          <w:rFonts w:hint="eastAsia"/>
          <w:lang w:eastAsia="ja-JP"/>
        </w:rPr>
        <w:t>sprechend der erstellten Sicherheitskonzepte</w:t>
      </w:r>
      <w:r w:rsidR="00EB0597">
        <w:rPr>
          <w:lang w:eastAsia="ja-JP"/>
        </w:rPr>
        <w:t xml:space="preserve"> </w:t>
      </w:r>
      <w:r w:rsidR="009A401C" w:rsidRPr="00A74755">
        <w:rPr>
          <w:rFonts w:hint="eastAsia"/>
          <w:lang w:eastAsia="ja-JP"/>
        </w:rPr>
        <w:t>umsetzen</w:t>
      </w:r>
      <w:r w:rsidR="00EB0597">
        <w:rPr>
          <w:lang w:eastAsia="ja-JP"/>
        </w:rPr>
        <w:t xml:space="preserve"> und dokumentieren</w:t>
      </w:r>
      <w:r w:rsidR="009A401C" w:rsidRPr="00A74755">
        <w:rPr>
          <w:rFonts w:hint="eastAsia"/>
          <w:lang w:eastAsia="ja-JP"/>
        </w:rPr>
        <w:t>; wozu insbesondere die Implementierung und Einhalt</w:t>
      </w:r>
      <w:r>
        <w:rPr>
          <w:lang w:eastAsia="ja-JP"/>
        </w:rPr>
        <w:t>ung</w:t>
      </w:r>
      <w:r w:rsidR="009A401C" w:rsidRPr="00A74755">
        <w:rPr>
          <w:rFonts w:hint="eastAsia"/>
          <w:lang w:eastAsia="ja-JP"/>
        </w:rPr>
        <w:t xml:space="preserve"> </w:t>
      </w:r>
      <w:r w:rsidR="00EB0597">
        <w:rPr>
          <w:lang w:eastAsia="ja-JP"/>
        </w:rPr>
        <w:t>von organisatorischen und technischen</w:t>
      </w:r>
      <w:r w:rsidR="009A401C" w:rsidRPr="00A74755">
        <w:rPr>
          <w:rFonts w:hint="eastAsia"/>
          <w:lang w:eastAsia="ja-JP"/>
        </w:rPr>
        <w:t xml:space="preserve"> </w:t>
      </w:r>
      <w:r w:rsidR="00EB0597" w:rsidRPr="00A74755">
        <w:rPr>
          <w:lang w:eastAsia="ja-JP"/>
        </w:rPr>
        <w:t>Sicherh</w:t>
      </w:r>
      <w:r w:rsidR="00EB0597">
        <w:rPr>
          <w:lang w:eastAsia="ja-JP"/>
        </w:rPr>
        <w:t>eitsmaßnahmen</w:t>
      </w:r>
      <w:r w:rsidR="009A401C" w:rsidRPr="00A74755">
        <w:rPr>
          <w:rFonts w:hint="eastAsia"/>
          <w:lang w:eastAsia="ja-JP"/>
        </w:rPr>
        <w:t xml:space="preserve"> und die </w:t>
      </w:r>
      <w:r w:rsidR="00EB0597">
        <w:rPr>
          <w:lang w:eastAsia="ja-JP"/>
        </w:rPr>
        <w:t xml:space="preserve">Kommunikation sowie </w:t>
      </w:r>
      <w:r w:rsidR="009A401C" w:rsidRPr="00A74755">
        <w:rPr>
          <w:rFonts w:hint="eastAsia"/>
          <w:lang w:eastAsia="ja-JP"/>
        </w:rPr>
        <w:t>Durchführung von Sensibilisierungen</w:t>
      </w:r>
      <w:r w:rsidR="008D4E61">
        <w:rPr>
          <w:lang w:eastAsia="ja-JP"/>
        </w:rPr>
        <w:t xml:space="preserve"> für den Themenbereich „Informationssicherheit“</w:t>
      </w:r>
      <w:r w:rsidR="009A401C" w:rsidRPr="00A74755">
        <w:rPr>
          <w:rFonts w:hint="eastAsia"/>
          <w:lang w:eastAsia="ja-JP"/>
        </w:rPr>
        <w:t xml:space="preserve"> und Schu</w:t>
      </w:r>
      <w:r w:rsidR="009A401C" w:rsidRPr="00A74755">
        <w:rPr>
          <w:lang w:eastAsia="ja-JP"/>
        </w:rPr>
        <w:softHyphen/>
      </w:r>
      <w:r w:rsidR="009A401C" w:rsidRPr="00A74755">
        <w:rPr>
          <w:rFonts w:hint="eastAsia"/>
          <w:lang w:eastAsia="ja-JP"/>
        </w:rPr>
        <w:t>lungen gehören.</w:t>
      </w:r>
      <w:r w:rsidR="009A401C" w:rsidRPr="00A74755">
        <w:rPr>
          <w:b/>
        </w:rPr>
        <w:t xml:space="preserve"> </w:t>
      </w:r>
    </w:p>
    <w:p w:rsidR="009A401C" w:rsidRPr="0071250F" w:rsidRDefault="0071250F" w:rsidP="0071250F">
      <w:pPr>
        <w:pStyle w:val="gemStandard"/>
      </w:pPr>
      <w:r>
        <w:rPr>
          <w:b/>
        </w:rPr>
        <w:sym w:font="Wingdings" w:char="F0D5"/>
      </w:r>
    </w:p>
    <w:p w:rsidR="009A401C" w:rsidRPr="00A74755" w:rsidRDefault="009A401C" w:rsidP="009A401C">
      <w:pPr>
        <w:pStyle w:val="gemStandardfett"/>
        <w:rPr>
          <w:lang w:eastAsia="ja-JP"/>
        </w:rPr>
      </w:pPr>
      <w:r w:rsidRPr="00A74755">
        <w:sym w:font="Wingdings" w:char="F0D6"/>
      </w:r>
      <w:r w:rsidRPr="00A74755">
        <w:tab/>
      </w:r>
      <w:r w:rsidRPr="00A74755">
        <w:rPr>
          <w:rFonts w:hint="eastAsia"/>
          <w:lang w:eastAsia="ja-JP"/>
        </w:rPr>
        <w:t>GS-A_2345</w:t>
      </w:r>
      <w:r w:rsidR="003C38CE" w:rsidRPr="003C38CE">
        <w:rPr>
          <w:highlight w:val="yellow"/>
          <w:lang w:eastAsia="ja-JP"/>
        </w:rPr>
        <w:t>-01</w:t>
      </w:r>
      <w:r w:rsidR="00556D48">
        <w:rPr>
          <w:lang w:eastAsia="ja-JP"/>
        </w:rPr>
        <w:t xml:space="preserve"> </w:t>
      </w:r>
      <w:r w:rsidR="007B5829">
        <w:t>regelmäßige R</w:t>
      </w:r>
      <w:r w:rsidRPr="00A74755">
        <w:t xml:space="preserve">eviews </w:t>
      </w:r>
    </w:p>
    <w:p w:rsidR="0071250F" w:rsidRDefault="00B20780" w:rsidP="0069698E">
      <w:pPr>
        <w:pStyle w:val="gemEinzug"/>
        <w:kinsoku w:val="0"/>
        <w:ind w:left="709"/>
        <w:rPr>
          <w:b/>
        </w:rPr>
      </w:pPr>
      <w:r>
        <w:rPr>
          <w:lang w:eastAsia="ja-JP"/>
        </w:rPr>
        <w:t xml:space="preserve">Der </w:t>
      </w:r>
      <w:r w:rsidR="009A401C" w:rsidRPr="00A74755">
        <w:rPr>
          <w:rFonts w:hint="eastAsia"/>
          <w:lang w:eastAsia="ja-JP"/>
        </w:rPr>
        <w:t>Anbieter M</w:t>
      </w:r>
      <w:r>
        <w:rPr>
          <w:lang w:eastAsia="ja-JP"/>
        </w:rPr>
        <w:t>U</w:t>
      </w:r>
      <w:r w:rsidR="009A401C" w:rsidRPr="00A74755">
        <w:rPr>
          <w:rFonts w:hint="eastAsia"/>
          <w:lang w:eastAsia="ja-JP"/>
        </w:rPr>
        <w:t xml:space="preserve">SS </w:t>
      </w:r>
      <w:r w:rsidR="007B5829">
        <w:rPr>
          <w:lang w:eastAsia="ja-JP"/>
        </w:rPr>
        <w:t xml:space="preserve">regelmäßige Reviews </w:t>
      </w:r>
      <w:r>
        <w:rPr>
          <w:lang w:eastAsia="ja-JP"/>
        </w:rPr>
        <w:t>seiner</w:t>
      </w:r>
      <w:r w:rsidR="007B5829">
        <w:rPr>
          <w:lang w:eastAsia="ja-JP"/>
        </w:rPr>
        <w:t xml:space="preserve"> bestehenden Sicherheitskonzepte inkl. der organisatorischen und technischen Sicherheitsmaßnahmen durchführen und die sich daraus ergebenen Verbesserungspotenziale umsetzen. </w:t>
      </w:r>
    </w:p>
    <w:p w:rsidR="00AD74DC" w:rsidRPr="0071250F" w:rsidRDefault="0071250F" w:rsidP="0071250F">
      <w:pPr>
        <w:pStyle w:val="gemStandard"/>
        <w:rPr>
          <w:b/>
          <w:lang w:eastAsia="ja-JP"/>
        </w:rPr>
      </w:pPr>
      <w:r>
        <w:rPr>
          <w:b/>
        </w:rPr>
        <w:sym w:font="Wingdings" w:char="F0D5"/>
      </w:r>
      <w:r w:rsidR="007B5829" w:rsidRPr="0071250F">
        <w:rPr>
          <w:b/>
          <w:lang w:eastAsia="ja-JP"/>
        </w:rPr>
        <w:t xml:space="preserve"> </w:t>
      </w:r>
    </w:p>
    <w:p w:rsidR="00B677C8" w:rsidRPr="00B677C8" w:rsidRDefault="00B677C8" w:rsidP="00B677C8">
      <w:pPr>
        <w:pStyle w:val="gemEinzug"/>
        <w:ind w:left="708" w:hanging="708"/>
        <w:rPr>
          <w:b/>
          <w:highlight w:val="yellow"/>
        </w:rPr>
      </w:pPr>
      <w:r w:rsidRPr="00B677C8">
        <w:rPr>
          <w:b/>
          <w:highlight w:val="yellow"/>
        </w:rPr>
        <w:sym w:font="Wingdings" w:char="F0D6"/>
      </w:r>
      <w:r w:rsidRPr="00B677C8">
        <w:rPr>
          <w:b/>
          <w:highlight w:val="yellow"/>
        </w:rPr>
        <w:tab/>
        <w:t>GS-A_2158</w:t>
      </w:r>
      <w:r w:rsidR="003C38CE" w:rsidRPr="003C38CE">
        <w:rPr>
          <w:b/>
          <w:highlight w:val="yellow"/>
        </w:rPr>
        <w:t>-01</w:t>
      </w:r>
      <w:r w:rsidRPr="003C38CE">
        <w:rPr>
          <w:b/>
          <w:highlight w:val="yellow"/>
        </w:rPr>
        <w:t xml:space="preserve"> </w:t>
      </w:r>
      <w:r w:rsidRPr="00B677C8">
        <w:rPr>
          <w:b/>
          <w:highlight w:val="yellow"/>
        </w:rPr>
        <w:t xml:space="preserve">Informationstechnische Trennung von Umgebungen mit </w:t>
      </w:r>
      <w:commentRangeStart w:id="97"/>
      <w:r w:rsidRPr="00B677C8">
        <w:rPr>
          <w:b/>
          <w:highlight w:val="yellow"/>
        </w:rPr>
        <w:t>Echtdaten</w:t>
      </w:r>
      <w:commentRangeEnd w:id="97"/>
      <w:r>
        <w:rPr>
          <w:rStyle w:val="Kommentarzeichen"/>
        </w:rPr>
        <w:commentReference w:id="97"/>
      </w:r>
    </w:p>
    <w:p w:rsidR="0071250F" w:rsidRDefault="00B677C8" w:rsidP="00B677C8">
      <w:pPr>
        <w:pStyle w:val="gemEinzug"/>
        <w:kinsoku w:val="0"/>
        <w:ind w:left="709"/>
        <w:rPr>
          <w:b/>
          <w:highlight w:val="yellow"/>
        </w:rPr>
      </w:pPr>
      <w:r w:rsidRPr="00B677C8">
        <w:rPr>
          <w:highlight w:val="yellow"/>
        </w:rPr>
        <w:t>Der Anbieter MUSS sicherstellen, dass die Produktivumgebung der TI des Anbieters (Umgebung mit Echtdaten) informationstechnisch von Testumgebungen getrennt ist.</w:t>
      </w:r>
      <w:r w:rsidRPr="00B677C8">
        <w:rPr>
          <w:b/>
          <w:highlight w:val="yellow"/>
        </w:rPr>
        <w:t xml:space="preserve"> </w:t>
      </w:r>
    </w:p>
    <w:p w:rsidR="00B677C8" w:rsidRPr="0071250F" w:rsidRDefault="0071250F" w:rsidP="0071250F">
      <w:pPr>
        <w:pStyle w:val="gemStandard"/>
        <w:rPr>
          <w:highlight w:val="yellow"/>
        </w:rPr>
      </w:pPr>
      <w:r>
        <w:rPr>
          <w:b/>
          <w:highlight w:val="yellow"/>
        </w:rPr>
        <w:sym w:font="Wingdings" w:char="F0D5"/>
      </w:r>
    </w:p>
    <w:p w:rsidR="00B677C8" w:rsidRPr="00B677C8" w:rsidRDefault="00B677C8" w:rsidP="00B677C8">
      <w:pPr>
        <w:pStyle w:val="gemStandard"/>
        <w:rPr>
          <w:highlight w:val="yellow"/>
        </w:rPr>
      </w:pPr>
      <w:r w:rsidRPr="00B677C8">
        <w:rPr>
          <w:highlight w:val="yellow"/>
        </w:rPr>
        <w:t>Hinweis: Dies bedeutet insbesondere, dass in Testumgebungen keine Echtdaten der TI oder kryptographische Identitäten bzw. Schlüssel der Produktivumgebung der TI verwendet werden dürfen. Genauso dürfen aber auch keine kryptographischen Identitäten bzw. Schlüssel aus Testumgebungen in der Produktivumgebung der TI genutzt werden.</w:t>
      </w:r>
    </w:p>
    <w:p w:rsidR="00B677C8" w:rsidRPr="00B677C8" w:rsidRDefault="00B677C8" w:rsidP="00B677C8">
      <w:pPr>
        <w:pStyle w:val="gemEinzug"/>
        <w:ind w:left="708" w:hanging="708"/>
        <w:rPr>
          <w:b/>
          <w:highlight w:val="yellow"/>
        </w:rPr>
      </w:pPr>
      <w:r w:rsidRPr="00B677C8">
        <w:rPr>
          <w:b/>
          <w:highlight w:val="yellow"/>
        </w:rPr>
        <w:sym w:font="Wingdings" w:char="F0D6"/>
      </w:r>
      <w:r w:rsidRPr="00B677C8">
        <w:rPr>
          <w:b/>
          <w:highlight w:val="yellow"/>
        </w:rPr>
        <w:tab/>
        <w:t>GS-A_2160</w:t>
      </w:r>
      <w:r w:rsidR="003C38CE" w:rsidRPr="003C38CE">
        <w:rPr>
          <w:b/>
          <w:highlight w:val="yellow"/>
        </w:rPr>
        <w:t>-01</w:t>
      </w:r>
      <w:r w:rsidRPr="003C38CE">
        <w:rPr>
          <w:b/>
          <w:highlight w:val="yellow"/>
        </w:rPr>
        <w:t xml:space="preserve"> </w:t>
      </w:r>
      <w:r w:rsidRPr="00B677C8">
        <w:rPr>
          <w:b/>
          <w:highlight w:val="yellow"/>
        </w:rPr>
        <w:t>Nachweispflicht der informationstechnischen Trennung</w:t>
      </w:r>
    </w:p>
    <w:p w:rsidR="0071250F" w:rsidRDefault="00B677C8" w:rsidP="00B677C8">
      <w:pPr>
        <w:pStyle w:val="gemEinzug"/>
        <w:kinsoku w:val="0"/>
        <w:ind w:left="709"/>
        <w:rPr>
          <w:b/>
          <w:highlight w:val="yellow"/>
        </w:rPr>
      </w:pPr>
      <w:r w:rsidRPr="00B677C8">
        <w:rPr>
          <w:highlight w:val="yellow"/>
        </w:rPr>
        <w:t>Der Anbieter MUSS die Wirksamkeit der informationstechnischen Trennung der Produktivumgebung der TI des Anbieters von Testumgebungen nachweisen können.</w:t>
      </w:r>
      <w:r w:rsidRPr="00B677C8">
        <w:rPr>
          <w:b/>
          <w:highlight w:val="yellow"/>
        </w:rPr>
        <w:t xml:space="preserve"> </w:t>
      </w:r>
    </w:p>
    <w:p w:rsidR="00B677C8" w:rsidRPr="0071250F" w:rsidRDefault="0071250F" w:rsidP="0071250F">
      <w:pPr>
        <w:pStyle w:val="gemStandard"/>
      </w:pPr>
      <w:r>
        <w:rPr>
          <w:b/>
          <w:highlight w:val="yellow"/>
        </w:rPr>
        <w:sym w:font="Wingdings" w:char="F0D5"/>
      </w:r>
    </w:p>
    <w:p w:rsidR="00020E2B" w:rsidRDefault="00B0484D" w:rsidP="00020E2B">
      <w:pPr>
        <w:pStyle w:val="gemStandard"/>
      </w:pPr>
      <w:r w:rsidRPr="00B0484D">
        <w:rPr>
          <w:highlight w:val="yellow"/>
        </w:rPr>
        <w:t>Hinweis: Anbietern von Fachdiensten VSDM werden die Anforderungen GS-A_2158</w:t>
      </w:r>
      <w:r w:rsidR="00386D09">
        <w:rPr>
          <w:highlight w:val="yellow"/>
        </w:rPr>
        <w:t>-01</w:t>
      </w:r>
      <w:r w:rsidRPr="00B0484D">
        <w:rPr>
          <w:highlight w:val="yellow"/>
        </w:rPr>
        <w:t xml:space="preserve"> und GS-A_2160</w:t>
      </w:r>
      <w:r w:rsidR="00386D09">
        <w:rPr>
          <w:highlight w:val="yellow"/>
        </w:rPr>
        <w:t>-01</w:t>
      </w:r>
      <w:r w:rsidRPr="00B0484D">
        <w:rPr>
          <w:highlight w:val="yellow"/>
        </w:rPr>
        <w:t xml:space="preserve"> aufgrund  </w:t>
      </w:r>
      <w:r w:rsidR="00020E2B" w:rsidRPr="00020E2B">
        <w:rPr>
          <w:highlight w:val="yellow"/>
        </w:rPr>
        <w:t xml:space="preserve">gesetzlicher Regelungen im </w:t>
      </w:r>
      <w:r w:rsidRPr="00020E2B">
        <w:rPr>
          <w:highlight w:val="yellow"/>
        </w:rPr>
        <w:t xml:space="preserve">SGB </w:t>
      </w:r>
      <w:r w:rsidRPr="00B0484D">
        <w:rPr>
          <w:highlight w:val="yellow"/>
        </w:rPr>
        <w:t xml:space="preserve">X nicht </w:t>
      </w:r>
      <w:commentRangeStart w:id="98"/>
      <w:r w:rsidRPr="00B0484D">
        <w:rPr>
          <w:highlight w:val="yellow"/>
        </w:rPr>
        <w:t>zugeordnet</w:t>
      </w:r>
      <w:commentRangeEnd w:id="98"/>
      <w:r>
        <w:rPr>
          <w:rStyle w:val="Kommentarzeichen"/>
        </w:rPr>
        <w:commentReference w:id="98"/>
      </w:r>
      <w:r w:rsidRPr="00B0484D">
        <w:rPr>
          <w:highlight w:val="yellow"/>
        </w:rPr>
        <w:t>.</w:t>
      </w:r>
    </w:p>
    <w:p w:rsidR="00020E2B" w:rsidRPr="00020E2B" w:rsidRDefault="00020E2B" w:rsidP="00020E2B">
      <w:pPr>
        <w:pStyle w:val="TBD"/>
      </w:pPr>
      <w:r>
        <w:t>Der Verweis auf den konkreten Paragraphen im SGB X ist noch zu ergänzen.</w:t>
      </w:r>
    </w:p>
    <w:p w:rsidR="009551B0" w:rsidRPr="00F93B37" w:rsidRDefault="009551B0" w:rsidP="00A1134E">
      <w:pPr>
        <w:pStyle w:val="gemStandard"/>
        <w:ind w:left="708" w:hanging="708"/>
        <w:rPr>
          <w:b/>
        </w:rPr>
      </w:pPr>
      <w:r w:rsidRPr="00F93B37">
        <w:rPr>
          <w:b/>
        </w:rPr>
        <w:sym w:font="Wingdings" w:char="F0D6"/>
      </w:r>
      <w:r w:rsidRPr="00F93B37">
        <w:rPr>
          <w:b/>
        </w:rPr>
        <w:tab/>
        <w:t>GS-A_4984</w:t>
      </w:r>
      <w:r w:rsidR="003C38CE" w:rsidRPr="003C38CE">
        <w:rPr>
          <w:b/>
          <w:highlight w:val="yellow"/>
        </w:rPr>
        <w:t>-01</w:t>
      </w:r>
      <w:r w:rsidRPr="00F93B37">
        <w:rPr>
          <w:b/>
        </w:rPr>
        <w:t xml:space="preserve"> Befolgen von herstellerspezifischen Vorgaben </w:t>
      </w:r>
    </w:p>
    <w:p w:rsidR="0071250F" w:rsidRDefault="00B20780" w:rsidP="00673DE7">
      <w:pPr>
        <w:pStyle w:val="gemEinzug"/>
        <w:kinsoku w:val="0"/>
        <w:ind w:left="709"/>
        <w:rPr>
          <w:b/>
        </w:rPr>
      </w:pPr>
      <w:r>
        <w:lastRenderedPageBreak/>
        <w:t xml:space="preserve">Der </w:t>
      </w:r>
      <w:r w:rsidR="009551B0" w:rsidRPr="008D67F2">
        <w:t>Anbieter</w:t>
      </w:r>
      <w:r w:rsidR="009551B0" w:rsidRPr="004A09C0">
        <w:t xml:space="preserve"> SOLL für </w:t>
      </w:r>
      <w:r w:rsidR="007F2F73">
        <w:t>die von ihm betriebenen</w:t>
      </w:r>
      <w:r w:rsidR="009551B0" w:rsidRPr="004A09C0">
        <w:t xml:space="preserve"> </w:t>
      </w:r>
      <w:r>
        <w:t xml:space="preserve">Dienste der TI bzw. </w:t>
      </w:r>
      <w:r w:rsidR="007F2F73">
        <w:t xml:space="preserve">der </w:t>
      </w:r>
      <w:r>
        <w:t>weitere</w:t>
      </w:r>
      <w:r w:rsidR="007F2F73">
        <w:t xml:space="preserve">n Anwendungen </w:t>
      </w:r>
      <w:r w:rsidR="009551B0" w:rsidRPr="004A09C0">
        <w:t>herstellerspezifische Sicherheitsvorgaben und -empfehlungen befolgen.</w:t>
      </w:r>
    </w:p>
    <w:p w:rsidR="009551B0" w:rsidRPr="0071250F" w:rsidRDefault="0071250F" w:rsidP="0071250F">
      <w:pPr>
        <w:pStyle w:val="gemStandard"/>
      </w:pPr>
      <w:r>
        <w:rPr>
          <w:b/>
        </w:rPr>
        <w:sym w:font="Wingdings" w:char="F0D5"/>
      </w:r>
    </w:p>
    <w:p w:rsidR="005C1810" w:rsidRPr="00A74755" w:rsidRDefault="005C1810" w:rsidP="005C1810">
      <w:pPr>
        <w:pStyle w:val="gemStandardfett"/>
        <w:rPr>
          <w:lang w:eastAsia="ja-JP"/>
        </w:rPr>
      </w:pPr>
      <w:r w:rsidRPr="00A74755">
        <w:sym w:font="Wingdings" w:char="F0D6"/>
      </w:r>
      <w:r w:rsidRPr="00A74755">
        <w:tab/>
      </w:r>
      <w:r w:rsidRPr="00A74755">
        <w:rPr>
          <w:rFonts w:hint="eastAsia"/>
          <w:lang w:eastAsia="ja-JP"/>
        </w:rPr>
        <w:t>GS-A_2331</w:t>
      </w:r>
      <w:r w:rsidR="003C38CE" w:rsidRPr="003C38CE">
        <w:rPr>
          <w:highlight w:val="yellow"/>
          <w:lang w:eastAsia="ja-JP"/>
        </w:rPr>
        <w:t>-01</w:t>
      </w:r>
      <w:r w:rsidRPr="00A74755">
        <w:rPr>
          <w:lang w:eastAsia="ja-JP"/>
        </w:rPr>
        <w:t xml:space="preserve"> </w:t>
      </w:r>
      <w:r w:rsidRPr="00A74755">
        <w:t>Sicherheitsvorfalls-Management</w:t>
      </w:r>
    </w:p>
    <w:p w:rsidR="0071250F" w:rsidRDefault="005C1810" w:rsidP="005C1810">
      <w:pPr>
        <w:pStyle w:val="gemEinzug"/>
        <w:kinsoku w:val="0"/>
        <w:ind w:left="709"/>
        <w:rPr>
          <w:b/>
        </w:rPr>
      </w:pPr>
      <w:r>
        <w:t xml:space="preserve">Der </w:t>
      </w:r>
      <w:r w:rsidRPr="00A74755">
        <w:rPr>
          <w:lang w:eastAsia="ja-JP"/>
        </w:rPr>
        <w:t>Anbieter M</w:t>
      </w:r>
      <w:r>
        <w:rPr>
          <w:lang w:eastAsia="ja-JP"/>
        </w:rPr>
        <w:t>U</w:t>
      </w:r>
      <w:r w:rsidRPr="00A74755">
        <w:rPr>
          <w:lang w:eastAsia="ja-JP"/>
        </w:rPr>
        <w:t xml:space="preserve">SS Sicherheitsvorfälle („security incidents“) wirksam vorbeugen, </w:t>
      </w:r>
      <w:r>
        <w:rPr>
          <w:lang w:eastAsia="ja-JP"/>
        </w:rPr>
        <w:t xml:space="preserve">diese </w:t>
      </w:r>
      <w:r w:rsidRPr="00A74755">
        <w:rPr>
          <w:lang w:eastAsia="ja-JP"/>
        </w:rPr>
        <w:t>aufdecken und unterbinden.</w:t>
      </w:r>
    </w:p>
    <w:p w:rsidR="005C1810" w:rsidRPr="0071250F" w:rsidRDefault="0071250F" w:rsidP="0071250F">
      <w:pPr>
        <w:pStyle w:val="gemStandard"/>
      </w:pPr>
      <w:r>
        <w:rPr>
          <w:b/>
        </w:rPr>
        <w:sym w:font="Wingdings" w:char="F0D5"/>
      </w:r>
    </w:p>
    <w:p w:rsidR="004C3343" w:rsidRPr="004C3343" w:rsidRDefault="004C3343" w:rsidP="004C3343">
      <w:pPr>
        <w:pStyle w:val="gemStandardfett"/>
        <w:ind w:left="705" w:hanging="705"/>
        <w:rPr>
          <w:highlight w:val="yellow"/>
          <w:lang w:eastAsia="ja-JP"/>
        </w:rPr>
      </w:pPr>
      <w:r w:rsidRPr="004C3343">
        <w:rPr>
          <w:highlight w:val="yellow"/>
        </w:rPr>
        <w:sym w:font="Wingdings" w:char="F0D6"/>
      </w:r>
      <w:r w:rsidRPr="004C3343">
        <w:rPr>
          <w:highlight w:val="yellow"/>
        </w:rPr>
        <w:tab/>
      </w:r>
      <w:r w:rsidRPr="004C3343">
        <w:rPr>
          <w:highlight w:val="yellow"/>
          <w:lang w:eastAsia="ja-JP"/>
        </w:rPr>
        <w:t>GS-A_2355</w:t>
      </w:r>
      <w:r w:rsidR="003C38CE">
        <w:rPr>
          <w:highlight w:val="yellow"/>
          <w:lang w:eastAsia="ja-JP"/>
        </w:rPr>
        <w:t>-01</w:t>
      </w:r>
      <w:r w:rsidRPr="004C3343">
        <w:rPr>
          <w:highlight w:val="yellow"/>
          <w:lang w:eastAsia="ja-JP"/>
        </w:rPr>
        <w:t xml:space="preserve"> </w:t>
      </w:r>
      <w:r w:rsidRPr="004C3343">
        <w:rPr>
          <w:highlight w:val="yellow"/>
        </w:rPr>
        <w:t xml:space="preserve">Meldung von </w:t>
      </w:r>
      <w:r w:rsidRPr="00B677C8">
        <w:rPr>
          <w:strike/>
          <w:highlight w:val="yellow"/>
        </w:rPr>
        <w:t>schwerwiegenden</w:t>
      </w:r>
      <w:r w:rsidRPr="004C3343">
        <w:rPr>
          <w:highlight w:val="yellow"/>
        </w:rPr>
        <w:t xml:space="preserve"> </w:t>
      </w:r>
      <w:r w:rsidR="00B677C8">
        <w:rPr>
          <w:highlight w:val="yellow"/>
        </w:rPr>
        <w:t xml:space="preserve">erheblichen </w:t>
      </w:r>
      <w:r w:rsidRPr="004C3343">
        <w:rPr>
          <w:highlight w:val="yellow"/>
        </w:rPr>
        <w:t xml:space="preserve">Schwachstellen und </w:t>
      </w:r>
      <w:commentRangeStart w:id="99"/>
      <w:r w:rsidRPr="004C3343">
        <w:rPr>
          <w:highlight w:val="yellow"/>
        </w:rPr>
        <w:t>Bedrohungen</w:t>
      </w:r>
      <w:commentRangeEnd w:id="99"/>
      <w:r>
        <w:rPr>
          <w:rStyle w:val="Kommentarzeichen"/>
          <w:b w:val="0"/>
        </w:rPr>
        <w:commentReference w:id="99"/>
      </w:r>
    </w:p>
    <w:p w:rsidR="0071250F" w:rsidRDefault="004C3343" w:rsidP="00B677C8">
      <w:pPr>
        <w:pStyle w:val="gemEinzug"/>
        <w:kinsoku w:val="0"/>
        <w:ind w:left="709"/>
        <w:rPr>
          <w:rFonts w:cs="Arial"/>
          <w:b/>
          <w:highlight w:val="yellow"/>
        </w:rPr>
      </w:pPr>
      <w:r w:rsidRPr="004C3343">
        <w:rPr>
          <w:rFonts w:cs="Arial"/>
          <w:highlight w:val="yellow"/>
          <w:lang w:eastAsia="ja-JP"/>
        </w:rPr>
        <w:t xml:space="preserve">Der Anbieter MUSS </w:t>
      </w:r>
      <w:r w:rsidRPr="00B677C8">
        <w:rPr>
          <w:rFonts w:cs="Arial"/>
          <w:strike/>
          <w:highlight w:val="yellow"/>
          <w:lang w:eastAsia="ja-JP"/>
        </w:rPr>
        <w:t>schwerwiegende</w:t>
      </w:r>
      <w:r w:rsidRPr="004C3343">
        <w:rPr>
          <w:rFonts w:cs="Arial"/>
          <w:highlight w:val="yellow"/>
          <w:lang w:eastAsia="ja-JP"/>
        </w:rPr>
        <w:t xml:space="preserve"> </w:t>
      </w:r>
      <w:r w:rsidR="00B677C8">
        <w:rPr>
          <w:rFonts w:cs="Arial"/>
          <w:highlight w:val="yellow"/>
          <w:lang w:eastAsia="ja-JP"/>
        </w:rPr>
        <w:t xml:space="preserve">erhebliche </w:t>
      </w:r>
      <w:r w:rsidRPr="004C3343">
        <w:rPr>
          <w:rFonts w:cs="Arial"/>
          <w:highlight w:val="yellow"/>
          <w:lang w:eastAsia="ja-JP"/>
        </w:rPr>
        <w:t xml:space="preserve">Schwachstellen und </w:t>
      </w:r>
      <w:r w:rsidRPr="00B677C8">
        <w:rPr>
          <w:rFonts w:cs="Arial"/>
          <w:strike/>
          <w:highlight w:val="yellow"/>
          <w:lang w:eastAsia="ja-JP"/>
        </w:rPr>
        <w:t>schwerwiegende</w:t>
      </w:r>
      <w:r w:rsidRPr="004C3343">
        <w:rPr>
          <w:rFonts w:cs="Arial"/>
          <w:highlight w:val="yellow"/>
          <w:lang w:eastAsia="ja-JP"/>
        </w:rPr>
        <w:t xml:space="preserve"> </w:t>
      </w:r>
      <w:r w:rsidR="00B677C8">
        <w:rPr>
          <w:rFonts w:cs="Arial"/>
          <w:highlight w:val="yellow"/>
          <w:lang w:eastAsia="ja-JP"/>
        </w:rPr>
        <w:t xml:space="preserve">erhebliche </w:t>
      </w:r>
      <w:r w:rsidRPr="004C3343">
        <w:rPr>
          <w:rFonts w:cs="Arial"/>
          <w:highlight w:val="yellow"/>
          <w:lang w:eastAsia="ja-JP"/>
        </w:rPr>
        <w:t xml:space="preserve">Bedrohungen, </w:t>
      </w:r>
      <w:r w:rsidRPr="004C3343">
        <w:rPr>
          <w:highlight w:val="yellow"/>
        </w:rPr>
        <w:t>die Dienste der TI bzw. Dienste einer weiteren Anwendung betreffen,</w:t>
      </w:r>
      <w:r w:rsidRPr="004C3343">
        <w:rPr>
          <w:rFonts w:cs="Arial"/>
          <w:highlight w:val="yellow"/>
          <w:lang w:eastAsia="ja-JP"/>
        </w:rPr>
        <w:t xml:space="preserve"> </w:t>
      </w:r>
      <w:r w:rsidRPr="004F5F07">
        <w:rPr>
          <w:rFonts w:cs="Arial"/>
          <w:highlight w:val="yellow"/>
          <w:lang w:eastAsia="ja-JP"/>
        </w:rPr>
        <w:t xml:space="preserve">unverzüglich </w:t>
      </w:r>
      <w:r w:rsidR="004F5F07" w:rsidRPr="004F5F07">
        <w:rPr>
          <w:rFonts w:cs="Arial"/>
          <w:highlight w:val="yellow"/>
          <w:lang w:eastAsia="ja-JP"/>
        </w:rPr>
        <w:t xml:space="preserve">nach bekannt werden </w:t>
      </w:r>
      <w:r w:rsidRPr="004F5F07">
        <w:rPr>
          <w:rFonts w:cs="Arial"/>
          <w:highlight w:val="yellow"/>
          <w:lang w:eastAsia="ja-JP"/>
        </w:rPr>
        <w:t xml:space="preserve">und </w:t>
      </w:r>
      <w:r w:rsidRPr="004C3343">
        <w:rPr>
          <w:rFonts w:cs="Arial"/>
          <w:highlight w:val="yellow"/>
          <w:lang w:eastAsia="ja-JP"/>
        </w:rPr>
        <w:t>direkt an die gematik melden.</w:t>
      </w:r>
      <w:r w:rsidRPr="004C3343">
        <w:rPr>
          <w:rFonts w:cs="Arial"/>
          <w:b/>
          <w:highlight w:val="yellow"/>
        </w:rPr>
        <w:t xml:space="preserve"> </w:t>
      </w:r>
    </w:p>
    <w:p w:rsidR="004C3343" w:rsidRPr="0071250F" w:rsidRDefault="0071250F" w:rsidP="0071250F">
      <w:pPr>
        <w:pStyle w:val="gemStandard"/>
      </w:pPr>
      <w:r>
        <w:rPr>
          <w:b/>
          <w:highlight w:val="yellow"/>
        </w:rPr>
        <w:sym w:font="Wingdings" w:char="F0D5"/>
      </w:r>
    </w:p>
    <w:p w:rsidR="005C1810" w:rsidRPr="00A74755" w:rsidRDefault="005C1810" w:rsidP="005C1810">
      <w:pPr>
        <w:pStyle w:val="gemStandardfett"/>
        <w:rPr>
          <w:lang w:eastAsia="ja-JP"/>
        </w:rPr>
      </w:pPr>
      <w:r w:rsidRPr="00A74755">
        <w:sym w:font="Wingdings" w:char="F0D6"/>
      </w:r>
      <w:r w:rsidRPr="00A74755">
        <w:tab/>
      </w:r>
      <w:r w:rsidRPr="00A74755">
        <w:rPr>
          <w:rFonts w:hint="eastAsia"/>
          <w:lang w:eastAsia="ja-JP"/>
        </w:rPr>
        <w:t>GS-A_2332</w:t>
      </w:r>
      <w:r w:rsidR="003C38CE" w:rsidRPr="003C38CE">
        <w:rPr>
          <w:highlight w:val="yellow"/>
          <w:lang w:eastAsia="ja-JP"/>
        </w:rPr>
        <w:t>-01</w:t>
      </w:r>
      <w:r w:rsidRPr="00A74755">
        <w:t xml:space="preserve"> Notfallmanagement</w:t>
      </w:r>
    </w:p>
    <w:p w:rsidR="0071250F" w:rsidRDefault="005C1810" w:rsidP="00D624AF">
      <w:pPr>
        <w:pStyle w:val="gemEinzug"/>
        <w:kinsoku w:val="0"/>
        <w:ind w:left="709"/>
        <w:rPr>
          <w:b/>
        </w:rPr>
      </w:pPr>
      <w:proofErr w:type="gramStart"/>
      <w:r>
        <w:t>Der</w:t>
      </w:r>
      <w:proofErr w:type="gramEnd"/>
      <w:r>
        <w:rPr>
          <w:lang w:eastAsia="ja-JP"/>
        </w:rPr>
        <w:t xml:space="preserve"> </w:t>
      </w:r>
      <w:r w:rsidRPr="00A74755">
        <w:rPr>
          <w:rFonts w:hint="eastAsia"/>
          <w:lang w:eastAsia="ja-JP"/>
        </w:rPr>
        <w:t>Anbieter M</w:t>
      </w:r>
      <w:r>
        <w:rPr>
          <w:lang w:eastAsia="ja-JP"/>
        </w:rPr>
        <w:t>U</w:t>
      </w:r>
      <w:r w:rsidRPr="00A74755">
        <w:rPr>
          <w:rFonts w:hint="eastAsia"/>
          <w:lang w:eastAsia="ja-JP"/>
        </w:rPr>
        <w:t xml:space="preserve">SS die durch </w:t>
      </w:r>
      <w:r>
        <w:rPr>
          <w:lang w:eastAsia="ja-JP"/>
        </w:rPr>
        <w:t>N</w:t>
      </w:r>
      <w:r w:rsidRPr="00A74755">
        <w:rPr>
          <w:rFonts w:hint="eastAsia"/>
          <w:lang w:eastAsia="ja-JP"/>
        </w:rPr>
        <w:t>otfälle aufge</w:t>
      </w:r>
      <w:r w:rsidRPr="00A74755">
        <w:rPr>
          <w:lang w:eastAsia="ja-JP"/>
        </w:rPr>
        <w:softHyphen/>
      </w:r>
      <w:r w:rsidRPr="00A74755">
        <w:rPr>
          <w:rFonts w:hint="eastAsia"/>
          <w:lang w:eastAsia="ja-JP"/>
        </w:rPr>
        <w:t>tre</w:t>
      </w:r>
      <w:r w:rsidRPr="00A74755">
        <w:rPr>
          <w:lang w:eastAsia="ja-JP"/>
        </w:rPr>
        <w:softHyphen/>
      </w:r>
      <w:r w:rsidRPr="00A74755">
        <w:rPr>
          <w:rFonts w:hint="eastAsia"/>
          <w:lang w:eastAsia="ja-JP"/>
        </w:rPr>
        <w:t xml:space="preserve">tenen Schäden zeitnah durch </w:t>
      </w:r>
      <w:r>
        <w:rPr>
          <w:rFonts w:hint="eastAsia"/>
          <w:lang w:eastAsia="ja-JP"/>
        </w:rPr>
        <w:t>entsprechende</w:t>
      </w:r>
      <w:r>
        <w:rPr>
          <w:lang w:eastAsia="ja-JP"/>
        </w:rPr>
        <w:t xml:space="preserve"> Maßnahmen seines</w:t>
      </w:r>
      <w:r w:rsidRPr="00A74755">
        <w:rPr>
          <w:rFonts w:hint="eastAsia"/>
          <w:lang w:eastAsia="ja-JP"/>
        </w:rPr>
        <w:t xml:space="preserve"> Notfallmanagement</w:t>
      </w:r>
      <w:r>
        <w:rPr>
          <w:lang w:eastAsia="ja-JP"/>
        </w:rPr>
        <w:t>s</w:t>
      </w:r>
      <w:r w:rsidRPr="00A74755">
        <w:rPr>
          <w:rFonts w:hint="eastAsia"/>
          <w:lang w:eastAsia="ja-JP"/>
        </w:rPr>
        <w:t xml:space="preserve"> korri</w:t>
      </w:r>
      <w:r w:rsidRPr="00A74755">
        <w:rPr>
          <w:lang w:eastAsia="ja-JP"/>
        </w:rPr>
        <w:softHyphen/>
      </w:r>
      <w:r w:rsidRPr="00A74755">
        <w:rPr>
          <w:rFonts w:hint="eastAsia"/>
          <w:lang w:eastAsia="ja-JP"/>
        </w:rPr>
        <w:t>gieren.</w:t>
      </w:r>
      <w:r w:rsidRPr="00A74755">
        <w:rPr>
          <w:b/>
        </w:rPr>
        <w:t xml:space="preserve"> </w:t>
      </w:r>
    </w:p>
    <w:p w:rsidR="00712154" w:rsidRPr="0071250F" w:rsidRDefault="0071250F" w:rsidP="0071250F">
      <w:pPr>
        <w:pStyle w:val="gemStandard"/>
      </w:pPr>
      <w:r>
        <w:rPr>
          <w:b/>
        </w:rPr>
        <w:sym w:font="Wingdings" w:char="F0D5"/>
      </w:r>
    </w:p>
    <w:p w:rsidR="008F79CD" w:rsidRPr="00B71431" w:rsidRDefault="00180D04" w:rsidP="00A4447F">
      <w:pPr>
        <w:pStyle w:val="gemStandard"/>
        <w:rPr>
          <w:b/>
          <w:u w:val="single"/>
        </w:rPr>
      </w:pPr>
      <w:r w:rsidRPr="00B71431">
        <w:rPr>
          <w:b/>
          <w:u w:val="single"/>
        </w:rPr>
        <w:t>Spezialisierung von</w:t>
      </w:r>
      <w:r w:rsidR="008F79CD" w:rsidRPr="00B71431">
        <w:rPr>
          <w:b/>
          <w:u w:val="single"/>
        </w:rPr>
        <w:t xml:space="preserve"> Anforderungen </w:t>
      </w:r>
      <w:r w:rsidR="00A4447F">
        <w:rPr>
          <w:b/>
          <w:u w:val="single"/>
        </w:rPr>
        <w:t>des</w:t>
      </w:r>
      <w:r w:rsidR="008F79CD" w:rsidRPr="00B71431">
        <w:rPr>
          <w:b/>
          <w:u w:val="single"/>
        </w:rPr>
        <w:t xml:space="preserve"> Modul</w:t>
      </w:r>
      <w:r w:rsidR="00A4447F">
        <w:rPr>
          <w:b/>
          <w:u w:val="single"/>
        </w:rPr>
        <w:t>s</w:t>
      </w:r>
      <w:r w:rsidR="008F79CD" w:rsidRPr="00B71431">
        <w:rPr>
          <w:b/>
          <w:u w:val="single"/>
        </w:rPr>
        <w:t xml:space="preserve"> Basis-IS</w:t>
      </w:r>
    </w:p>
    <w:p w:rsidR="002E1BF5" w:rsidRDefault="008F79CD" w:rsidP="003A445F">
      <w:pPr>
        <w:pStyle w:val="gemStandard"/>
      </w:pPr>
      <w:r w:rsidRPr="008F79CD">
        <w:t>Das</w:t>
      </w:r>
      <w:r>
        <w:t xml:space="preserve"> Modul Basis-ISMS </w:t>
      </w:r>
      <w:r w:rsidR="002E1BF5">
        <w:t xml:space="preserve">spezialisiert </w:t>
      </w:r>
      <w:r w:rsidR="003A445F">
        <w:t>die</w:t>
      </w:r>
      <w:r w:rsidR="002E1BF5">
        <w:t xml:space="preserve"> </w:t>
      </w:r>
      <w:r>
        <w:t>Anforderungen</w:t>
      </w:r>
      <w:r w:rsidR="002E1BF5">
        <w:t xml:space="preserve"> </w:t>
      </w:r>
      <w:r w:rsidR="003A445F" w:rsidRPr="00CF3EC9">
        <w:rPr>
          <w:strike/>
          <w:highlight w:val="yellow"/>
        </w:rPr>
        <w:t>WA-A_2011</w:t>
      </w:r>
      <w:r w:rsidR="00CF3EC9" w:rsidRPr="00CF3EC9">
        <w:rPr>
          <w:highlight w:val="yellow"/>
        </w:rPr>
        <w:t xml:space="preserve"> GS-A_5552</w:t>
      </w:r>
      <w:r w:rsidR="003A445F">
        <w:t xml:space="preserve">, </w:t>
      </w:r>
      <w:r w:rsidR="003A445F" w:rsidRPr="00CF3EC9">
        <w:rPr>
          <w:strike/>
          <w:highlight w:val="yellow"/>
        </w:rPr>
        <w:t>WA-A_2013</w:t>
      </w:r>
      <w:r w:rsidR="003A445F" w:rsidRPr="003A445F">
        <w:t xml:space="preserve"> </w:t>
      </w:r>
      <w:r w:rsidR="00CF3EC9">
        <w:rPr>
          <w:highlight w:val="yellow"/>
        </w:rPr>
        <w:t>GS-A_555</w:t>
      </w:r>
      <w:r w:rsidR="00CF3EC9" w:rsidRPr="00CF3EC9">
        <w:rPr>
          <w:highlight w:val="yellow"/>
        </w:rPr>
        <w:t>3</w:t>
      </w:r>
      <w:r w:rsidR="00CF3EC9">
        <w:t xml:space="preserve"> </w:t>
      </w:r>
      <w:r w:rsidR="003A445F">
        <w:t xml:space="preserve">und </w:t>
      </w:r>
      <w:r w:rsidR="003A445F" w:rsidRPr="00CF3EC9">
        <w:rPr>
          <w:strike/>
          <w:highlight w:val="yellow"/>
        </w:rPr>
        <w:t>WA-A_2014</w:t>
      </w:r>
      <w:r w:rsidR="003A445F">
        <w:t xml:space="preserve"> </w:t>
      </w:r>
      <w:r w:rsidR="00CF3EC9" w:rsidRPr="00CF3EC9">
        <w:rPr>
          <w:highlight w:val="yellow"/>
        </w:rPr>
        <w:t>GS-A_555</w:t>
      </w:r>
      <w:r w:rsidR="00CF3EC9">
        <w:rPr>
          <w:highlight w:val="yellow"/>
        </w:rPr>
        <w:t>4</w:t>
      </w:r>
      <w:r w:rsidR="00CF3EC9">
        <w:t xml:space="preserve"> </w:t>
      </w:r>
      <w:r w:rsidR="002E1BF5">
        <w:t xml:space="preserve">des Moduls Basis-IS. </w:t>
      </w:r>
      <w:r w:rsidR="003A445F">
        <w:t xml:space="preserve">Werden die </w:t>
      </w:r>
      <w:r w:rsidR="002E1BF5">
        <w:t>Anford</w:t>
      </w:r>
      <w:r w:rsidR="00F32DB2">
        <w:t>e</w:t>
      </w:r>
      <w:r w:rsidR="00657EE7">
        <w:t>rungen des Moduls Basis-ISMS um</w:t>
      </w:r>
      <w:r w:rsidR="002E1BF5">
        <w:t>gesetzt</w:t>
      </w:r>
      <w:r w:rsidR="00657EE7">
        <w:t>,</w:t>
      </w:r>
      <w:r w:rsidR="002E1BF5">
        <w:t xml:space="preserve"> </w:t>
      </w:r>
      <w:r w:rsidR="00657EE7">
        <w:t>so auch d</w:t>
      </w:r>
      <w:r w:rsidR="00DB4B88">
        <w:t>ie</w:t>
      </w:r>
      <w:r w:rsidR="00657EE7">
        <w:t>se</w:t>
      </w:r>
      <w:r w:rsidR="00DB4B88">
        <w:t xml:space="preserve"> Anforderungen</w:t>
      </w:r>
      <w:r w:rsidR="00695B59">
        <w:t xml:space="preserve"> des Moduls Basis-IS</w:t>
      </w:r>
      <w:r w:rsidR="002E1BF5">
        <w:t xml:space="preserve">. </w:t>
      </w:r>
      <w:r w:rsidR="003A445F">
        <w:t xml:space="preserve">Daher werden die Anforderungen </w:t>
      </w:r>
      <w:r w:rsidR="00CF3EC9" w:rsidRPr="00CF3EC9">
        <w:rPr>
          <w:strike/>
          <w:highlight w:val="yellow"/>
        </w:rPr>
        <w:t>WA-A_2011</w:t>
      </w:r>
      <w:r w:rsidR="00CF3EC9" w:rsidRPr="00CF3EC9">
        <w:rPr>
          <w:highlight w:val="yellow"/>
        </w:rPr>
        <w:t xml:space="preserve"> GS-A_5552</w:t>
      </w:r>
      <w:r w:rsidR="00CF3EC9">
        <w:t xml:space="preserve">, </w:t>
      </w:r>
      <w:r w:rsidR="00CF3EC9" w:rsidRPr="00CF3EC9">
        <w:rPr>
          <w:strike/>
          <w:highlight w:val="yellow"/>
        </w:rPr>
        <w:t>WA-A_2013</w:t>
      </w:r>
      <w:r w:rsidR="00CF3EC9" w:rsidRPr="003A445F">
        <w:t xml:space="preserve"> </w:t>
      </w:r>
      <w:r w:rsidR="00CF3EC9">
        <w:rPr>
          <w:highlight w:val="yellow"/>
        </w:rPr>
        <w:t>GS-A_555</w:t>
      </w:r>
      <w:r w:rsidR="00CF3EC9" w:rsidRPr="00CF3EC9">
        <w:rPr>
          <w:highlight w:val="yellow"/>
        </w:rPr>
        <w:t>3</w:t>
      </w:r>
      <w:r w:rsidR="00CF3EC9">
        <w:t xml:space="preserve"> und </w:t>
      </w:r>
      <w:r w:rsidR="00CF3EC9" w:rsidRPr="00CF3EC9">
        <w:rPr>
          <w:strike/>
          <w:highlight w:val="yellow"/>
        </w:rPr>
        <w:t>WA-A_2014</w:t>
      </w:r>
      <w:r w:rsidR="00CF3EC9">
        <w:t xml:space="preserve"> </w:t>
      </w:r>
      <w:r w:rsidR="00CF3EC9" w:rsidRPr="00CF3EC9">
        <w:rPr>
          <w:highlight w:val="yellow"/>
        </w:rPr>
        <w:t>GS-A_555</w:t>
      </w:r>
      <w:r w:rsidR="00CF3EC9">
        <w:rPr>
          <w:highlight w:val="yellow"/>
        </w:rPr>
        <w:t>4</w:t>
      </w:r>
      <w:r w:rsidR="003802F2">
        <w:t xml:space="preserve"> nicht den</w:t>
      </w:r>
      <w:r w:rsidR="00866993">
        <w:t xml:space="preserve"> Anbietern zugeordnet, denen das Modul</w:t>
      </w:r>
      <w:r w:rsidR="002E1BF5">
        <w:t xml:space="preserve"> Basis-ISMS zugeordnet</w:t>
      </w:r>
      <w:r w:rsidR="00866993">
        <w:t xml:space="preserve"> </w:t>
      </w:r>
      <w:r w:rsidR="00DB4B88">
        <w:t>ist</w:t>
      </w:r>
      <w:r w:rsidR="002E1BF5">
        <w:t xml:space="preserve">. </w:t>
      </w:r>
    </w:p>
    <w:p w:rsidR="00C1030D" w:rsidRDefault="00C1030D" w:rsidP="0071250F">
      <w:pPr>
        <w:pStyle w:val="berschrift2"/>
      </w:pPr>
      <w:bookmarkStart w:id="100" w:name="_Toc496278484"/>
      <w:bookmarkStart w:id="101" w:name="_Toc496518250"/>
      <w:bookmarkStart w:id="102" w:name="_Toc493494941"/>
      <w:bookmarkStart w:id="103" w:name="_Toc493494943"/>
      <w:bookmarkStart w:id="104" w:name="_Ref476238804"/>
      <w:bookmarkStart w:id="105" w:name="_Toc503165502"/>
      <w:bookmarkEnd w:id="100"/>
      <w:bookmarkEnd w:id="101"/>
      <w:bookmarkEnd w:id="102"/>
      <w:bookmarkEnd w:id="103"/>
      <w:r>
        <w:t xml:space="preserve">Modul </w:t>
      </w:r>
      <w:r w:rsidR="00C403FC">
        <w:t xml:space="preserve">„Erweitertes </w:t>
      </w:r>
      <w:r>
        <w:t>ISMS</w:t>
      </w:r>
      <w:r w:rsidR="00C403FC">
        <w:t>“</w:t>
      </w:r>
      <w:bookmarkEnd w:id="104"/>
      <w:bookmarkEnd w:id="105"/>
    </w:p>
    <w:p w:rsidR="009635AB" w:rsidRDefault="0023747C" w:rsidP="0023747C">
      <w:pPr>
        <w:pStyle w:val="gemStandard"/>
      </w:pPr>
      <w:r>
        <w:rPr>
          <w:lang w:eastAsia="ja-JP"/>
        </w:rPr>
        <w:t xml:space="preserve">Von Anbietern, </w:t>
      </w:r>
      <w:r w:rsidR="00235DC8">
        <w:rPr>
          <w:lang w:eastAsia="ja-JP"/>
        </w:rPr>
        <w:t xml:space="preserve">denen </w:t>
      </w:r>
      <w:r>
        <w:rPr>
          <w:lang w:eastAsia="ja-JP"/>
        </w:rPr>
        <w:t xml:space="preserve">das Modul </w:t>
      </w:r>
      <w:r w:rsidR="00235DC8">
        <w:rPr>
          <w:lang w:eastAsia="ja-JP"/>
        </w:rPr>
        <w:t>„E</w:t>
      </w:r>
      <w:r>
        <w:rPr>
          <w:lang w:eastAsia="ja-JP"/>
        </w:rPr>
        <w:t>rweitertes ISMS</w:t>
      </w:r>
      <w:r w:rsidR="00235DC8">
        <w:rPr>
          <w:lang w:eastAsia="ja-JP"/>
        </w:rPr>
        <w:t>“</w:t>
      </w:r>
      <w:r>
        <w:rPr>
          <w:lang w:eastAsia="ja-JP"/>
        </w:rPr>
        <w:t xml:space="preserve"> </w:t>
      </w:r>
      <w:r w:rsidR="00235DC8">
        <w:rPr>
          <w:lang w:eastAsia="ja-JP"/>
        </w:rPr>
        <w:t>zugeordnet ist</w:t>
      </w:r>
      <w:r>
        <w:rPr>
          <w:lang w:eastAsia="ja-JP"/>
        </w:rPr>
        <w:t>, wird eine enge Zusammenarbeit mit</w:t>
      </w:r>
      <w:r w:rsidR="009635AB">
        <w:t xml:space="preserve"> dem CERT der gematik</w:t>
      </w:r>
      <w:r>
        <w:t xml:space="preserve"> hinsichtlich </w:t>
      </w:r>
      <w:r w:rsidR="009635AB">
        <w:t>der Erkennung, Analyse,</w:t>
      </w:r>
      <w:r w:rsidR="00556D48">
        <w:t xml:space="preserve"> </w:t>
      </w:r>
      <w:r w:rsidR="009635AB">
        <w:t>Bewertung und</w:t>
      </w:r>
      <w:r w:rsidR="00556D48">
        <w:t xml:space="preserve"> </w:t>
      </w:r>
      <w:r w:rsidR="009635AB">
        <w:t xml:space="preserve">dem Umgang von Sicherheitsvorfällen, Schwachstellen, Bedrohungen und Risiken </w:t>
      </w:r>
      <w:r>
        <w:t>erwartet</w:t>
      </w:r>
      <w:r w:rsidR="009635AB">
        <w:t>.</w:t>
      </w:r>
      <w:r>
        <w:t xml:space="preserve"> Die folgenden Anforderungen konkretisieren diese Notwendigkeit.</w:t>
      </w:r>
    </w:p>
    <w:p w:rsidR="0069698E" w:rsidRDefault="0069698E" w:rsidP="0069698E">
      <w:pPr>
        <w:pStyle w:val="gemStandard"/>
      </w:pPr>
      <w:r w:rsidRPr="008D67F2">
        <w:rPr>
          <w:b/>
        </w:rPr>
        <w:sym w:font="Wingdings" w:char="F0D6"/>
      </w:r>
      <w:r>
        <w:rPr>
          <w:b/>
        </w:rPr>
        <w:tab/>
      </w:r>
      <w:r w:rsidRPr="001514A3">
        <w:rPr>
          <w:b/>
        </w:rPr>
        <w:t>GS-A_2343</w:t>
      </w:r>
      <w:r w:rsidR="005D6B06" w:rsidRPr="005D6B06">
        <w:rPr>
          <w:b/>
          <w:highlight w:val="yellow"/>
        </w:rPr>
        <w:t>-01</w:t>
      </w:r>
      <w:r>
        <w:rPr>
          <w:b/>
        </w:rPr>
        <w:t xml:space="preserve"> </w:t>
      </w:r>
      <w:r w:rsidRPr="00294D72">
        <w:rPr>
          <w:b/>
          <w:strike/>
          <w:highlight w:val="yellow"/>
        </w:rPr>
        <w:t>ISM der Beteiligten:</w:t>
      </w:r>
      <w:r w:rsidRPr="001514A3">
        <w:rPr>
          <w:b/>
        </w:rPr>
        <w:t xml:space="preserve"> eigene Audits</w:t>
      </w:r>
      <w:r w:rsidRPr="001514A3">
        <w:t xml:space="preserve"> </w:t>
      </w:r>
    </w:p>
    <w:p w:rsidR="0071250F" w:rsidRDefault="0069698E" w:rsidP="0069698E">
      <w:pPr>
        <w:pStyle w:val="gemEinzug"/>
        <w:kinsoku w:val="0"/>
        <w:ind w:left="709"/>
        <w:rPr>
          <w:b/>
        </w:rPr>
      </w:pPr>
      <w:r>
        <w:rPr>
          <w:lang w:eastAsia="ja-JP"/>
        </w:rPr>
        <w:t xml:space="preserve">Der </w:t>
      </w:r>
      <w:r w:rsidRPr="0069698E">
        <w:rPr>
          <w:rFonts w:cs="Arial"/>
          <w:lang w:eastAsia="ja-JP"/>
        </w:rPr>
        <w:t>Anbieter</w:t>
      </w:r>
      <w:r>
        <w:t xml:space="preserve"> MU</w:t>
      </w:r>
      <w:r w:rsidRPr="001514A3">
        <w:t xml:space="preserve">SS zur Überprüfung der </w:t>
      </w:r>
      <w:r>
        <w:t xml:space="preserve">etablierten Sicherheitsmaßnahmen </w:t>
      </w:r>
      <w:r w:rsidRPr="001514A3">
        <w:t>regelmäßige und ggf. anlassbezogen</w:t>
      </w:r>
      <w:r>
        <w:t>e Audits planen und durchführen.</w:t>
      </w:r>
    </w:p>
    <w:p w:rsidR="0069698E" w:rsidRPr="0071250F" w:rsidRDefault="0071250F" w:rsidP="0071250F">
      <w:pPr>
        <w:pStyle w:val="gemStandard"/>
        <w:rPr>
          <w:lang w:eastAsia="ja-JP"/>
        </w:rPr>
      </w:pPr>
      <w:r>
        <w:rPr>
          <w:b/>
        </w:rPr>
        <w:sym w:font="Wingdings" w:char="F0D5"/>
      </w:r>
    </w:p>
    <w:p w:rsidR="00795EF9" w:rsidRPr="00D624AF" w:rsidRDefault="009635AB" w:rsidP="00795EF9">
      <w:pPr>
        <w:pStyle w:val="gemStandardfett"/>
        <w:ind w:left="705" w:hanging="705"/>
        <w:rPr>
          <w:lang w:val="en-US" w:eastAsia="ja-JP"/>
        </w:rPr>
      </w:pPr>
      <w:r w:rsidRPr="00815302">
        <w:rPr>
          <w:lang w:eastAsia="ja-JP"/>
        </w:rPr>
        <w:sym w:font="Wingdings" w:char="F0D6"/>
      </w:r>
      <w:r w:rsidRPr="00D624AF">
        <w:rPr>
          <w:lang w:val="en-US" w:eastAsia="ja-JP"/>
        </w:rPr>
        <w:tab/>
      </w:r>
      <w:r w:rsidR="00795EF9" w:rsidRPr="00D624AF">
        <w:rPr>
          <w:highlight w:val="yellow"/>
          <w:lang w:val="en-US"/>
        </w:rPr>
        <w:tab/>
      </w:r>
      <w:r w:rsidR="005D6B06" w:rsidRPr="005D6B06">
        <w:rPr>
          <w:highlight w:val="yellow"/>
          <w:lang w:val="en-US"/>
        </w:rPr>
        <w:t>GS-A_5557</w:t>
      </w:r>
      <w:r w:rsidR="005D6B06">
        <w:rPr>
          <w:lang w:val="en-US"/>
        </w:rPr>
        <w:t xml:space="preserve"> </w:t>
      </w:r>
      <w:r w:rsidR="00795EF9" w:rsidRPr="00D624AF">
        <w:rPr>
          <w:lang w:val="en-US"/>
        </w:rPr>
        <w:t>Security Monitoring</w:t>
      </w:r>
    </w:p>
    <w:p w:rsidR="0071250F" w:rsidRDefault="00235DC8" w:rsidP="00673DE7">
      <w:pPr>
        <w:pStyle w:val="gemEinzug"/>
        <w:kinsoku w:val="0"/>
        <w:ind w:left="709"/>
        <w:rPr>
          <w:rFonts w:cs="Arial"/>
          <w:b/>
        </w:rPr>
      </w:pPr>
      <w:proofErr w:type="gramStart"/>
      <w:r w:rsidRPr="00673DE7">
        <w:lastRenderedPageBreak/>
        <w:t>Der</w:t>
      </w:r>
      <w:proofErr w:type="gramEnd"/>
      <w:r>
        <w:rPr>
          <w:rFonts w:cs="Arial"/>
          <w:lang w:eastAsia="ja-JP"/>
        </w:rPr>
        <w:t xml:space="preserve"> </w:t>
      </w:r>
      <w:r w:rsidR="00795EF9" w:rsidRPr="002D5EA5">
        <w:rPr>
          <w:rFonts w:cs="Arial"/>
          <w:lang w:eastAsia="ja-JP"/>
        </w:rPr>
        <w:t>Anbieter M</w:t>
      </w:r>
      <w:r>
        <w:rPr>
          <w:rFonts w:cs="Arial"/>
          <w:lang w:eastAsia="ja-JP"/>
        </w:rPr>
        <w:t>U</w:t>
      </w:r>
      <w:r w:rsidR="00795EF9" w:rsidRPr="002D5EA5">
        <w:rPr>
          <w:rFonts w:cs="Arial"/>
          <w:lang w:eastAsia="ja-JP"/>
        </w:rPr>
        <w:t>SS im Rahmen eines Security Monitoring präventive Maßnahmen zur Erkennung und Analyse von Bedrohungen (z.</w:t>
      </w:r>
      <w:r w:rsidR="003E6A9C">
        <w:rPr>
          <w:rFonts w:cs="Arial"/>
          <w:lang w:eastAsia="ja-JP"/>
        </w:rPr>
        <w:t> </w:t>
      </w:r>
      <w:r w:rsidR="00795EF9" w:rsidRPr="002D5EA5">
        <w:rPr>
          <w:rFonts w:cs="Arial"/>
          <w:lang w:eastAsia="ja-JP"/>
        </w:rPr>
        <w:t>B. über Korrelation und Auswertung von Log-Daten) durchführen.</w:t>
      </w:r>
      <w:r w:rsidR="00795EF9" w:rsidRPr="002D5EA5">
        <w:rPr>
          <w:rFonts w:cs="Arial"/>
          <w:b/>
        </w:rPr>
        <w:t xml:space="preserve"> </w:t>
      </w:r>
    </w:p>
    <w:p w:rsidR="00795EF9" w:rsidRPr="0071250F" w:rsidRDefault="0071250F" w:rsidP="0071250F">
      <w:pPr>
        <w:pStyle w:val="gemStandard"/>
      </w:pPr>
      <w:r>
        <w:rPr>
          <w:b/>
        </w:rPr>
        <w:sym w:font="Wingdings" w:char="F0D5"/>
      </w:r>
    </w:p>
    <w:p w:rsidR="0023747C" w:rsidRDefault="0023747C" w:rsidP="005D54A7">
      <w:pPr>
        <w:pStyle w:val="gemStandard"/>
      </w:pPr>
      <w:r>
        <w:t xml:space="preserve">Hinweis: Die </w:t>
      </w:r>
      <w:r w:rsidR="005C1810">
        <w:t xml:space="preserve">durch den Anbieter </w:t>
      </w:r>
      <w:r>
        <w:t>auszuwertenden Informationen (z.</w:t>
      </w:r>
      <w:r w:rsidR="003E6A9C">
        <w:t> </w:t>
      </w:r>
      <w:r>
        <w:t xml:space="preserve">B. Log-Daten </w:t>
      </w:r>
      <w:r w:rsidR="00D34EAB">
        <w:t>der Kommunikationsverbindungen und</w:t>
      </w:r>
      <w:r>
        <w:t xml:space="preserve"> </w:t>
      </w:r>
      <w:r w:rsidR="00D34EAB">
        <w:t>anwendungsnaher Dienste</w:t>
      </w:r>
      <w:r>
        <w:t xml:space="preserve">) sind mit der gematik </w:t>
      </w:r>
      <w:r w:rsidR="00F17DD9" w:rsidRPr="00F17DD9">
        <w:rPr>
          <w:highlight w:val="yellow"/>
        </w:rPr>
        <w:t xml:space="preserve">vor Betriebsaufnahme </w:t>
      </w:r>
      <w:commentRangeStart w:id="106"/>
      <w:r w:rsidR="00F17DD9" w:rsidRPr="00F17DD9">
        <w:rPr>
          <w:highlight w:val="yellow"/>
        </w:rPr>
        <w:t>und</w:t>
      </w:r>
      <w:commentRangeEnd w:id="106"/>
      <w:r w:rsidR="00F17DD9">
        <w:rPr>
          <w:rStyle w:val="Kommentarzeichen"/>
        </w:rPr>
        <w:commentReference w:id="106"/>
      </w:r>
      <w:r w:rsidR="00F17DD9">
        <w:t xml:space="preserve"> </w:t>
      </w:r>
      <w:r>
        <w:t>im Rahmen der Einführung neuer Produkte und bei Änderungen an bestehenden Produkten abzustimmen.</w:t>
      </w:r>
    </w:p>
    <w:p w:rsidR="00D34EAB" w:rsidRPr="007F292A" w:rsidRDefault="00905414" w:rsidP="00D34EAB">
      <w:pPr>
        <w:pStyle w:val="gemStandardfett"/>
        <w:ind w:left="705" w:hanging="705"/>
        <w:rPr>
          <w:strike/>
          <w:highlight w:val="yellow"/>
          <w:lang w:eastAsia="ja-JP"/>
        </w:rPr>
      </w:pPr>
      <w:r>
        <w:rPr>
          <w:strike/>
          <w:highlight w:val="yellow"/>
          <w:lang w:eastAsia="ja-JP"/>
        </w:rPr>
        <w:t>X</w:t>
      </w:r>
      <w:r w:rsidR="00D34EAB" w:rsidRPr="007F292A">
        <w:rPr>
          <w:strike/>
          <w:highlight w:val="yellow"/>
          <w:lang w:eastAsia="ja-JP"/>
        </w:rPr>
        <w:tab/>
      </w:r>
      <w:r w:rsidR="00D34EAB" w:rsidRPr="007F292A">
        <w:rPr>
          <w:strike/>
          <w:highlight w:val="yellow"/>
        </w:rPr>
        <w:tab/>
      </w:r>
      <w:r w:rsidR="00D34EAB" w:rsidRPr="007F292A">
        <w:rPr>
          <w:strike/>
          <w:highlight w:val="yellow"/>
          <w:lang w:eastAsia="ja-JP"/>
        </w:rPr>
        <w:t>GS-A_NEU_e</w:t>
      </w:r>
      <w:r w:rsidR="00D34EAB" w:rsidRPr="007F292A">
        <w:rPr>
          <w:strike/>
          <w:highlight w:val="yellow"/>
        </w:rPr>
        <w:t>ISMS_</w:t>
      </w:r>
      <w:r w:rsidR="00CC1C42" w:rsidRPr="007F292A">
        <w:rPr>
          <w:strike/>
          <w:highlight w:val="yellow"/>
        </w:rPr>
        <w:t>02</w:t>
      </w:r>
      <w:r w:rsidR="00D34EAB" w:rsidRPr="007F292A">
        <w:rPr>
          <w:strike/>
          <w:highlight w:val="yellow"/>
        </w:rPr>
        <w:t xml:space="preserve"> Bereitstellung Security Monitoring </w:t>
      </w:r>
      <w:commentRangeStart w:id="107"/>
      <w:r w:rsidR="00D34EAB" w:rsidRPr="007F292A">
        <w:rPr>
          <w:strike/>
          <w:highlight w:val="yellow"/>
        </w:rPr>
        <w:t>Ergebnisse</w:t>
      </w:r>
      <w:commentRangeEnd w:id="107"/>
      <w:r w:rsidR="007F292A">
        <w:rPr>
          <w:rStyle w:val="Kommentarzeichen"/>
          <w:b w:val="0"/>
        </w:rPr>
        <w:commentReference w:id="107"/>
      </w:r>
    </w:p>
    <w:p w:rsidR="00D34EAB" w:rsidRPr="007F292A" w:rsidRDefault="00235DC8" w:rsidP="00795EF9">
      <w:pPr>
        <w:pStyle w:val="gemEinzug"/>
        <w:ind w:left="709"/>
        <w:rPr>
          <w:strike/>
          <w:highlight w:val="yellow"/>
        </w:rPr>
      </w:pPr>
      <w:r w:rsidRPr="007F292A">
        <w:rPr>
          <w:strike/>
          <w:highlight w:val="yellow"/>
        </w:rPr>
        <w:t xml:space="preserve">Der </w:t>
      </w:r>
      <w:r w:rsidR="00D34EAB" w:rsidRPr="007F292A">
        <w:rPr>
          <w:strike/>
          <w:highlight w:val="yellow"/>
        </w:rPr>
        <w:t>Anbieter M</w:t>
      </w:r>
      <w:r w:rsidRPr="007F292A">
        <w:rPr>
          <w:strike/>
          <w:highlight w:val="yellow"/>
        </w:rPr>
        <w:t>U</w:t>
      </w:r>
      <w:r w:rsidR="00D34EAB" w:rsidRPr="007F292A">
        <w:rPr>
          <w:strike/>
          <w:highlight w:val="yellow"/>
        </w:rPr>
        <w:t xml:space="preserve">SS der gematik die Ergebnisse </w:t>
      </w:r>
      <w:r w:rsidRPr="007F292A">
        <w:rPr>
          <w:strike/>
          <w:highlight w:val="yellow"/>
        </w:rPr>
        <w:t>seines</w:t>
      </w:r>
      <w:r w:rsidR="00D34EAB" w:rsidRPr="007F292A">
        <w:rPr>
          <w:strike/>
          <w:highlight w:val="yellow"/>
        </w:rPr>
        <w:t xml:space="preserve"> Security Monitorings monatlich zur Verfügung stellen. </w:t>
      </w:r>
      <w:r w:rsidR="00905414">
        <w:rPr>
          <w:strike/>
          <w:highlight w:val="yellow"/>
        </w:rPr>
        <w:t>X</w:t>
      </w:r>
    </w:p>
    <w:p w:rsidR="00D34EAB" w:rsidRPr="007F292A" w:rsidRDefault="00D34EAB" w:rsidP="005D54A7">
      <w:pPr>
        <w:pStyle w:val="gemStandard"/>
        <w:rPr>
          <w:strike/>
        </w:rPr>
      </w:pPr>
      <w:r w:rsidRPr="007F292A">
        <w:rPr>
          <w:strike/>
          <w:highlight w:val="yellow"/>
        </w:rPr>
        <w:t xml:space="preserve">Hinweis: Der Detailgrad und das zu verwendende Format der bereitzustellenden Security Monitoring Ergebnisse ist </w:t>
      </w:r>
      <w:r w:rsidR="00BE4606" w:rsidRPr="007F292A">
        <w:rPr>
          <w:strike/>
          <w:highlight w:val="yellow"/>
        </w:rPr>
        <w:t xml:space="preserve">vor Betriebsaufnahme und </w:t>
      </w:r>
      <w:r w:rsidRPr="007F292A">
        <w:rPr>
          <w:strike/>
          <w:highlight w:val="yellow"/>
        </w:rPr>
        <w:t>im Rahmen der Einführung neuer Produkte und bei Änderungen an bestehenden Produkten mit der gematik abzustimmen.</w:t>
      </w:r>
    </w:p>
    <w:p w:rsidR="00795EF9" w:rsidRPr="00A74755" w:rsidRDefault="00123F2F" w:rsidP="00795EF9">
      <w:pPr>
        <w:pStyle w:val="gemStandardfett"/>
        <w:rPr>
          <w:lang w:eastAsia="ja-JP"/>
        </w:rPr>
      </w:pPr>
      <w:r w:rsidRPr="00815302">
        <w:rPr>
          <w:lang w:eastAsia="ja-JP"/>
        </w:rPr>
        <w:sym w:font="Wingdings" w:char="F0D6"/>
      </w:r>
      <w:r w:rsidRPr="00123F2F">
        <w:rPr>
          <w:lang w:eastAsia="ja-JP"/>
        </w:rPr>
        <w:tab/>
      </w:r>
      <w:r w:rsidR="008C7E69" w:rsidRPr="008C7E69">
        <w:rPr>
          <w:highlight w:val="yellow"/>
        </w:rPr>
        <w:t>GS-A_5558</w:t>
      </w:r>
      <w:r w:rsidR="008C7E69">
        <w:t xml:space="preserve"> </w:t>
      </w:r>
      <w:r w:rsidR="00CC1C42">
        <w:t>A</w:t>
      </w:r>
      <w:r w:rsidR="00795EF9">
        <w:t xml:space="preserve">ktive </w:t>
      </w:r>
      <w:r w:rsidR="00795EF9" w:rsidRPr="00A74755">
        <w:t>Schwachstellen</w:t>
      </w:r>
      <w:r>
        <w:t>scans</w:t>
      </w:r>
    </w:p>
    <w:p w:rsidR="0071250F" w:rsidRDefault="00235DC8" w:rsidP="00795EF9">
      <w:pPr>
        <w:pStyle w:val="gemEinzug"/>
        <w:ind w:left="709"/>
        <w:rPr>
          <w:rFonts w:cs="Arial"/>
          <w:b/>
        </w:rPr>
      </w:pPr>
      <w:r>
        <w:rPr>
          <w:rFonts w:cs="Arial"/>
          <w:lang w:eastAsia="ja-JP"/>
        </w:rPr>
        <w:t xml:space="preserve">Der </w:t>
      </w:r>
      <w:r w:rsidR="00795EF9" w:rsidRPr="002D5EA5">
        <w:rPr>
          <w:rFonts w:cs="Arial"/>
          <w:lang w:eastAsia="ja-JP"/>
        </w:rPr>
        <w:t>Anbieter</w:t>
      </w:r>
      <w:r w:rsidR="00795EF9" w:rsidRPr="00A74755">
        <w:rPr>
          <w:rFonts w:cs="Arial"/>
          <w:lang w:eastAsia="ja-JP"/>
        </w:rPr>
        <w:t xml:space="preserve"> M</w:t>
      </w:r>
      <w:r>
        <w:rPr>
          <w:rFonts w:cs="Arial"/>
          <w:lang w:eastAsia="ja-JP"/>
        </w:rPr>
        <w:t>U</w:t>
      </w:r>
      <w:r w:rsidR="00795EF9" w:rsidRPr="00A74755">
        <w:rPr>
          <w:rFonts w:cs="Arial"/>
          <w:lang w:eastAsia="ja-JP"/>
        </w:rPr>
        <w:t xml:space="preserve">SS im Rahmen </w:t>
      </w:r>
      <w:r>
        <w:rPr>
          <w:rFonts w:cs="Arial"/>
          <w:lang w:eastAsia="ja-JP"/>
        </w:rPr>
        <w:t>seines</w:t>
      </w:r>
      <w:r w:rsidR="00795EF9">
        <w:rPr>
          <w:rFonts w:cs="Arial"/>
          <w:lang w:eastAsia="ja-JP"/>
        </w:rPr>
        <w:t xml:space="preserve"> Schwachstellenmanagements</w:t>
      </w:r>
      <w:r w:rsidR="00123F2F">
        <w:rPr>
          <w:rFonts w:cs="Arial"/>
          <w:lang w:eastAsia="ja-JP"/>
        </w:rPr>
        <w:t xml:space="preserve"> mindestens</w:t>
      </w:r>
      <w:r w:rsidR="00795EF9">
        <w:rPr>
          <w:rFonts w:cs="Arial"/>
          <w:lang w:eastAsia="ja-JP"/>
        </w:rPr>
        <w:t xml:space="preserve"> </w:t>
      </w:r>
      <w:r w:rsidR="00123F2F">
        <w:rPr>
          <w:rFonts w:cs="Arial"/>
          <w:lang w:eastAsia="ja-JP"/>
        </w:rPr>
        <w:t>monatliche</w:t>
      </w:r>
      <w:r w:rsidR="00795EF9">
        <w:rPr>
          <w:rFonts w:cs="Arial"/>
          <w:lang w:eastAsia="ja-JP"/>
        </w:rPr>
        <w:t xml:space="preserve"> Schwachstellenscans oder vergleichbare Maßnahmen </w:t>
      </w:r>
      <w:r w:rsidR="00795EF9" w:rsidRPr="002D5EA5">
        <w:rPr>
          <w:rFonts w:cs="Arial"/>
          <w:lang w:eastAsia="ja-JP"/>
        </w:rPr>
        <w:t>zur Erkennung und Analyse von tech</w:t>
      </w:r>
      <w:r w:rsidR="00795EF9" w:rsidRPr="002D5EA5">
        <w:rPr>
          <w:rFonts w:cs="Arial"/>
          <w:lang w:eastAsia="ja-JP"/>
        </w:rPr>
        <w:softHyphen/>
        <w:t xml:space="preserve">nischen Schwachstellen („vulnerabilities“) </w:t>
      </w:r>
      <w:r w:rsidR="005C1810">
        <w:rPr>
          <w:rFonts w:cs="Arial"/>
          <w:lang w:eastAsia="ja-JP"/>
        </w:rPr>
        <w:t xml:space="preserve">in den vom ihm betriebenen Dienst der TI bzw. der weiteren Anwendung </w:t>
      </w:r>
      <w:r w:rsidR="00795EF9" w:rsidRPr="002D5EA5">
        <w:rPr>
          <w:rFonts w:cs="Arial"/>
          <w:lang w:eastAsia="ja-JP"/>
        </w:rPr>
        <w:t>durchführen</w:t>
      </w:r>
      <w:r w:rsidR="00795EF9" w:rsidRPr="00A74755">
        <w:rPr>
          <w:rFonts w:cs="Arial"/>
          <w:lang w:eastAsia="ja-JP"/>
        </w:rPr>
        <w:t>.</w:t>
      </w:r>
      <w:r w:rsidR="00795EF9" w:rsidRPr="00A74755">
        <w:rPr>
          <w:rFonts w:cs="Arial"/>
          <w:b/>
        </w:rPr>
        <w:t xml:space="preserve"> </w:t>
      </w:r>
    </w:p>
    <w:p w:rsidR="00795EF9" w:rsidRPr="0071250F" w:rsidRDefault="0071250F" w:rsidP="0071250F">
      <w:pPr>
        <w:pStyle w:val="gemStandard"/>
      </w:pPr>
      <w:r>
        <w:rPr>
          <w:b/>
        </w:rPr>
        <w:sym w:font="Wingdings" w:char="F0D5"/>
      </w:r>
    </w:p>
    <w:p w:rsidR="00795EF9" w:rsidRDefault="00795EF9" w:rsidP="005D54A7">
      <w:pPr>
        <w:pStyle w:val="gemStandard"/>
      </w:pPr>
      <w:r>
        <w:t xml:space="preserve">Hinweis: </w:t>
      </w:r>
      <w:r w:rsidR="00123F2F">
        <w:t>Als v</w:t>
      </w:r>
      <w:r>
        <w:t>ergleichbar w</w:t>
      </w:r>
      <w:r w:rsidR="00123F2F">
        <w:t>erden Maßnahmen angesehen, die eine kontinuierliche technisch unterstützte Erkennung von Schwachstellen gewährleisten (z.B. durch Inspektion der auf Systemen laufenden Dienste und Abgleich gegen aktuelle Schwachstelleninformationen)</w:t>
      </w:r>
      <w:r w:rsidR="002D5EA5">
        <w:t>.</w:t>
      </w:r>
    </w:p>
    <w:p w:rsidR="00572D5A" w:rsidRPr="00D34EAB" w:rsidRDefault="00572D5A" w:rsidP="00572D5A">
      <w:pPr>
        <w:pStyle w:val="gemStandardfett"/>
        <w:ind w:left="705" w:hanging="705"/>
        <w:rPr>
          <w:highlight w:val="yellow"/>
          <w:lang w:eastAsia="ja-JP"/>
        </w:rPr>
      </w:pPr>
      <w:r w:rsidRPr="00815302">
        <w:rPr>
          <w:lang w:eastAsia="ja-JP"/>
        </w:rPr>
        <w:sym w:font="Wingdings" w:char="F0D6"/>
      </w:r>
      <w:r w:rsidRPr="00D34EAB">
        <w:rPr>
          <w:lang w:eastAsia="ja-JP"/>
        </w:rPr>
        <w:tab/>
      </w:r>
      <w:r w:rsidRPr="00D34EAB">
        <w:rPr>
          <w:highlight w:val="yellow"/>
        </w:rPr>
        <w:tab/>
      </w:r>
      <w:r w:rsidR="008C7E69" w:rsidRPr="008C7E69">
        <w:rPr>
          <w:highlight w:val="yellow"/>
        </w:rPr>
        <w:t>GS-A_5559</w:t>
      </w:r>
      <w:r w:rsidR="008C7E69">
        <w:t xml:space="preserve"> </w:t>
      </w:r>
      <w:r w:rsidRPr="00D34EAB">
        <w:t>Bereitstellung Ergebnisse</w:t>
      </w:r>
      <w:r>
        <w:t xml:space="preserve"> von Schwachstellenscans</w:t>
      </w:r>
    </w:p>
    <w:p w:rsidR="0071250F" w:rsidRDefault="00235DC8" w:rsidP="00572D5A">
      <w:pPr>
        <w:pStyle w:val="gemEinzug"/>
        <w:ind w:left="709"/>
        <w:rPr>
          <w:rFonts w:cs="Arial"/>
          <w:b/>
        </w:rPr>
      </w:pPr>
      <w:r>
        <w:t xml:space="preserve">Der </w:t>
      </w:r>
      <w:r w:rsidR="00572D5A">
        <w:t>Anbieter M</w:t>
      </w:r>
      <w:r>
        <w:t>U</w:t>
      </w:r>
      <w:r w:rsidR="00572D5A">
        <w:t>SS der gematik die</w:t>
      </w:r>
      <w:r w:rsidR="002D5EA5">
        <w:t xml:space="preserve"> Detaile</w:t>
      </w:r>
      <w:r w:rsidR="00572D5A">
        <w:t xml:space="preserve">rgebnisse von durchgeführten Schwachstellenscans </w:t>
      </w:r>
      <w:r w:rsidR="005C1810" w:rsidRPr="005C1810">
        <w:t>oder der vergleichbaren Maßnahmen zur</w:t>
      </w:r>
      <w:r w:rsidR="001601B1">
        <w:t xml:space="preserve"> Erkennung und Analyse von tech</w:t>
      </w:r>
      <w:r w:rsidR="005C1810" w:rsidRPr="005C1810">
        <w:t xml:space="preserve">nischen Schwachstellen </w:t>
      </w:r>
      <w:r w:rsidR="00572D5A">
        <w:t xml:space="preserve">monatlich zur Verfügung stellen. </w:t>
      </w:r>
    </w:p>
    <w:p w:rsidR="00572D5A" w:rsidRPr="0071250F" w:rsidRDefault="0071250F" w:rsidP="0071250F">
      <w:pPr>
        <w:pStyle w:val="gemStandard"/>
      </w:pPr>
      <w:r>
        <w:rPr>
          <w:b/>
        </w:rPr>
        <w:sym w:font="Wingdings" w:char="F0D5"/>
      </w:r>
    </w:p>
    <w:p w:rsidR="00572D5A" w:rsidRDefault="00572D5A" w:rsidP="005D54A7">
      <w:pPr>
        <w:pStyle w:val="gemStandard"/>
      </w:pPr>
      <w:r>
        <w:t xml:space="preserve">Hinweis: Der </w:t>
      </w:r>
      <w:r w:rsidR="002D5EA5">
        <w:t xml:space="preserve">genaue </w:t>
      </w:r>
      <w:r>
        <w:t>Detailgrad</w:t>
      </w:r>
      <w:r w:rsidR="00941063" w:rsidRPr="00941063">
        <w:rPr>
          <w:highlight w:val="yellow"/>
        </w:rPr>
        <w:t>,</w:t>
      </w:r>
      <w:r w:rsidRPr="00941063">
        <w:t xml:space="preserve"> </w:t>
      </w:r>
      <w:r w:rsidRPr="00941063">
        <w:rPr>
          <w:strike/>
          <w:highlight w:val="yellow"/>
        </w:rPr>
        <w:t>und</w:t>
      </w:r>
      <w:r>
        <w:t xml:space="preserve"> das zu verwendende Format </w:t>
      </w:r>
      <w:r w:rsidR="00941063" w:rsidRPr="00941063">
        <w:rPr>
          <w:highlight w:val="yellow"/>
        </w:rPr>
        <w:t xml:space="preserve">und die einzuhaltenden Sicherheitsmaßnahmen für die </w:t>
      </w:r>
      <w:commentRangeStart w:id="108"/>
      <w:r w:rsidR="00941063" w:rsidRPr="00941063">
        <w:rPr>
          <w:highlight w:val="yellow"/>
        </w:rPr>
        <w:t>Übergabe</w:t>
      </w:r>
      <w:commentRangeEnd w:id="108"/>
      <w:r w:rsidR="00941063">
        <w:rPr>
          <w:rStyle w:val="Kommentarzeichen"/>
        </w:rPr>
        <w:commentReference w:id="108"/>
      </w:r>
      <w:r w:rsidR="00941063" w:rsidRPr="00941063">
        <w:t xml:space="preserve"> </w:t>
      </w:r>
      <w:r>
        <w:t xml:space="preserve">der bereitzustellenden Ergebnisse </w:t>
      </w:r>
      <w:r w:rsidR="00235DC8">
        <w:t>sind</w:t>
      </w:r>
      <w:r w:rsidR="0023375B">
        <w:t xml:space="preserve"> </w:t>
      </w:r>
      <w:r w:rsidR="0023375B" w:rsidRPr="00F17DD9">
        <w:rPr>
          <w:highlight w:val="yellow"/>
        </w:rPr>
        <w:t xml:space="preserve">vor Betriebsaufnahme </w:t>
      </w:r>
      <w:commentRangeStart w:id="109"/>
      <w:r w:rsidR="0023375B" w:rsidRPr="00F17DD9">
        <w:rPr>
          <w:highlight w:val="yellow"/>
        </w:rPr>
        <w:t>und</w:t>
      </w:r>
      <w:commentRangeEnd w:id="109"/>
      <w:r w:rsidR="0023375B">
        <w:rPr>
          <w:rStyle w:val="Kommentarzeichen"/>
        </w:rPr>
        <w:commentReference w:id="109"/>
      </w:r>
      <w:r>
        <w:t xml:space="preserve"> im Rahmen der Einführung neuer Produkte und bei Änderungen an bestehenden Produkten mit der gematik abzustimmen.</w:t>
      </w:r>
    </w:p>
    <w:p w:rsidR="001661FD" w:rsidRPr="00A74755" w:rsidRDefault="001661FD" w:rsidP="001661FD">
      <w:pPr>
        <w:pStyle w:val="gemStandardfett"/>
        <w:rPr>
          <w:lang w:eastAsia="ja-JP"/>
        </w:rPr>
      </w:pPr>
      <w:r w:rsidRPr="00A74755">
        <w:sym w:font="Wingdings" w:char="F0D6"/>
      </w:r>
      <w:r w:rsidRPr="00A74755">
        <w:tab/>
      </w:r>
      <w:r w:rsidRPr="00A74755">
        <w:rPr>
          <w:rFonts w:hint="eastAsia"/>
          <w:lang w:eastAsia="ja-JP"/>
        </w:rPr>
        <w:t>GS-A_</w:t>
      </w:r>
      <w:r w:rsidRPr="00A74755">
        <w:rPr>
          <w:lang w:eastAsia="ja-JP"/>
        </w:rPr>
        <w:t>5017</w:t>
      </w:r>
      <w:r w:rsidR="00905414" w:rsidRPr="00905414">
        <w:rPr>
          <w:highlight w:val="yellow"/>
          <w:lang w:eastAsia="ja-JP"/>
        </w:rPr>
        <w:t>-01</w:t>
      </w:r>
      <w:r w:rsidRPr="00A74755">
        <w:rPr>
          <w:lang w:eastAsia="ja-JP"/>
        </w:rPr>
        <w:t xml:space="preserve"> </w:t>
      </w:r>
      <w:r>
        <w:t xml:space="preserve">Meldung und Behandlung </w:t>
      </w:r>
      <w:r w:rsidRPr="00A74755">
        <w:t>von Schwachstellen</w:t>
      </w:r>
    </w:p>
    <w:p w:rsidR="0071250F" w:rsidRDefault="001661FD" w:rsidP="001661FD">
      <w:pPr>
        <w:pStyle w:val="gemEinzug"/>
        <w:kinsoku w:val="0"/>
        <w:ind w:left="709"/>
        <w:rPr>
          <w:b/>
        </w:rPr>
      </w:pPr>
      <w:r>
        <w:t xml:space="preserve">Der </w:t>
      </w:r>
      <w:r w:rsidRPr="00A74755">
        <w:t>Anbieter</w:t>
      </w:r>
      <w:r w:rsidRPr="00A74755">
        <w:rPr>
          <w:rFonts w:hint="eastAsia"/>
          <w:lang w:eastAsia="ja-JP"/>
        </w:rPr>
        <w:t xml:space="preserve"> M</w:t>
      </w:r>
      <w:r>
        <w:rPr>
          <w:lang w:eastAsia="ja-JP"/>
        </w:rPr>
        <w:t>U</w:t>
      </w:r>
      <w:r w:rsidRPr="00A74755">
        <w:rPr>
          <w:rFonts w:hint="eastAsia"/>
          <w:lang w:eastAsia="ja-JP"/>
        </w:rPr>
        <w:t>SS di</w:t>
      </w:r>
      <w:r>
        <w:rPr>
          <w:rFonts w:hint="eastAsia"/>
          <w:lang w:eastAsia="ja-JP"/>
        </w:rPr>
        <w:t xml:space="preserve">e gematik unverzüglich </w:t>
      </w:r>
      <w:r>
        <w:rPr>
          <w:lang w:eastAsia="ja-JP"/>
        </w:rPr>
        <w:t xml:space="preserve">und direkt </w:t>
      </w:r>
      <w:r>
        <w:rPr>
          <w:rFonts w:hint="eastAsia"/>
          <w:lang w:eastAsia="ja-JP"/>
        </w:rPr>
        <w:t xml:space="preserve">über </w:t>
      </w:r>
      <w:r w:rsidRPr="00A74755">
        <w:rPr>
          <w:rFonts w:hint="eastAsia"/>
          <w:lang w:eastAsia="ja-JP"/>
        </w:rPr>
        <w:t xml:space="preserve">Schwachstellen in </w:t>
      </w:r>
      <w:r>
        <w:rPr>
          <w:lang w:eastAsia="ja-JP"/>
        </w:rPr>
        <w:t xml:space="preserve">den von ihnen betriebenen </w:t>
      </w:r>
      <w:r>
        <w:t>Diensten der TI bzw. weiteren Anwendungen</w:t>
      </w:r>
      <w:r w:rsidRPr="00A74755">
        <w:rPr>
          <w:rFonts w:hint="eastAsia"/>
          <w:lang w:eastAsia="ja-JP"/>
        </w:rPr>
        <w:t xml:space="preserve"> informieren und </w:t>
      </w:r>
      <w:r w:rsidRPr="00A74755">
        <w:rPr>
          <w:lang w:eastAsia="ja-JP"/>
        </w:rPr>
        <w:t>sich mit der gematik anhand einer Einzelfall</w:t>
      </w:r>
      <w:r w:rsidRPr="00A74755">
        <w:rPr>
          <w:lang w:eastAsia="ja-JP"/>
        </w:rPr>
        <w:softHyphen/>
        <w:t>betrachtung und -bewertung der Schwachstelle hinsichtlich der einzuleitenden Maßnahmen und der Behebungszeit abstimmen</w:t>
      </w:r>
      <w:r w:rsidRPr="00A74755">
        <w:t>.</w:t>
      </w:r>
    </w:p>
    <w:p w:rsidR="001661FD" w:rsidRPr="0071250F" w:rsidRDefault="0071250F" w:rsidP="0071250F">
      <w:pPr>
        <w:pStyle w:val="gemStandard"/>
      </w:pPr>
      <w:r>
        <w:rPr>
          <w:b/>
        </w:rPr>
        <w:sym w:font="Wingdings" w:char="F0D5"/>
      </w:r>
    </w:p>
    <w:p w:rsidR="007F51EB" w:rsidRDefault="007F51EB" w:rsidP="007F51EB">
      <w:pPr>
        <w:pStyle w:val="gemStandardfett"/>
        <w:ind w:left="705" w:hanging="705"/>
        <w:rPr>
          <w:lang w:eastAsia="ja-JP"/>
        </w:rPr>
      </w:pPr>
      <w:r w:rsidRPr="00815302">
        <w:rPr>
          <w:lang w:eastAsia="ja-JP"/>
        </w:rPr>
        <w:lastRenderedPageBreak/>
        <w:sym w:font="Wingdings" w:char="F0D6"/>
      </w:r>
      <w:r w:rsidRPr="00815302">
        <w:rPr>
          <w:lang w:eastAsia="ja-JP"/>
        </w:rPr>
        <w:tab/>
      </w:r>
      <w:r w:rsidR="00706E18" w:rsidRPr="00706E18">
        <w:rPr>
          <w:highlight w:val="yellow"/>
          <w:lang w:eastAsia="ja-JP"/>
        </w:rPr>
        <w:t>GS-A_5560</w:t>
      </w:r>
      <w:r w:rsidR="00706E18">
        <w:rPr>
          <w:lang w:eastAsia="ja-JP"/>
        </w:rPr>
        <w:t xml:space="preserve"> </w:t>
      </w:r>
      <w:r w:rsidR="00D34EAB">
        <w:rPr>
          <w:lang w:eastAsia="ja-JP"/>
        </w:rPr>
        <w:t>Entgegennahme und Prüfung von Meldungen der gematik</w:t>
      </w:r>
      <w:r>
        <w:rPr>
          <w:lang w:eastAsia="ja-JP"/>
        </w:rPr>
        <w:t xml:space="preserve"> </w:t>
      </w:r>
    </w:p>
    <w:p w:rsidR="0071250F" w:rsidRDefault="00235DC8" w:rsidP="004075BA">
      <w:pPr>
        <w:pStyle w:val="gemEinzug"/>
        <w:kinsoku w:val="0"/>
        <w:ind w:left="709"/>
        <w:rPr>
          <w:b/>
        </w:rPr>
      </w:pPr>
      <w:r>
        <w:rPr>
          <w:lang w:eastAsia="ja-JP"/>
        </w:rPr>
        <w:t xml:space="preserve">Der </w:t>
      </w:r>
      <w:r w:rsidR="007F51EB" w:rsidRPr="003C3FD2">
        <w:rPr>
          <w:lang w:eastAsia="ja-JP"/>
        </w:rPr>
        <w:t xml:space="preserve">Anbieter </w:t>
      </w:r>
      <w:r w:rsidR="007F51EB" w:rsidRPr="008D67F2">
        <w:t>M</w:t>
      </w:r>
      <w:r>
        <w:t>U</w:t>
      </w:r>
      <w:r w:rsidR="007F51EB" w:rsidRPr="008D67F2">
        <w:t>SS</w:t>
      </w:r>
      <w:r w:rsidR="00572D5A">
        <w:t xml:space="preserve"> von der </w:t>
      </w:r>
      <w:r w:rsidR="007F51EB">
        <w:t>gematik übermittelte Meldungen zu Schwachstellen, Bedrohungen und Sicherheitsvorfälle</w:t>
      </w:r>
      <w:r w:rsidR="003E2A54">
        <w:t>n</w:t>
      </w:r>
      <w:r w:rsidR="007F51EB">
        <w:t xml:space="preserve"> annehmen, bewerten und die erforderlichen Maßnahmen</w:t>
      </w:r>
      <w:r w:rsidR="00572D5A">
        <w:t xml:space="preserve"> mit der gematik</w:t>
      </w:r>
      <w:r w:rsidR="007F51EB">
        <w:t xml:space="preserve"> abstimmen und umsetzen.</w:t>
      </w:r>
      <w:r w:rsidR="00243800">
        <w:t xml:space="preserve"> </w:t>
      </w:r>
    </w:p>
    <w:p w:rsidR="007F51EB" w:rsidRPr="0071250F" w:rsidRDefault="0071250F" w:rsidP="0071250F">
      <w:pPr>
        <w:pStyle w:val="gemStandard"/>
      </w:pPr>
      <w:r>
        <w:rPr>
          <w:b/>
        </w:rPr>
        <w:sym w:font="Wingdings" w:char="F0D5"/>
      </w:r>
    </w:p>
    <w:p w:rsidR="00BB4A25" w:rsidRPr="00BB4A25" w:rsidRDefault="00BB4A25" w:rsidP="00BB4A25">
      <w:pPr>
        <w:pStyle w:val="gemStandardfett"/>
        <w:ind w:left="705" w:hanging="705"/>
        <w:rPr>
          <w:highlight w:val="yellow"/>
          <w:lang w:eastAsia="ja-JP"/>
        </w:rPr>
      </w:pPr>
      <w:r w:rsidRPr="00BB4A25">
        <w:rPr>
          <w:highlight w:val="yellow"/>
          <w:lang w:eastAsia="ja-JP"/>
        </w:rPr>
        <w:sym w:font="Wingdings" w:char="F0D6"/>
      </w:r>
      <w:r w:rsidRPr="00BB4A25">
        <w:rPr>
          <w:highlight w:val="yellow"/>
          <w:lang w:eastAsia="ja-JP"/>
        </w:rPr>
        <w:tab/>
      </w:r>
      <w:r w:rsidR="00706E18" w:rsidRPr="00706E18">
        <w:rPr>
          <w:highlight w:val="yellow"/>
          <w:lang w:eastAsia="ja-JP"/>
        </w:rPr>
        <w:t xml:space="preserve">GS-A_5561 </w:t>
      </w:r>
      <w:r w:rsidRPr="00706E18">
        <w:rPr>
          <w:highlight w:val="yellow"/>
          <w:lang w:eastAsia="ja-JP"/>
        </w:rPr>
        <w:t xml:space="preserve">Bereitstellung </w:t>
      </w:r>
      <w:r w:rsidRPr="00BB4A25">
        <w:rPr>
          <w:highlight w:val="yellow"/>
          <w:lang w:eastAsia="ja-JP"/>
        </w:rPr>
        <w:t>24/7-</w:t>
      </w:r>
      <w:commentRangeStart w:id="110"/>
      <w:r w:rsidRPr="00BB4A25">
        <w:rPr>
          <w:highlight w:val="yellow"/>
          <w:lang w:eastAsia="ja-JP"/>
        </w:rPr>
        <w:t>Kontaktpunkt</w:t>
      </w:r>
      <w:commentRangeEnd w:id="110"/>
      <w:r>
        <w:rPr>
          <w:rStyle w:val="Kommentarzeichen"/>
          <w:b w:val="0"/>
        </w:rPr>
        <w:commentReference w:id="110"/>
      </w:r>
    </w:p>
    <w:p w:rsidR="0071250F" w:rsidRDefault="00BB4A25" w:rsidP="00BB4A25">
      <w:pPr>
        <w:pStyle w:val="gemEinzug"/>
        <w:kinsoku w:val="0"/>
        <w:ind w:left="709"/>
        <w:rPr>
          <w:b/>
          <w:highlight w:val="yellow"/>
        </w:rPr>
      </w:pPr>
      <w:r w:rsidRPr="00BB4A25">
        <w:rPr>
          <w:highlight w:val="yellow"/>
          <w:lang w:eastAsia="ja-JP"/>
        </w:rPr>
        <w:t xml:space="preserve">Der Anbieter </w:t>
      </w:r>
      <w:r w:rsidRPr="00BB4A25">
        <w:rPr>
          <w:highlight w:val="yellow"/>
        </w:rPr>
        <w:t>MUSS der gematik einen Kontaktpunkt benennen, über den der Anbieter jederzeit sicherheitsrelevante Meldungen der gematik entgegennehmen kann, um eine unverzügliche Bearbeitung und Reaktion zu gewährleisten.</w:t>
      </w:r>
    </w:p>
    <w:p w:rsidR="00BB4A25" w:rsidRPr="0071250F" w:rsidRDefault="0071250F" w:rsidP="0071250F">
      <w:pPr>
        <w:pStyle w:val="gemStandard"/>
      </w:pPr>
      <w:r>
        <w:rPr>
          <w:b/>
          <w:highlight w:val="yellow"/>
        </w:rPr>
        <w:sym w:font="Wingdings" w:char="F0D5"/>
      </w:r>
    </w:p>
    <w:p w:rsidR="007F51EB" w:rsidRPr="0051578F" w:rsidRDefault="007F51EB" w:rsidP="007F51EB">
      <w:pPr>
        <w:pStyle w:val="gemStandardfett"/>
        <w:ind w:left="705" w:hanging="705"/>
        <w:rPr>
          <w:lang w:eastAsia="ja-JP"/>
        </w:rPr>
      </w:pPr>
      <w:r w:rsidRPr="00815302">
        <w:rPr>
          <w:lang w:eastAsia="ja-JP"/>
        </w:rPr>
        <w:sym w:font="Wingdings" w:char="F0D6"/>
      </w:r>
      <w:r w:rsidRPr="00815302">
        <w:rPr>
          <w:lang w:eastAsia="ja-JP"/>
        </w:rPr>
        <w:tab/>
      </w:r>
      <w:r w:rsidR="00706E18" w:rsidRPr="00706E18">
        <w:rPr>
          <w:highlight w:val="yellow"/>
          <w:lang w:eastAsia="ja-JP"/>
        </w:rPr>
        <w:t>GS-A_5562</w:t>
      </w:r>
      <w:r w:rsidR="00706E18">
        <w:rPr>
          <w:lang w:eastAsia="ja-JP"/>
        </w:rPr>
        <w:t xml:space="preserve"> </w:t>
      </w:r>
      <w:r>
        <w:rPr>
          <w:lang w:eastAsia="ja-JP"/>
        </w:rPr>
        <w:t xml:space="preserve">Bereitstellung </w:t>
      </w:r>
      <w:r w:rsidRPr="0088608F">
        <w:rPr>
          <w:strike/>
          <w:highlight w:val="yellow"/>
          <w:lang w:eastAsia="ja-JP"/>
        </w:rPr>
        <w:t>Assets</w:t>
      </w:r>
      <w:r w:rsidR="0051578F" w:rsidRPr="0088608F">
        <w:rPr>
          <w:strike/>
          <w:highlight w:val="yellow"/>
          <w:lang w:eastAsia="ja-JP"/>
        </w:rPr>
        <w:t xml:space="preserve"> </w:t>
      </w:r>
      <w:commentRangeStart w:id="111"/>
      <w:r w:rsidR="0051578F" w:rsidRPr="0088608F">
        <w:rPr>
          <w:highlight w:val="yellow"/>
          <w:lang w:eastAsia="ja-JP"/>
        </w:rPr>
        <w:t>Produktinformationen</w:t>
      </w:r>
      <w:commentRangeEnd w:id="111"/>
      <w:r w:rsidR="0088608F">
        <w:rPr>
          <w:rStyle w:val="Kommentarzeichen"/>
          <w:b w:val="0"/>
        </w:rPr>
        <w:commentReference w:id="111"/>
      </w:r>
    </w:p>
    <w:p w:rsidR="0071250F" w:rsidRDefault="00235DC8" w:rsidP="004075BA">
      <w:pPr>
        <w:pStyle w:val="gemEinzug"/>
        <w:kinsoku w:val="0"/>
        <w:ind w:left="709"/>
        <w:rPr>
          <w:b/>
        </w:rPr>
      </w:pPr>
      <w:r>
        <w:rPr>
          <w:lang w:eastAsia="ja-JP"/>
        </w:rPr>
        <w:t xml:space="preserve">Der </w:t>
      </w:r>
      <w:r w:rsidR="007F51EB" w:rsidRPr="003C3FD2">
        <w:rPr>
          <w:lang w:eastAsia="ja-JP"/>
        </w:rPr>
        <w:t xml:space="preserve">Anbieter </w:t>
      </w:r>
      <w:r w:rsidR="007F51EB" w:rsidRPr="008D67F2">
        <w:t>M</w:t>
      </w:r>
      <w:r>
        <w:t>U</w:t>
      </w:r>
      <w:r w:rsidR="007F51EB" w:rsidRPr="008D67F2">
        <w:t>SS</w:t>
      </w:r>
      <w:r w:rsidR="007F51EB">
        <w:t xml:space="preserve"> der gematik </w:t>
      </w:r>
      <w:r w:rsidR="007F51EB" w:rsidRPr="0088608F">
        <w:rPr>
          <w:strike/>
          <w:highlight w:val="yellow"/>
        </w:rPr>
        <w:t>monatlich</w:t>
      </w:r>
      <w:r w:rsidR="0051578F" w:rsidRPr="0088608F">
        <w:rPr>
          <w:highlight w:val="yellow"/>
        </w:rPr>
        <w:t xml:space="preserve"> halbjährlich</w:t>
      </w:r>
      <w:r w:rsidR="007F51EB">
        <w:t xml:space="preserve"> eine aktuelle Liste aller zur Leistungserbringung von </w:t>
      </w:r>
      <w:r>
        <w:t>Diensten</w:t>
      </w:r>
      <w:r w:rsidR="007F51EB">
        <w:t xml:space="preserve"> der TI verwendeten Hard- und Softwareprodukte sowie dem zugehörigen TI Produkttyp übermitteln.</w:t>
      </w:r>
      <w:r w:rsidR="00243800">
        <w:t xml:space="preserve"> </w:t>
      </w:r>
    </w:p>
    <w:p w:rsidR="007F51EB" w:rsidRPr="0071250F" w:rsidRDefault="0071250F" w:rsidP="0071250F">
      <w:pPr>
        <w:pStyle w:val="gemStandard"/>
      </w:pPr>
      <w:r>
        <w:rPr>
          <w:b/>
        </w:rPr>
        <w:sym w:font="Wingdings" w:char="F0D5"/>
      </w:r>
    </w:p>
    <w:p w:rsidR="0051578F" w:rsidRDefault="00572D5A" w:rsidP="00673DE7">
      <w:pPr>
        <w:pStyle w:val="gemStandard"/>
      </w:pPr>
      <w:r>
        <w:t xml:space="preserve">Hinweis: </w:t>
      </w:r>
      <w:r w:rsidR="0051578F" w:rsidRPr="0088608F">
        <w:rPr>
          <w:highlight w:val="yellow"/>
        </w:rPr>
        <w:t xml:space="preserve">Die zur Verfügung gestellten Produktinformationen (z.B. Betriebssystem, eingesetzte Webserver, Datenbanken, Netzwerkkomponenten inkl. jeweils aktueller Version) dienen dazu, bei Schwachstellen und Sicherheitsvorfällen die Sicherheitslage der TI besser einschätzen zu können und mit Anbietern gezielt Maßnahmen zur Beseitigung der Schwachstellen zeitnah abstimmen zu </w:t>
      </w:r>
      <w:commentRangeStart w:id="112"/>
      <w:r w:rsidR="0051578F" w:rsidRPr="0088608F">
        <w:rPr>
          <w:highlight w:val="yellow"/>
        </w:rPr>
        <w:t>können</w:t>
      </w:r>
      <w:commentRangeEnd w:id="112"/>
      <w:r w:rsidR="0088608F">
        <w:rPr>
          <w:rStyle w:val="Kommentarzeichen"/>
        </w:rPr>
        <w:commentReference w:id="112"/>
      </w:r>
      <w:r w:rsidR="0051578F" w:rsidRPr="0088608F">
        <w:rPr>
          <w:highlight w:val="yellow"/>
        </w:rPr>
        <w:t>.</w:t>
      </w:r>
    </w:p>
    <w:p w:rsidR="00F50CF8" w:rsidRDefault="00572D5A" w:rsidP="00673DE7">
      <w:pPr>
        <w:pStyle w:val="gemStandard"/>
      </w:pPr>
      <w:r>
        <w:t xml:space="preserve">Der Detailgrad und das zu verwendende Format der bereitzustellenden Liste der </w:t>
      </w:r>
      <w:r w:rsidR="0051578F" w:rsidRPr="0088608F">
        <w:rPr>
          <w:highlight w:val="yellow"/>
        </w:rPr>
        <w:t>Produktinformationen</w:t>
      </w:r>
      <w:r w:rsidR="0051578F">
        <w:t xml:space="preserve"> </w:t>
      </w:r>
      <w:commentRangeStart w:id="113"/>
      <w:r w:rsidRPr="0088608F">
        <w:rPr>
          <w:strike/>
          <w:highlight w:val="yellow"/>
        </w:rPr>
        <w:t>Assets</w:t>
      </w:r>
      <w:commentRangeEnd w:id="113"/>
      <w:r w:rsidR="0088608F">
        <w:rPr>
          <w:rStyle w:val="Kommentarzeichen"/>
        </w:rPr>
        <w:commentReference w:id="113"/>
      </w:r>
      <w:r>
        <w:t xml:space="preserve"> </w:t>
      </w:r>
      <w:r w:rsidR="00BE1F9E">
        <w:t>sind</w:t>
      </w:r>
      <w:r>
        <w:t xml:space="preserve"> </w:t>
      </w:r>
      <w:r w:rsidR="0023375B" w:rsidRPr="00F17DD9">
        <w:rPr>
          <w:highlight w:val="yellow"/>
        </w:rPr>
        <w:t xml:space="preserve">vor Betriebsaufnahme </w:t>
      </w:r>
      <w:commentRangeStart w:id="114"/>
      <w:r w:rsidR="0023375B" w:rsidRPr="00F17DD9">
        <w:rPr>
          <w:highlight w:val="yellow"/>
        </w:rPr>
        <w:t>und</w:t>
      </w:r>
      <w:commentRangeEnd w:id="114"/>
      <w:r w:rsidR="0023375B">
        <w:rPr>
          <w:rStyle w:val="Kommentarzeichen"/>
        </w:rPr>
        <w:commentReference w:id="114"/>
      </w:r>
      <w:r w:rsidR="0023375B">
        <w:t xml:space="preserve"> </w:t>
      </w:r>
      <w:r>
        <w:t>im Rahmen der Einführung neuer Produkte und bei Änderungen an bestehenden Produkten mit der gematik abzustimmen.</w:t>
      </w:r>
    </w:p>
    <w:p w:rsidR="00D900B0" w:rsidRPr="00BB4A25" w:rsidRDefault="00706E18" w:rsidP="00D900B0">
      <w:pPr>
        <w:pStyle w:val="gemStandardfett"/>
        <w:ind w:left="705" w:hanging="705"/>
        <w:rPr>
          <w:strike/>
          <w:highlight w:val="yellow"/>
          <w:lang w:eastAsia="ja-JP"/>
        </w:rPr>
      </w:pPr>
      <w:r>
        <w:rPr>
          <w:strike/>
          <w:highlight w:val="yellow"/>
          <w:lang w:eastAsia="ja-JP"/>
        </w:rPr>
        <w:t>X</w:t>
      </w:r>
      <w:r w:rsidR="00D900B0" w:rsidRPr="00BB4A25">
        <w:rPr>
          <w:strike/>
          <w:highlight w:val="yellow"/>
          <w:lang w:eastAsia="ja-JP"/>
        </w:rPr>
        <w:tab/>
      </w:r>
      <w:r w:rsidR="00D900B0" w:rsidRPr="00BB4A25">
        <w:rPr>
          <w:rFonts w:hint="eastAsia"/>
          <w:strike/>
          <w:highlight w:val="yellow"/>
          <w:lang w:eastAsia="ja-JP"/>
        </w:rPr>
        <w:t>GS-A</w:t>
      </w:r>
      <w:r w:rsidR="00D900B0" w:rsidRPr="00BB4A25">
        <w:rPr>
          <w:strike/>
          <w:highlight w:val="yellow"/>
          <w:lang w:eastAsia="ja-JP"/>
        </w:rPr>
        <w:t>_NEU_eISMS_07 Bereitstellung 24/7-</w:t>
      </w:r>
      <w:commentRangeStart w:id="115"/>
      <w:r w:rsidR="00D900B0" w:rsidRPr="00BB4A25">
        <w:rPr>
          <w:strike/>
          <w:highlight w:val="yellow"/>
          <w:lang w:eastAsia="ja-JP"/>
        </w:rPr>
        <w:t>Kontaktpun</w:t>
      </w:r>
      <w:r w:rsidR="003617F3" w:rsidRPr="00BB4A25">
        <w:rPr>
          <w:strike/>
          <w:highlight w:val="yellow"/>
          <w:lang w:eastAsia="ja-JP"/>
        </w:rPr>
        <w:t>k</w:t>
      </w:r>
      <w:r w:rsidR="00D900B0" w:rsidRPr="00BB4A25">
        <w:rPr>
          <w:strike/>
          <w:highlight w:val="yellow"/>
          <w:lang w:eastAsia="ja-JP"/>
        </w:rPr>
        <w:t>t</w:t>
      </w:r>
      <w:commentRangeEnd w:id="115"/>
      <w:r w:rsidR="00BB4A25">
        <w:rPr>
          <w:rStyle w:val="Kommentarzeichen"/>
          <w:b w:val="0"/>
        </w:rPr>
        <w:commentReference w:id="115"/>
      </w:r>
    </w:p>
    <w:p w:rsidR="0069698E" w:rsidRPr="00BB4A25" w:rsidRDefault="00D900B0" w:rsidP="0069698E">
      <w:pPr>
        <w:pStyle w:val="gemEinzug"/>
        <w:kinsoku w:val="0"/>
        <w:ind w:left="709"/>
        <w:rPr>
          <w:b/>
          <w:strike/>
        </w:rPr>
      </w:pPr>
      <w:r w:rsidRPr="00BB4A25">
        <w:rPr>
          <w:strike/>
          <w:highlight w:val="yellow"/>
          <w:lang w:eastAsia="ja-JP"/>
        </w:rPr>
        <w:t xml:space="preserve">Der Anbieter </w:t>
      </w:r>
      <w:r w:rsidRPr="00BB4A25">
        <w:rPr>
          <w:strike/>
          <w:highlight w:val="yellow"/>
        </w:rPr>
        <w:t xml:space="preserve">MUSS der gematik einen Kontaktpunkt benennen, über </w:t>
      </w:r>
      <w:r w:rsidR="002B425A" w:rsidRPr="00BB4A25">
        <w:rPr>
          <w:strike/>
          <w:highlight w:val="yellow"/>
        </w:rPr>
        <w:t>den</w:t>
      </w:r>
      <w:r w:rsidRPr="00BB4A25">
        <w:rPr>
          <w:strike/>
          <w:highlight w:val="yellow"/>
        </w:rPr>
        <w:t xml:space="preserve"> </w:t>
      </w:r>
      <w:r w:rsidR="002B425A" w:rsidRPr="00BB4A25">
        <w:rPr>
          <w:strike/>
          <w:highlight w:val="yellow"/>
        </w:rPr>
        <w:t xml:space="preserve">der Anbieter </w:t>
      </w:r>
      <w:r w:rsidRPr="00BB4A25">
        <w:rPr>
          <w:strike/>
          <w:highlight w:val="yellow"/>
        </w:rPr>
        <w:t xml:space="preserve">jederzeit </w:t>
      </w:r>
      <w:r w:rsidR="002B425A" w:rsidRPr="00BB4A25">
        <w:rPr>
          <w:strike/>
          <w:highlight w:val="yellow"/>
        </w:rPr>
        <w:t>sicherheitsrelevante Meldungen der gematik entgegennehmen kann, um eine unverzügliche Bearbeitung und Reaktion zu gewährleisten.</w:t>
      </w:r>
      <w:r w:rsidR="00706E18">
        <w:rPr>
          <w:strike/>
          <w:highlight w:val="yellow"/>
        </w:rPr>
        <w:t>X</w:t>
      </w:r>
    </w:p>
    <w:p w:rsidR="00A14A65" w:rsidRDefault="00A14A65" w:rsidP="0071250F">
      <w:pPr>
        <w:pStyle w:val="berschrift2"/>
        <w:rPr>
          <w:lang w:val="en-US"/>
        </w:rPr>
      </w:pPr>
      <w:bookmarkStart w:id="116" w:name="_Ref476238812"/>
      <w:bookmarkStart w:id="117" w:name="_Toc503165503"/>
      <w:r>
        <w:rPr>
          <w:lang w:val="en-US"/>
        </w:rPr>
        <w:t xml:space="preserve">Modul </w:t>
      </w:r>
      <w:r w:rsidR="00C877C6">
        <w:rPr>
          <w:lang w:eastAsia="ja-JP"/>
        </w:rPr>
        <w:t>„</w:t>
      </w:r>
      <w:r w:rsidR="00C24B14">
        <w:rPr>
          <w:lang w:val="en-US"/>
        </w:rPr>
        <w:t>TI-</w:t>
      </w:r>
      <w:r w:rsidR="000C234B">
        <w:rPr>
          <w:lang w:val="en-US"/>
        </w:rPr>
        <w:t>Sicherheitsbericht</w:t>
      </w:r>
      <w:bookmarkEnd w:id="116"/>
      <w:r w:rsidR="00BE1F9E">
        <w:rPr>
          <w:lang w:eastAsia="ja-JP"/>
        </w:rPr>
        <w:t>“</w:t>
      </w:r>
      <w:bookmarkEnd w:id="117"/>
      <w:r>
        <w:rPr>
          <w:lang w:val="en-US"/>
        </w:rPr>
        <w:t xml:space="preserve"> </w:t>
      </w:r>
    </w:p>
    <w:p w:rsidR="00470D33" w:rsidRPr="00E42806" w:rsidRDefault="00470D33" w:rsidP="00470D33">
      <w:pPr>
        <w:pStyle w:val="gemEinzug"/>
        <w:ind w:left="0"/>
        <w:rPr>
          <w:rStyle w:val="gemStandardfettZchn"/>
        </w:rPr>
      </w:pPr>
      <w:r w:rsidRPr="00A74755">
        <w:rPr>
          <w:b/>
        </w:rPr>
        <w:sym w:font="Wingdings" w:char="F0D6"/>
      </w:r>
      <w:r w:rsidRPr="00E42806">
        <w:rPr>
          <w:b/>
        </w:rPr>
        <w:tab/>
      </w:r>
      <w:r w:rsidR="00983E3B" w:rsidRPr="00983E3B">
        <w:rPr>
          <w:rStyle w:val="gemStandardfettZchn"/>
          <w:highlight w:val="yellow"/>
        </w:rPr>
        <w:t>GS-A_5563</w:t>
      </w:r>
      <w:r w:rsidR="00983E3B">
        <w:rPr>
          <w:rStyle w:val="gemStandardfettZchn"/>
        </w:rPr>
        <w:t xml:space="preserve"> </w:t>
      </w:r>
      <w:r w:rsidR="00E42806">
        <w:rPr>
          <w:rStyle w:val="gemStandardfettZchn"/>
        </w:rPr>
        <w:t>Jahres</w:t>
      </w:r>
      <w:r w:rsidR="00B44D8A">
        <w:rPr>
          <w:b/>
        </w:rPr>
        <w:t>s</w:t>
      </w:r>
      <w:r w:rsidR="00E42806" w:rsidRPr="00E42806">
        <w:rPr>
          <w:b/>
        </w:rPr>
        <w:t>icherheitsbericht</w:t>
      </w:r>
      <w:r w:rsidR="003205BE">
        <w:rPr>
          <w:b/>
        </w:rPr>
        <w:t xml:space="preserve"> (kurz)</w:t>
      </w:r>
    </w:p>
    <w:p w:rsidR="00470D33" w:rsidRDefault="00470D33" w:rsidP="0021438C">
      <w:pPr>
        <w:pStyle w:val="gemEinzug"/>
        <w:kinsoku w:val="0"/>
        <w:ind w:left="709"/>
        <w:rPr>
          <w:lang w:eastAsia="ja-JP"/>
        </w:rPr>
      </w:pPr>
      <w:r>
        <w:rPr>
          <w:lang w:eastAsia="ja-JP"/>
        </w:rPr>
        <w:t xml:space="preserve">Der </w:t>
      </w:r>
      <w:r w:rsidRPr="0073547F">
        <w:t>Anbieter</w:t>
      </w:r>
      <w:r w:rsidRPr="0073547F">
        <w:rPr>
          <w:lang w:eastAsia="ja-JP"/>
        </w:rPr>
        <w:t xml:space="preserve"> </w:t>
      </w:r>
      <w:r>
        <w:rPr>
          <w:lang w:eastAsia="ja-JP"/>
        </w:rPr>
        <w:t>MUSS</w:t>
      </w:r>
      <w:r w:rsidRPr="0073547F">
        <w:rPr>
          <w:lang w:eastAsia="ja-JP"/>
        </w:rPr>
        <w:t xml:space="preserve"> </w:t>
      </w:r>
      <w:r w:rsidR="00EB51AA" w:rsidRPr="00F728CC">
        <w:rPr>
          <w:highlight w:val="yellow"/>
          <w:lang w:eastAsia="ja-JP"/>
        </w:rPr>
        <w:t xml:space="preserve">sicherstellen, </w:t>
      </w:r>
      <w:r w:rsidR="00F728CC" w:rsidRPr="00F728CC">
        <w:rPr>
          <w:highlight w:val="yellow"/>
          <w:lang w:eastAsia="ja-JP"/>
        </w:rPr>
        <w:t>dass</w:t>
      </w:r>
      <w:r w:rsidR="00F728CC">
        <w:rPr>
          <w:lang w:eastAsia="ja-JP"/>
        </w:rPr>
        <w:t xml:space="preserve"> </w:t>
      </w:r>
      <w:r>
        <w:rPr>
          <w:lang w:eastAsia="ja-JP"/>
        </w:rPr>
        <w:t>der gematik jährlich ein</w:t>
      </w:r>
      <w:r w:rsidRPr="00EB51AA">
        <w:rPr>
          <w:strike/>
          <w:highlight w:val="yellow"/>
          <w:lang w:eastAsia="ja-JP"/>
        </w:rPr>
        <w:t>en</w:t>
      </w:r>
      <w:r>
        <w:rPr>
          <w:lang w:eastAsia="ja-JP"/>
        </w:rPr>
        <w:t xml:space="preserve"> </w:t>
      </w:r>
      <w:r w:rsidR="00E42806" w:rsidRPr="00E42806">
        <w:rPr>
          <w:lang w:eastAsia="ja-JP"/>
        </w:rPr>
        <w:t xml:space="preserve">Sicherheitsbericht </w:t>
      </w:r>
      <w:r w:rsidRPr="00EB51AA">
        <w:rPr>
          <w:strike/>
          <w:highlight w:val="yellow"/>
          <w:lang w:eastAsia="ja-JP"/>
        </w:rPr>
        <w:t>übermitteln</w:t>
      </w:r>
      <w:r w:rsidR="00B438F4">
        <w:rPr>
          <w:lang w:eastAsia="ja-JP"/>
        </w:rPr>
        <w:t xml:space="preserve"> </w:t>
      </w:r>
      <w:commentRangeStart w:id="118"/>
      <w:r w:rsidR="00EB51AA" w:rsidRPr="00EB51AA">
        <w:rPr>
          <w:highlight w:val="yellow"/>
          <w:lang w:eastAsia="ja-JP"/>
        </w:rPr>
        <w:t>vorliegt</w:t>
      </w:r>
      <w:commentRangeEnd w:id="118"/>
      <w:r w:rsidR="00EB51AA">
        <w:rPr>
          <w:rStyle w:val="Kommentarzeichen"/>
        </w:rPr>
        <w:commentReference w:id="118"/>
      </w:r>
      <w:r w:rsidR="00EB51AA">
        <w:rPr>
          <w:lang w:eastAsia="ja-JP"/>
        </w:rPr>
        <w:t xml:space="preserve"> </w:t>
      </w:r>
      <w:r w:rsidR="00B438F4">
        <w:rPr>
          <w:lang w:eastAsia="ja-JP"/>
        </w:rPr>
        <w:t>(spätestens bis Ende Januar des Folgejahres)</w:t>
      </w:r>
      <w:r>
        <w:rPr>
          <w:lang w:eastAsia="ja-JP"/>
        </w:rPr>
        <w:t>, der mindestens folgende Inhalte hat:</w:t>
      </w:r>
    </w:p>
    <w:p w:rsidR="00470D33" w:rsidRDefault="00BE1F9E" w:rsidP="00815302">
      <w:pPr>
        <w:pStyle w:val="gemAufzhlung"/>
        <w:rPr>
          <w:lang w:eastAsia="ja-JP"/>
        </w:rPr>
      </w:pPr>
      <w:r>
        <w:rPr>
          <w:lang w:eastAsia="ja-JP"/>
        </w:rPr>
        <w:t>a</w:t>
      </w:r>
      <w:r w:rsidR="00470D33">
        <w:rPr>
          <w:lang w:eastAsia="ja-JP"/>
        </w:rPr>
        <w:t>llgemeine Anbieterinformationen (</w:t>
      </w:r>
      <w:r w:rsidR="00AD74DC">
        <w:rPr>
          <w:lang w:eastAsia="ja-JP"/>
        </w:rPr>
        <w:t>einschl. Kontaktinformationen des anbieterinternen Informationssicherheitsmanagements</w:t>
      </w:r>
      <w:r w:rsidR="00470D33">
        <w:rPr>
          <w:lang w:eastAsia="ja-JP"/>
        </w:rPr>
        <w:t>)</w:t>
      </w:r>
    </w:p>
    <w:p w:rsidR="00470D33" w:rsidRDefault="00BE1F9E" w:rsidP="00815302">
      <w:pPr>
        <w:pStyle w:val="gemAufzhlung"/>
        <w:rPr>
          <w:lang w:eastAsia="ja-JP"/>
        </w:rPr>
      </w:pPr>
      <w:r>
        <w:rPr>
          <w:lang w:eastAsia="ja-JP"/>
        </w:rPr>
        <w:t>a</w:t>
      </w:r>
      <w:r w:rsidR="00470D33">
        <w:rPr>
          <w:lang w:eastAsia="ja-JP"/>
        </w:rPr>
        <w:t>llgemeine</w:t>
      </w:r>
      <w:r w:rsidR="003155E3">
        <w:rPr>
          <w:lang w:eastAsia="ja-JP"/>
        </w:rPr>
        <w:t>r</w:t>
      </w:r>
      <w:r w:rsidR="00470D33">
        <w:rPr>
          <w:lang w:eastAsia="ja-JP"/>
        </w:rPr>
        <w:t xml:space="preserve"> Überblick des Sicherheitsstatus der </w:t>
      </w:r>
      <w:r w:rsidR="003155E3">
        <w:rPr>
          <w:lang w:eastAsia="ja-JP"/>
        </w:rPr>
        <w:t xml:space="preserve">vom Anbieter betriebenen </w:t>
      </w:r>
      <w:r w:rsidR="00235DC8">
        <w:t>Dienste der TI bzw. weiteren Anwendungen</w:t>
      </w:r>
      <w:r w:rsidR="00470D33">
        <w:rPr>
          <w:lang w:eastAsia="ja-JP"/>
        </w:rPr>
        <w:t xml:space="preserve"> (einschl. </w:t>
      </w:r>
      <w:r w:rsidR="00470D33">
        <w:rPr>
          <w:lang w:eastAsia="ja-JP"/>
        </w:rPr>
        <w:lastRenderedPageBreak/>
        <w:t>sicherheitsrelevante</w:t>
      </w:r>
      <w:r>
        <w:rPr>
          <w:lang w:eastAsia="ja-JP"/>
        </w:rPr>
        <w:t>r</w:t>
      </w:r>
      <w:r w:rsidR="00470D33">
        <w:rPr>
          <w:lang w:eastAsia="ja-JP"/>
        </w:rPr>
        <w:t xml:space="preserve"> Erkenntnisse aufgrund gesetzlicher Änderungen, des technischen Fortschritts oder veränderter Bedrohungslage) </w:t>
      </w:r>
    </w:p>
    <w:p w:rsidR="00470D33" w:rsidRDefault="00470D33" w:rsidP="00815302">
      <w:pPr>
        <w:pStyle w:val="gemAufzhlung"/>
        <w:rPr>
          <w:lang w:eastAsia="ja-JP"/>
        </w:rPr>
      </w:pPr>
      <w:r>
        <w:rPr>
          <w:lang w:eastAsia="ja-JP"/>
        </w:rPr>
        <w:t xml:space="preserve">Übersicht der im </w:t>
      </w:r>
      <w:r w:rsidR="00AD74DC">
        <w:rPr>
          <w:lang w:eastAsia="ja-JP"/>
        </w:rPr>
        <w:t xml:space="preserve">Jahreszeitraum </w:t>
      </w:r>
      <w:r>
        <w:rPr>
          <w:lang w:eastAsia="ja-JP"/>
        </w:rPr>
        <w:t xml:space="preserve">aufgetretenen Sicherheitsvorfälle und Notfälle </w:t>
      </w:r>
      <w:r w:rsidR="003155E3">
        <w:rPr>
          <w:lang w:eastAsia="ja-JP"/>
        </w:rPr>
        <w:t>bzgl. der</w:t>
      </w:r>
      <w:r>
        <w:rPr>
          <w:lang w:eastAsia="ja-JP"/>
        </w:rPr>
        <w:t xml:space="preserve"> </w:t>
      </w:r>
      <w:r w:rsidR="00235DC8">
        <w:t xml:space="preserve">Dienste der TI bzw. weiteren Anwendungen </w:t>
      </w:r>
      <w:r w:rsidR="003155E3">
        <w:rPr>
          <w:lang w:eastAsia="ja-JP"/>
        </w:rPr>
        <w:t>des Anbieters</w:t>
      </w:r>
      <w:r>
        <w:rPr>
          <w:lang w:eastAsia="ja-JP"/>
        </w:rPr>
        <w:t xml:space="preserve"> (unabhängig von Kritikalität und Ad-Hoc-Meldepflicht) </w:t>
      </w:r>
    </w:p>
    <w:p w:rsidR="00470D33" w:rsidRDefault="00470D33" w:rsidP="00815302">
      <w:pPr>
        <w:pStyle w:val="gemAufzhlung"/>
        <w:rPr>
          <w:lang w:eastAsia="ja-JP"/>
        </w:rPr>
      </w:pPr>
      <w:r>
        <w:rPr>
          <w:lang w:eastAsia="ja-JP"/>
        </w:rPr>
        <w:t>Übersicht der</w:t>
      </w:r>
      <w:r w:rsidR="00AD74DC">
        <w:rPr>
          <w:lang w:eastAsia="ja-JP"/>
        </w:rPr>
        <w:t xml:space="preserve"> im Jahreszeitraum</w:t>
      </w:r>
      <w:r>
        <w:rPr>
          <w:lang w:eastAsia="ja-JP"/>
        </w:rPr>
        <w:t xml:space="preserve"> erkannten Schwachstellen </w:t>
      </w:r>
      <w:r w:rsidR="003155E3">
        <w:rPr>
          <w:lang w:eastAsia="ja-JP"/>
        </w:rPr>
        <w:t xml:space="preserve">bzgl. der </w:t>
      </w:r>
      <w:r w:rsidR="00235DC8">
        <w:t xml:space="preserve">Dienste der TI bzw. weiteren Anwendungen </w:t>
      </w:r>
      <w:r w:rsidR="003155E3">
        <w:rPr>
          <w:lang w:eastAsia="ja-JP"/>
        </w:rPr>
        <w:t>des Anbieters</w:t>
      </w:r>
      <w:r>
        <w:rPr>
          <w:lang w:eastAsia="ja-JP"/>
        </w:rPr>
        <w:t xml:space="preserve"> (</w:t>
      </w:r>
      <w:r>
        <w:t>inkl. geplanter risikomindernder Maßnahmen und des Umsetzungsstatus)</w:t>
      </w:r>
    </w:p>
    <w:p w:rsidR="001601B1" w:rsidRDefault="00470D33" w:rsidP="00A638BA">
      <w:pPr>
        <w:pStyle w:val="gemAufzhlung"/>
        <w:rPr>
          <w:lang w:eastAsia="ja-JP"/>
        </w:rPr>
      </w:pPr>
      <w:r>
        <w:t xml:space="preserve">Übersicht der im </w:t>
      </w:r>
      <w:r w:rsidR="00AD74DC">
        <w:t>Jahreszeitraum</w:t>
      </w:r>
      <w:r>
        <w:t xml:space="preserve"> </w:t>
      </w:r>
      <w:r>
        <w:rPr>
          <w:lang w:eastAsia="ja-JP"/>
        </w:rPr>
        <w:t>eigenverantwortlich</w:t>
      </w:r>
      <w:r>
        <w:t xml:space="preserve"> durchgeführten Audits </w:t>
      </w:r>
      <w:r w:rsidR="00F77556">
        <w:rPr>
          <w:lang w:eastAsia="ja-JP"/>
        </w:rPr>
        <w:t>(Management Summary)</w:t>
      </w:r>
    </w:p>
    <w:p w:rsidR="0071250F" w:rsidRDefault="001601B1" w:rsidP="001601B1">
      <w:pPr>
        <w:pStyle w:val="gemAufzhlung"/>
        <w:rPr>
          <w:b/>
        </w:rPr>
      </w:pPr>
      <w:r w:rsidRPr="001601B1">
        <w:t>Handlungsempfehlungen</w:t>
      </w:r>
      <w:r w:rsidRPr="001601B1">
        <w:rPr>
          <w:b/>
        </w:rPr>
        <w:t xml:space="preserve"> </w:t>
      </w:r>
      <w:r w:rsidRPr="001601B1">
        <w:t>und Entscheidungsbedarf auf Seiten der gematik.</w:t>
      </w:r>
      <w:r>
        <w:rPr>
          <w:b/>
        </w:rPr>
        <w:t xml:space="preserve"> </w:t>
      </w:r>
    </w:p>
    <w:p w:rsidR="00470D33" w:rsidRPr="0071250F" w:rsidRDefault="0071250F" w:rsidP="0071250F">
      <w:pPr>
        <w:pStyle w:val="gemStandard"/>
        <w:rPr>
          <w:lang w:eastAsia="ja-JP"/>
        </w:rPr>
      </w:pPr>
      <w:r>
        <w:rPr>
          <w:b/>
        </w:rPr>
        <w:sym w:font="Wingdings" w:char="F0D5"/>
      </w:r>
    </w:p>
    <w:p w:rsidR="00EB4C0E" w:rsidRPr="006F20BA" w:rsidRDefault="00EB4C0E" w:rsidP="00EB4C0E">
      <w:pPr>
        <w:pStyle w:val="gemStandard"/>
        <w:rPr>
          <w:strike/>
          <w:lang w:eastAsia="ja-JP"/>
        </w:rPr>
      </w:pPr>
      <w:r w:rsidRPr="006F20BA">
        <w:rPr>
          <w:strike/>
          <w:highlight w:val="yellow"/>
          <w:lang w:eastAsia="ja-JP"/>
        </w:rPr>
        <w:t>Neben dem Jahres</w:t>
      </w:r>
      <w:r w:rsidR="00B44D8A" w:rsidRPr="006F20BA">
        <w:rPr>
          <w:strike/>
          <w:highlight w:val="yellow"/>
          <w:lang w:eastAsia="ja-JP"/>
        </w:rPr>
        <w:t>s</w:t>
      </w:r>
      <w:r w:rsidRPr="006F20BA">
        <w:rPr>
          <w:strike/>
          <w:highlight w:val="yellow"/>
          <w:lang w:eastAsia="ja-JP"/>
        </w:rPr>
        <w:t xml:space="preserve">icherheitsbericht ist im Falle schwerwiegender Sicherheitsvorfälle die erfolgreiche Umsetzung der Maßnahmen zur Behebung des Vorfalls der gematik zu </w:t>
      </w:r>
      <w:commentRangeStart w:id="119"/>
      <w:r w:rsidRPr="006F20BA">
        <w:rPr>
          <w:strike/>
          <w:highlight w:val="yellow"/>
          <w:lang w:eastAsia="ja-JP"/>
        </w:rPr>
        <w:t>melden</w:t>
      </w:r>
      <w:commentRangeEnd w:id="119"/>
      <w:r w:rsidR="006F20BA">
        <w:rPr>
          <w:rStyle w:val="Kommentarzeichen"/>
        </w:rPr>
        <w:commentReference w:id="119"/>
      </w:r>
      <w:r w:rsidRPr="006F20BA">
        <w:rPr>
          <w:strike/>
          <w:highlight w:val="yellow"/>
          <w:lang w:eastAsia="ja-JP"/>
        </w:rPr>
        <w:t>.</w:t>
      </w:r>
    </w:p>
    <w:p w:rsidR="00EB4C0E" w:rsidRPr="008D67F2" w:rsidRDefault="00EB4C0E" w:rsidP="00EB4C0E">
      <w:pPr>
        <w:pStyle w:val="gemStandard"/>
        <w:ind w:left="708" w:hanging="708"/>
        <w:rPr>
          <w:b/>
        </w:rPr>
      </w:pPr>
      <w:r w:rsidRPr="008D67F2">
        <w:rPr>
          <w:b/>
        </w:rPr>
        <w:sym w:font="Wingdings" w:char="F0D6"/>
      </w:r>
      <w:r w:rsidRPr="008D67F2">
        <w:rPr>
          <w:b/>
        </w:rPr>
        <w:tab/>
        <w:t>GS-A_</w:t>
      </w:r>
      <w:r>
        <w:rPr>
          <w:b/>
        </w:rPr>
        <w:t>4530</w:t>
      </w:r>
      <w:r w:rsidR="00983E3B" w:rsidRPr="00983E3B">
        <w:rPr>
          <w:b/>
          <w:highlight w:val="yellow"/>
        </w:rPr>
        <w:t>-01</w:t>
      </w:r>
      <w:r>
        <w:rPr>
          <w:b/>
        </w:rPr>
        <w:t xml:space="preserve"> </w:t>
      </w:r>
      <w:r w:rsidRPr="008D67F2">
        <w:rPr>
          <w:b/>
        </w:rPr>
        <w:t xml:space="preserve">Maßnahmen zur Behebung von </w:t>
      </w:r>
      <w:r w:rsidRPr="00CF5C53">
        <w:rPr>
          <w:b/>
          <w:strike/>
          <w:highlight w:val="yellow"/>
        </w:rPr>
        <w:t>schwerwiegenden</w:t>
      </w:r>
      <w:r w:rsidRPr="008D67F2">
        <w:rPr>
          <w:b/>
        </w:rPr>
        <w:t xml:space="preserve"> </w:t>
      </w:r>
      <w:commentRangeStart w:id="120"/>
      <w:r w:rsidR="00CF5C53" w:rsidRPr="00CF5C53">
        <w:rPr>
          <w:b/>
          <w:highlight w:val="yellow"/>
        </w:rPr>
        <w:t>erheblichen</w:t>
      </w:r>
      <w:commentRangeEnd w:id="120"/>
      <w:r w:rsidR="00CF5C53">
        <w:rPr>
          <w:rStyle w:val="Kommentarzeichen"/>
        </w:rPr>
        <w:commentReference w:id="120"/>
      </w:r>
      <w:r w:rsidR="00CF5C53">
        <w:rPr>
          <w:b/>
        </w:rPr>
        <w:t xml:space="preserve"> </w:t>
      </w:r>
      <w:r w:rsidRPr="008D67F2">
        <w:rPr>
          <w:b/>
        </w:rPr>
        <w:t>Sicherheits</w:t>
      </w:r>
      <w:r w:rsidRPr="008D67F2">
        <w:rPr>
          <w:b/>
        </w:rPr>
        <w:softHyphen/>
        <w:t xml:space="preserve">vorfällen und </w:t>
      </w:r>
      <w:r>
        <w:rPr>
          <w:b/>
        </w:rPr>
        <w:t>N</w:t>
      </w:r>
      <w:r w:rsidRPr="008D67F2">
        <w:rPr>
          <w:b/>
        </w:rPr>
        <w:t>otfällen</w:t>
      </w:r>
    </w:p>
    <w:p w:rsidR="0071250F" w:rsidRDefault="00EB4C0E" w:rsidP="00EB4C0E">
      <w:pPr>
        <w:pStyle w:val="gemEinzug"/>
        <w:kinsoku w:val="0"/>
        <w:ind w:left="709"/>
        <w:rPr>
          <w:b/>
        </w:rPr>
      </w:pPr>
      <w:r>
        <w:t xml:space="preserve">Der </w:t>
      </w:r>
      <w:r w:rsidRPr="008D67F2">
        <w:t xml:space="preserve">Anbieter </w:t>
      </w:r>
      <w:r w:rsidRPr="008D67F2">
        <w:rPr>
          <w:lang w:eastAsia="ja-JP"/>
        </w:rPr>
        <w:t>M</w:t>
      </w:r>
      <w:r>
        <w:rPr>
          <w:lang w:eastAsia="ja-JP"/>
        </w:rPr>
        <w:t>U</w:t>
      </w:r>
      <w:r w:rsidRPr="008D67F2">
        <w:rPr>
          <w:lang w:eastAsia="ja-JP"/>
        </w:rPr>
        <w:t>SS</w:t>
      </w:r>
      <w:r w:rsidRPr="008D67F2">
        <w:t xml:space="preserve"> </w:t>
      </w:r>
      <w:r>
        <w:t xml:space="preserve">sich </w:t>
      </w:r>
      <w:r w:rsidRPr="008D67F2">
        <w:t xml:space="preserve">bei </w:t>
      </w:r>
      <w:r w:rsidRPr="00CF5C53">
        <w:rPr>
          <w:rFonts w:cs="Arial"/>
          <w:strike/>
          <w:highlight w:val="yellow"/>
          <w:lang w:eastAsia="ja-JP"/>
        </w:rPr>
        <w:t>schwerwiegenden</w:t>
      </w:r>
      <w:r w:rsidRPr="00CF5C53">
        <w:rPr>
          <w:highlight w:val="yellow"/>
        </w:rPr>
        <w:t xml:space="preserve"> </w:t>
      </w:r>
      <w:r w:rsidR="00CF5C53" w:rsidRPr="00CF5C53">
        <w:rPr>
          <w:highlight w:val="yellow"/>
        </w:rPr>
        <w:t>erheblichen</w:t>
      </w:r>
      <w:r w:rsidR="00CF5C53">
        <w:t xml:space="preserve"> </w:t>
      </w:r>
      <w:r w:rsidRPr="008D67F2">
        <w:t>Sicherheits</w:t>
      </w:r>
      <w:r w:rsidRPr="008D67F2">
        <w:softHyphen/>
      </w:r>
      <w:r>
        <w:t>vorfällen und N</w:t>
      </w:r>
      <w:r w:rsidRPr="008D67F2">
        <w:t xml:space="preserve">otfällen mit </w:t>
      </w:r>
      <w:r>
        <w:t xml:space="preserve">der gematik hinsichtlich der </w:t>
      </w:r>
      <w:r w:rsidRPr="008D67F2">
        <w:t>Maßnahmen</w:t>
      </w:r>
      <w:r>
        <w:t xml:space="preserve"> und deren Umsetzung abstimmen sowie</w:t>
      </w:r>
      <w:r w:rsidRPr="008D67F2">
        <w:t xml:space="preserve"> </w:t>
      </w:r>
      <w:r>
        <w:t>deren</w:t>
      </w:r>
      <w:r w:rsidRPr="008D67F2">
        <w:t xml:space="preserve"> erfolgreichen Abschluss </w:t>
      </w:r>
      <w:r>
        <w:t xml:space="preserve">direkt der gematik </w:t>
      </w:r>
      <w:r w:rsidRPr="008D67F2">
        <w:t>melden.</w:t>
      </w:r>
    </w:p>
    <w:p w:rsidR="00EB4C0E" w:rsidRPr="0071250F" w:rsidRDefault="0071250F" w:rsidP="0071250F">
      <w:pPr>
        <w:pStyle w:val="gemStandard"/>
        <w:rPr>
          <w:b/>
        </w:rPr>
      </w:pPr>
      <w:r>
        <w:rPr>
          <w:b/>
        </w:rPr>
        <w:sym w:font="Wingdings" w:char="F0D5"/>
      </w:r>
      <w:r w:rsidR="00EB4C0E" w:rsidRPr="0071250F">
        <w:rPr>
          <w:b/>
        </w:rPr>
        <w:t xml:space="preserve"> </w:t>
      </w:r>
    </w:p>
    <w:p w:rsidR="00EB4C0E" w:rsidRPr="008D67F2" w:rsidRDefault="00EB4C0E" w:rsidP="00EB4C0E">
      <w:pPr>
        <w:pStyle w:val="gemStandard"/>
        <w:ind w:left="708" w:hanging="708"/>
        <w:rPr>
          <w:b/>
        </w:rPr>
      </w:pPr>
      <w:r w:rsidRPr="008D67F2">
        <w:rPr>
          <w:b/>
        </w:rPr>
        <w:sym w:font="Wingdings" w:char="F0D6"/>
      </w:r>
      <w:r w:rsidRPr="008D67F2">
        <w:rPr>
          <w:b/>
        </w:rPr>
        <w:tab/>
        <w:t>GS-A_</w:t>
      </w:r>
      <w:r>
        <w:rPr>
          <w:b/>
        </w:rPr>
        <w:t>4532</w:t>
      </w:r>
      <w:r w:rsidR="00983E3B" w:rsidRPr="00983E3B">
        <w:rPr>
          <w:b/>
          <w:highlight w:val="yellow"/>
        </w:rPr>
        <w:t>-01</w:t>
      </w:r>
      <w:r w:rsidRPr="008D67F2">
        <w:rPr>
          <w:b/>
        </w:rPr>
        <w:t xml:space="preserve"> </w:t>
      </w:r>
      <w:r>
        <w:rPr>
          <w:b/>
        </w:rPr>
        <w:t>Nachweis</w:t>
      </w:r>
      <w:r w:rsidRPr="008D67F2">
        <w:rPr>
          <w:b/>
        </w:rPr>
        <w:t xml:space="preserve"> der Umsetzung von Maßnahmen in Folge eines </w:t>
      </w:r>
      <w:r w:rsidRPr="00CF5C53">
        <w:rPr>
          <w:b/>
          <w:strike/>
          <w:highlight w:val="yellow"/>
        </w:rPr>
        <w:t>schwerwiegenden</w:t>
      </w:r>
      <w:r>
        <w:rPr>
          <w:b/>
        </w:rPr>
        <w:t xml:space="preserve"> </w:t>
      </w:r>
      <w:commentRangeStart w:id="121"/>
      <w:r w:rsidR="00CF5C53" w:rsidRPr="00CF5C53">
        <w:rPr>
          <w:b/>
          <w:highlight w:val="yellow"/>
        </w:rPr>
        <w:t>erheblichen</w:t>
      </w:r>
      <w:commentRangeEnd w:id="121"/>
      <w:r w:rsidR="00CF5C53">
        <w:rPr>
          <w:rStyle w:val="Kommentarzeichen"/>
        </w:rPr>
        <w:commentReference w:id="121"/>
      </w:r>
      <w:r w:rsidR="00CF5C53">
        <w:rPr>
          <w:b/>
        </w:rPr>
        <w:t xml:space="preserve"> </w:t>
      </w:r>
      <w:r>
        <w:rPr>
          <w:b/>
        </w:rPr>
        <w:t>Sicherheitsvorfalls oder N</w:t>
      </w:r>
      <w:r w:rsidRPr="008D67F2">
        <w:rPr>
          <w:b/>
        </w:rPr>
        <w:t>otfalls</w:t>
      </w:r>
    </w:p>
    <w:p w:rsidR="0071250F" w:rsidRDefault="00EB4C0E" w:rsidP="00EB4C0E">
      <w:pPr>
        <w:pStyle w:val="gemEinzug"/>
        <w:kinsoku w:val="0"/>
        <w:ind w:left="709"/>
        <w:rPr>
          <w:b/>
        </w:rPr>
      </w:pPr>
      <w:r>
        <w:rPr>
          <w:lang w:eastAsia="ja-JP"/>
        </w:rPr>
        <w:t xml:space="preserve">Der </w:t>
      </w:r>
      <w:r w:rsidRPr="00C568CB">
        <w:rPr>
          <w:lang w:eastAsia="ja-JP"/>
        </w:rPr>
        <w:t>Anbieter M</w:t>
      </w:r>
      <w:r>
        <w:rPr>
          <w:lang w:eastAsia="ja-JP"/>
        </w:rPr>
        <w:t>USS</w:t>
      </w:r>
      <w:r w:rsidRPr="00C568CB">
        <w:rPr>
          <w:lang w:eastAsia="ja-JP"/>
        </w:rPr>
        <w:t xml:space="preserve"> der gematik auf Anfrage</w:t>
      </w:r>
      <w:r>
        <w:rPr>
          <w:lang w:eastAsia="ja-JP"/>
        </w:rPr>
        <w:t xml:space="preserve"> </w:t>
      </w:r>
      <w:r w:rsidRPr="00C568CB">
        <w:rPr>
          <w:lang w:eastAsia="ja-JP"/>
        </w:rPr>
        <w:t xml:space="preserve">die Umsetzung der Maßnahmen zur Behebung eines </w:t>
      </w:r>
      <w:r w:rsidRPr="00CF5C53">
        <w:rPr>
          <w:strike/>
          <w:highlight w:val="yellow"/>
          <w:lang w:eastAsia="ja-JP"/>
        </w:rPr>
        <w:t>schwerwiegenden</w:t>
      </w:r>
      <w:r w:rsidRPr="00CF5C53">
        <w:rPr>
          <w:highlight w:val="yellow"/>
          <w:lang w:eastAsia="ja-JP"/>
        </w:rPr>
        <w:t xml:space="preserve"> </w:t>
      </w:r>
      <w:r w:rsidR="00CF5C53" w:rsidRPr="00CF5C53">
        <w:rPr>
          <w:highlight w:val="yellow"/>
          <w:lang w:eastAsia="ja-JP"/>
        </w:rPr>
        <w:t>erheblichen</w:t>
      </w:r>
      <w:r w:rsidR="00CF5C53">
        <w:rPr>
          <w:lang w:eastAsia="ja-JP"/>
        </w:rPr>
        <w:t xml:space="preserve"> </w:t>
      </w:r>
      <w:r w:rsidRPr="00C568CB">
        <w:rPr>
          <w:lang w:eastAsia="ja-JP"/>
        </w:rPr>
        <w:t>Sicherheitsvorfalls oder Notfalls,</w:t>
      </w:r>
      <w:r>
        <w:rPr>
          <w:lang w:eastAsia="ja-JP"/>
        </w:rPr>
        <w:t xml:space="preserve"> </w:t>
      </w:r>
      <w:r w:rsidRPr="00C568CB">
        <w:rPr>
          <w:lang w:eastAsia="ja-JP"/>
        </w:rPr>
        <w:t>z.</w:t>
      </w:r>
      <w:r>
        <w:rPr>
          <w:lang w:eastAsia="ja-JP"/>
        </w:rPr>
        <w:t> </w:t>
      </w:r>
      <w:r w:rsidRPr="00C568CB">
        <w:rPr>
          <w:lang w:eastAsia="ja-JP"/>
        </w:rPr>
        <w:t>B. in Form von zur Verfügung gestellten Dokumentationen, neuen Regelungen o</w:t>
      </w:r>
      <w:r>
        <w:rPr>
          <w:lang w:eastAsia="ja-JP"/>
        </w:rPr>
        <w:t xml:space="preserve">der Prozessen sowie anhand von </w:t>
      </w:r>
      <w:r w:rsidRPr="00C568CB">
        <w:rPr>
          <w:lang w:eastAsia="ja-JP"/>
        </w:rPr>
        <w:t xml:space="preserve">Auszügen aus der Konfiguration oder </w:t>
      </w:r>
      <w:proofErr w:type="spellStart"/>
      <w:r w:rsidRPr="00C568CB">
        <w:rPr>
          <w:lang w:eastAsia="ja-JP"/>
        </w:rPr>
        <w:t>Logdaten</w:t>
      </w:r>
      <w:proofErr w:type="spellEnd"/>
      <w:r w:rsidRPr="00C568CB">
        <w:rPr>
          <w:lang w:eastAsia="ja-JP"/>
        </w:rPr>
        <w:t>, nachweisen.</w:t>
      </w:r>
    </w:p>
    <w:p w:rsidR="00EB4C0E" w:rsidRPr="0071250F" w:rsidRDefault="0071250F" w:rsidP="0071250F">
      <w:pPr>
        <w:pStyle w:val="gemStandard"/>
      </w:pPr>
      <w:r>
        <w:rPr>
          <w:b/>
        </w:rPr>
        <w:sym w:font="Wingdings" w:char="F0D5"/>
      </w:r>
    </w:p>
    <w:p w:rsidR="00F0547E" w:rsidRPr="004C5626" w:rsidRDefault="00F0547E" w:rsidP="00F0547E">
      <w:pPr>
        <w:pStyle w:val="gemStandard"/>
        <w:ind w:left="708" w:hanging="708"/>
        <w:rPr>
          <w:b/>
          <w:highlight w:val="yellow"/>
        </w:rPr>
      </w:pPr>
      <w:r w:rsidRPr="004C5626">
        <w:rPr>
          <w:b/>
          <w:highlight w:val="yellow"/>
        </w:rPr>
        <w:sym w:font="Wingdings" w:char="F0D6"/>
      </w:r>
      <w:r w:rsidRPr="004C5626">
        <w:rPr>
          <w:b/>
          <w:highlight w:val="yellow"/>
        </w:rPr>
        <w:t xml:space="preserve"> </w:t>
      </w:r>
      <w:r w:rsidRPr="004C5626">
        <w:rPr>
          <w:b/>
          <w:highlight w:val="yellow"/>
        </w:rPr>
        <w:tab/>
        <w:t>GS-A_5324</w:t>
      </w:r>
      <w:r w:rsidR="00983E3B">
        <w:rPr>
          <w:b/>
          <w:highlight w:val="yellow"/>
        </w:rPr>
        <w:t>-01</w:t>
      </w:r>
      <w:r w:rsidRPr="004C5626">
        <w:rPr>
          <w:b/>
          <w:highlight w:val="yellow"/>
        </w:rPr>
        <w:t xml:space="preserve"> Teilnahme des Anbieters an Sitzungen des </w:t>
      </w:r>
      <w:commentRangeStart w:id="122"/>
      <w:r w:rsidRPr="004C5626">
        <w:rPr>
          <w:b/>
          <w:highlight w:val="yellow"/>
        </w:rPr>
        <w:t>kISMS</w:t>
      </w:r>
      <w:commentRangeEnd w:id="122"/>
      <w:r>
        <w:rPr>
          <w:rStyle w:val="Kommentarzeichen"/>
        </w:rPr>
        <w:commentReference w:id="122"/>
      </w:r>
      <w:r w:rsidRPr="004C5626">
        <w:rPr>
          <w:b/>
          <w:highlight w:val="yellow"/>
        </w:rPr>
        <w:t xml:space="preserve"> </w:t>
      </w:r>
    </w:p>
    <w:p w:rsidR="0071250F" w:rsidRDefault="00F0547E" w:rsidP="00F0547E">
      <w:pPr>
        <w:pStyle w:val="gemEinzug"/>
        <w:kinsoku w:val="0"/>
        <w:ind w:left="709"/>
        <w:rPr>
          <w:b/>
          <w:highlight w:val="yellow"/>
        </w:rPr>
      </w:pPr>
      <w:r w:rsidRPr="004C5626">
        <w:rPr>
          <w:highlight w:val="yellow"/>
        </w:rPr>
        <w:t>Der Anbieter MUSS der gematik zusichern, dass der Anbieter das koordinierende Informationssicherheitsmanagementsystem (kISMS) der gematik unterstützt, indem auf Einladung der gematik ein Sicherheitsbeauftragter des Anbieters am Arbeitskreis Datenschutz und Informationssicherheit (AK DIS) teilnimmt, der sich im Rahmen seiner beruflichen Tätigkeit mit dem operativen Betrieb der vom Anbieter betriebenen Dienste befasst.</w:t>
      </w:r>
      <w:r w:rsidRPr="004C5626">
        <w:rPr>
          <w:b/>
          <w:highlight w:val="yellow"/>
        </w:rPr>
        <w:t xml:space="preserve"> </w:t>
      </w:r>
    </w:p>
    <w:p w:rsidR="00F0547E" w:rsidRPr="0071250F" w:rsidRDefault="0071250F" w:rsidP="0071250F">
      <w:pPr>
        <w:pStyle w:val="gemStandard"/>
      </w:pPr>
      <w:r>
        <w:rPr>
          <w:b/>
          <w:highlight w:val="yellow"/>
        </w:rPr>
        <w:sym w:font="Wingdings" w:char="F0D5"/>
      </w:r>
    </w:p>
    <w:p w:rsidR="00A14A65" w:rsidRDefault="00A14A65" w:rsidP="0071250F">
      <w:pPr>
        <w:pStyle w:val="berschrift2"/>
      </w:pPr>
      <w:bookmarkStart w:id="123" w:name="_Toc493494946"/>
      <w:bookmarkStart w:id="124" w:name="_Ref476238818"/>
      <w:bookmarkStart w:id="125" w:name="_Toc503165504"/>
      <w:bookmarkEnd w:id="123"/>
      <w:r>
        <w:lastRenderedPageBreak/>
        <w:t xml:space="preserve">Modul </w:t>
      </w:r>
      <w:r w:rsidR="00161AEF">
        <w:t>„</w:t>
      </w:r>
      <w:r w:rsidR="00E12F9B">
        <w:t>Erweiterter TI-Sicherheitsbericht</w:t>
      </w:r>
      <w:r w:rsidR="00161AEF">
        <w:t>“</w:t>
      </w:r>
      <w:bookmarkEnd w:id="124"/>
      <w:bookmarkEnd w:id="125"/>
    </w:p>
    <w:p w:rsidR="003155E3" w:rsidRDefault="003155E3" w:rsidP="003155E3">
      <w:pPr>
        <w:pStyle w:val="gemStandard"/>
      </w:pPr>
      <w:r>
        <w:rPr>
          <w:lang w:eastAsia="ja-JP"/>
        </w:rPr>
        <w:t xml:space="preserve">Anbieter, denen </w:t>
      </w:r>
      <w:r w:rsidR="00F77556">
        <w:rPr>
          <w:lang w:eastAsia="ja-JP"/>
        </w:rPr>
        <w:t xml:space="preserve">das </w:t>
      </w:r>
      <w:r>
        <w:rPr>
          <w:lang w:eastAsia="ja-JP"/>
        </w:rPr>
        <w:t xml:space="preserve">Modul </w:t>
      </w:r>
      <w:r w:rsidR="00F77556">
        <w:rPr>
          <w:lang w:eastAsia="ja-JP"/>
        </w:rPr>
        <w:t xml:space="preserve">„Erweiterter TI-Sicherheitsbericht“ </w:t>
      </w:r>
      <w:r>
        <w:rPr>
          <w:lang w:eastAsia="ja-JP"/>
        </w:rPr>
        <w:t xml:space="preserve">zugeordnet ist, </w:t>
      </w:r>
      <w:r>
        <w:t>müssen</w:t>
      </w:r>
      <w:r w:rsidRPr="00470D33">
        <w:t xml:space="preserve"> der gematik </w:t>
      </w:r>
      <w:r>
        <w:t>Quartals</w:t>
      </w:r>
      <w:r w:rsidR="001601B1">
        <w:t>berichte</w:t>
      </w:r>
      <w:r>
        <w:t xml:space="preserve"> und einen Jahresbericht zur Sicherheit übermitteln. </w:t>
      </w:r>
    </w:p>
    <w:p w:rsidR="003155E3" w:rsidRDefault="003155E3" w:rsidP="003155E3">
      <w:pPr>
        <w:pStyle w:val="gemStandard"/>
      </w:pPr>
      <w:r w:rsidRPr="00E42806">
        <w:t>Die Quartalssicherheitsberichte</w:t>
      </w:r>
      <w:r>
        <w:rPr>
          <w:b/>
        </w:rPr>
        <w:t xml:space="preserve"> </w:t>
      </w:r>
      <w:r w:rsidRPr="008D67F2">
        <w:t xml:space="preserve">umfassen </w:t>
      </w:r>
      <w:r>
        <w:t>die</w:t>
      </w:r>
      <w:r w:rsidRPr="008D67F2">
        <w:t xml:space="preserve"> jeweiligen Erfassungszeitr</w:t>
      </w:r>
      <w:r>
        <w:t>ä</w:t>
      </w:r>
      <w:r w:rsidRPr="008D67F2">
        <w:t>um</w:t>
      </w:r>
      <w:r>
        <w:t>e</w:t>
      </w:r>
      <w:r w:rsidR="00F77556">
        <w:t xml:space="preserve"> 1.1. bis 31.3. (Q1), 1.4. bis </w:t>
      </w:r>
      <w:r w:rsidRPr="008D67F2">
        <w:t>30.6. (Q2)</w:t>
      </w:r>
      <w:r>
        <w:t xml:space="preserve"> und</w:t>
      </w:r>
      <w:r w:rsidR="00F77556">
        <w:t xml:space="preserve"> 1.7. bis </w:t>
      </w:r>
      <w:r w:rsidRPr="008D67F2">
        <w:t>30.9. (Q3)</w:t>
      </w:r>
      <w:r>
        <w:t xml:space="preserve">. Für das vierte Quartal </w:t>
      </w:r>
      <w:r w:rsidR="00F77556">
        <w:t xml:space="preserve">1.10. bis </w:t>
      </w:r>
      <w:r w:rsidRPr="008D67F2">
        <w:t>31.12. (Q4)</w:t>
      </w:r>
      <w:r>
        <w:t xml:space="preserve"> ist kein separater Quartalssicherheitsbericht zu erstellen</w:t>
      </w:r>
      <w:r w:rsidR="00F77556">
        <w:t xml:space="preserve">. </w:t>
      </w:r>
      <w:proofErr w:type="gramStart"/>
      <w:r w:rsidR="00F77556">
        <w:t>Diese</w:t>
      </w:r>
      <w:proofErr w:type="gramEnd"/>
      <w:r w:rsidR="00F77556">
        <w:t xml:space="preserve"> Quartal ist</w:t>
      </w:r>
      <w:r>
        <w:t xml:space="preserve"> im Jahressicherheitsbericht zu erfassen.</w:t>
      </w:r>
    </w:p>
    <w:p w:rsidR="003155E3" w:rsidRDefault="003155E3" w:rsidP="003155E3">
      <w:pPr>
        <w:pStyle w:val="gemStandard"/>
      </w:pPr>
      <w:r>
        <w:t xml:space="preserve">Der Jahressicherheitsbericht umfasst den Zeitraum vom </w:t>
      </w:r>
      <w:r w:rsidR="00F77556">
        <w:t xml:space="preserve">1.1. bis </w:t>
      </w:r>
      <w:r w:rsidRPr="008D67F2">
        <w:t>31.12.</w:t>
      </w:r>
      <w:r>
        <w:t xml:space="preserve"> </w:t>
      </w:r>
      <w:r w:rsidR="00F77556">
        <w:t>eines Jahres.</w:t>
      </w:r>
    </w:p>
    <w:p w:rsidR="00C64124" w:rsidRPr="00A74755" w:rsidRDefault="00C64124" w:rsidP="00C64124">
      <w:pPr>
        <w:pStyle w:val="gemEinzug"/>
        <w:ind w:left="0"/>
        <w:rPr>
          <w:rStyle w:val="gemStandardfettZchn"/>
        </w:rPr>
      </w:pPr>
      <w:r w:rsidRPr="00A74755">
        <w:rPr>
          <w:b/>
        </w:rPr>
        <w:sym w:font="Wingdings" w:char="F0D6"/>
      </w:r>
      <w:r w:rsidRPr="00A74755">
        <w:rPr>
          <w:b/>
        </w:rPr>
        <w:tab/>
      </w:r>
      <w:r w:rsidR="00184A69">
        <w:rPr>
          <w:rStyle w:val="gemStandardfettZchn"/>
        </w:rPr>
        <w:t>GS-A_4507</w:t>
      </w:r>
      <w:r w:rsidR="00983E3B" w:rsidRPr="00983E3B">
        <w:rPr>
          <w:rStyle w:val="gemStandardfettZchn"/>
          <w:highlight w:val="yellow"/>
        </w:rPr>
        <w:t>-01</w:t>
      </w:r>
      <w:r w:rsidRPr="00C72546">
        <w:rPr>
          <w:rStyle w:val="gemStandardfettZchn"/>
        </w:rPr>
        <w:t xml:space="preserve"> </w:t>
      </w:r>
      <w:r>
        <w:rPr>
          <w:rStyle w:val="gemStandardfettZchn"/>
        </w:rPr>
        <w:t>Quartalsweiser Sicherheitsbericht</w:t>
      </w:r>
      <w:r w:rsidRPr="00C72546">
        <w:rPr>
          <w:rStyle w:val="gemStandardfettZchn"/>
        </w:rPr>
        <w:t xml:space="preserve"> </w:t>
      </w:r>
    </w:p>
    <w:p w:rsidR="00C64124" w:rsidRDefault="00C64124" w:rsidP="0021438C">
      <w:pPr>
        <w:pStyle w:val="gemEinzug"/>
        <w:kinsoku w:val="0"/>
        <w:ind w:left="709"/>
        <w:rPr>
          <w:lang w:eastAsia="ja-JP"/>
        </w:rPr>
      </w:pPr>
      <w:r>
        <w:rPr>
          <w:lang w:eastAsia="ja-JP"/>
        </w:rPr>
        <w:t xml:space="preserve">Der </w:t>
      </w:r>
      <w:r w:rsidRPr="0073547F">
        <w:t>Anbieter</w:t>
      </w:r>
      <w:r w:rsidRPr="0073547F">
        <w:rPr>
          <w:lang w:eastAsia="ja-JP"/>
        </w:rPr>
        <w:t xml:space="preserve"> </w:t>
      </w:r>
      <w:r>
        <w:rPr>
          <w:lang w:eastAsia="ja-JP"/>
        </w:rPr>
        <w:t>MUSS</w:t>
      </w:r>
      <w:r w:rsidRPr="0073547F">
        <w:rPr>
          <w:lang w:eastAsia="ja-JP"/>
        </w:rPr>
        <w:t xml:space="preserve"> </w:t>
      </w:r>
      <w:r>
        <w:rPr>
          <w:lang w:eastAsia="ja-JP"/>
        </w:rPr>
        <w:t xml:space="preserve">sicherstellen, dass der gematik </w:t>
      </w:r>
      <w:r w:rsidR="003155E3">
        <w:rPr>
          <w:lang w:eastAsia="ja-JP"/>
        </w:rPr>
        <w:t>für das e</w:t>
      </w:r>
      <w:r w:rsidR="003B4ECD">
        <w:rPr>
          <w:lang w:eastAsia="ja-JP"/>
        </w:rPr>
        <w:t xml:space="preserve">rste, zweite und dritte Quartal </w:t>
      </w:r>
      <w:r>
        <w:rPr>
          <w:lang w:eastAsia="ja-JP"/>
        </w:rPr>
        <w:t>ein Sicherheitsbericht vorliegt</w:t>
      </w:r>
      <w:r w:rsidR="005F2DC6">
        <w:rPr>
          <w:lang w:eastAsia="ja-JP"/>
        </w:rPr>
        <w:t xml:space="preserve"> (jeweils bis spätestens </w:t>
      </w:r>
      <w:r w:rsidR="00F77556">
        <w:rPr>
          <w:lang w:eastAsia="ja-JP"/>
        </w:rPr>
        <w:t>zum</w:t>
      </w:r>
      <w:r w:rsidR="005F2DC6">
        <w:rPr>
          <w:lang w:eastAsia="ja-JP"/>
        </w:rPr>
        <w:t xml:space="preserve"> Ende des Folgemonats nach Ablauf des Quartals)</w:t>
      </w:r>
      <w:r>
        <w:rPr>
          <w:lang w:eastAsia="ja-JP"/>
        </w:rPr>
        <w:t>, der mindestens folgende Inhalte hat:</w:t>
      </w:r>
    </w:p>
    <w:p w:rsidR="00C64124" w:rsidRDefault="00F77556" w:rsidP="00C64124">
      <w:pPr>
        <w:pStyle w:val="gemAufzhlung"/>
        <w:rPr>
          <w:lang w:eastAsia="ja-JP"/>
        </w:rPr>
      </w:pPr>
      <w:r>
        <w:rPr>
          <w:lang w:eastAsia="ja-JP"/>
        </w:rPr>
        <w:t>a</w:t>
      </w:r>
      <w:r w:rsidR="00C64124">
        <w:rPr>
          <w:lang w:eastAsia="ja-JP"/>
        </w:rPr>
        <w:t>llgemeine Anbieterinformationen (einschl. Kontaktinformationen des anbieterinternen Informationssicherheitsmanagements)</w:t>
      </w:r>
    </w:p>
    <w:p w:rsidR="00C64124" w:rsidRDefault="00F77556" w:rsidP="00C64124">
      <w:pPr>
        <w:pStyle w:val="gemAufzhlung"/>
        <w:rPr>
          <w:lang w:eastAsia="ja-JP"/>
        </w:rPr>
      </w:pPr>
      <w:r>
        <w:rPr>
          <w:lang w:eastAsia="ja-JP"/>
        </w:rPr>
        <w:t>a</w:t>
      </w:r>
      <w:r w:rsidR="00C64124">
        <w:rPr>
          <w:lang w:eastAsia="ja-JP"/>
        </w:rPr>
        <w:t xml:space="preserve">llgemeiner Überblick des Sicherheitsstatus der </w:t>
      </w:r>
      <w:r w:rsidR="003155E3">
        <w:rPr>
          <w:lang w:eastAsia="ja-JP"/>
        </w:rPr>
        <w:t xml:space="preserve">vom Anbieter betriebenen </w:t>
      </w:r>
      <w:r w:rsidR="00235DC8">
        <w:rPr>
          <w:lang w:eastAsia="ja-JP"/>
        </w:rPr>
        <w:t>Dienste der TI</w:t>
      </w:r>
      <w:r w:rsidR="00C64124">
        <w:rPr>
          <w:lang w:eastAsia="ja-JP"/>
        </w:rPr>
        <w:t xml:space="preserve"> (einschl. sicherheitsrelevante</w:t>
      </w:r>
      <w:r>
        <w:rPr>
          <w:lang w:eastAsia="ja-JP"/>
        </w:rPr>
        <w:t>r</w:t>
      </w:r>
      <w:r w:rsidR="00C64124">
        <w:rPr>
          <w:lang w:eastAsia="ja-JP"/>
        </w:rPr>
        <w:t xml:space="preserve"> Erkenntnisse aufgrund gesetzlicher Änderungen, des technischen Fortschritts oder veränderter Bedrohungslage) </w:t>
      </w:r>
    </w:p>
    <w:p w:rsidR="00C64124" w:rsidRDefault="00C64124" w:rsidP="00C64124">
      <w:pPr>
        <w:pStyle w:val="gemAufzhlung"/>
        <w:rPr>
          <w:lang w:eastAsia="ja-JP"/>
        </w:rPr>
      </w:pPr>
      <w:r>
        <w:rPr>
          <w:lang w:eastAsia="ja-JP"/>
        </w:rPr>
        <w:t xml:space="preserve">Übersicht der im Quartal aufgetretenen Sicherheitsvorfälle und Notfälle </w:t>
      </w:r>
      <w:r w:rsidR="003155E3">
        <w:rPr>
          <w:lang w:eastAsia="ja-JP"/>
        </w:rPr>
        <w:t xml:space="preserve">bzgl. der </w:t>
      </w:r>
      <w:r w:rsidR="00235DC8">
        <w:t xml:space="preserve">Dienste der TI </w:t>
      </w:r>
      <w:r w:rsidR="003155E3">
        <w:rPr>
          <w:lang w:eastAsia="ja-JP"/>
        </w:rPr>
        <w:t xml:space="preserve">des Anbieters </w:t>
      </w:r>
      <w:r>
        <w:rPr>
          <w:lang w:eastAsia="ja-JP"/>
        </w:rPr>
        <w:t xml:space="preserve">(unabhängig von Kritikalität und Ad-Hoc-Meldepflicht) </w:t>
      </w:r>
    </w:p>
    <w:p w:rsidR="00C64124" w:rsidRDefault="00C64124" w:rsidP="00C64124">
      <w:pPr>
        <w:pStyle w:val="gemAufzhlung"/>
        <w:rPr>
          <w:lang w:eastAsia="ja-JP"/>
        </w:rPr>
      </w:pPr>
      <w:r>
        <w:rPr>
          <w:lang w:eastAsia="ja-JP"/>
        </w:rPr>
        <w:t xml:space="preserve">Übersicht der erkannten Schwachstellen </w:t>
      </w:r>
      <w:r w:rsidR="003155E3">
        <w:rPr>
          <w:lang w:eastAsia="ja-JP"/>
        </w:rPr>
        <w:t xml:space="preserve">bzgl. der </w:t>
      </w:r>
      <w:r w:rsidR="00235DC8">
        <w:t xml:space="preserve">Dienste der TI </w:t>
      </w:r>
      <w:r w:rsidR="003155E3">
        <w:rPr>
          <w:lang w:eastAsia="ja-JP"/>
        </w:rPr>
        <w:t xml:space="preserve">des Anbieters </w:t>
      </w:r>
      <w:r>
        <w:rPr>
          <w:lang w:eastAsia="ja-JP"/>
        </w:rPr>
        <w:t>(</w:t>
      </w:r>
      <w:r>
        <w:t>inkl. geplanter risikomindernder Maßnahmen und des Umsetzungsstatus)</w:t>
      </w:r>
      <w:r w:rsidR="003155E3">
        <w:t>.</w:t>
      </w:r>
    </w:p>
    <w:p w:rsidR="0071250F" w:rsidRDefault="00C64124" w:rsidP="00E37E3D">
      <w:pPr>
        <w:pStyle w:val="gemAufzhlung"/>
        <w:rPr>
          <w:b/>
        </w:rPr>
      </w:pPr>
      <w:r>
        <w:rPr>
          <w:lang w:eastAsia="ja-JP"/>
        </w:rPr>
        <w:t>Handlungsempfehlungen und Entscheidungsbedarf auf Seiten der gematik.</w:t>
      </w:r>
    </w:p>
    <w:p w:rsidR="003155E3" w:rsidRPr="0071250F" w:rsidRDefault="0071250F" w:rsidP="0071250F">
      <w:pPr>
        <w:pStyle w:val="gemStandard"/>
        <w:rPr>
          <w:lang w:eastAsia="ja-JP"/>
        </w:rPr>
      </w:pPr>
      <w:r>
        <w:rPr>
          <w:b/>
        </w:rPr>
        <w:sym w:font="Wingdings" w:char="F0D5"/>
      </w:r>
    </w:p>
    <w:p w:rsidR="008D4E61" w:rsidRDefault="008D4E61" w:rsidP="008D4E61">
      <w:pPr>
        <w:pStyle w:val="gemStandard"/>
        <w:rPr>
          <w:lang w:eastAsia="ja-JP"/>
        </w:rPr>
      </w:pPr>
      <w:r w:rsidRPr="00A34747">
        <w:t>Sind einem Anbieter die Module „TI-</w:t>
      </w:r>
      <w:r>
        <w:t>Sicherheits</w:t>
      </w:r>
      <w:r w:rsidRPr="00A34747">
        <w:t>bericht“ und „Erweiterter TI-</w:t>
      </w:r>
      <w:r>
        <w:t>Sicherheits</w:t>
      </w:r>
      <w:r w:rsidRPr="00A34747">
        <w:t xml:space="preserve">bericht“ zugeordnet, ist nur </w:t>
      </w:r>
      <w:r>
        <w:t>der jährliche Sicherheitsbericht des</w:t>
      </w:r>
      <w:r w:rsidRPr="00A34747">
        <w:t xml:space="preserve"> Modul</w:t>
      </w:r>
      <w:r>
        <w:t>s</w:t>
      </w:r>
      <w:r w:rsidRPr="00A34747">
        <w:t xml:space="preserve"> „Erweiterter TI-</w:t>
      </w:r>
      <w:r>
        <w:t xml:space="preserve">Sicherheitsbericht“ (s. Afo </w:t>
      </w:r>
      <w:r w:rsidRPr="008D4E61">
        <w:t>GS-A_4508</w:t>
      </w:r>
      <w:r w:rsidR="00983E3B" w:rsidRPr="00983E3B">
        <w:rPr>
          <w:highlight w:val="yellow"/>
        </w:rPr>
        <w:t>-01</w:t>
      </w:r>
      <w:r w:rsidRPr="008D4E61">
        <w:t>)</w:t>
      </w:r>
      <w:r>
        <w:t xml:space="preserve"> zu erstellen, da</w:t>
      </w:r>
      <w:r w:rsidRPr="00A34747">
        <w:t xml:space="preserve"> </w:t>
      </w:r>
      <w:r>
        <w:t>d</w:t>
      </w:r>
      <w:r w:rsidRPr="00A34747">
        <w:t xml:space="preserve">er </w:t>
      </w:r>
      <w:r>
        <w:t>jährliche Sicherheits</w:t>
      </w:r>
      <w:r w:rsidRPr="00A34747">
        <w:t xml:space="preserve">bericht </w:t>
      </w:r>
      <w:r>
        <w:t>des</w:t>
      </w:r>
      <w:r w:rsidRPr="00A34747">
        <w:t xml:space="preserve"> Modul</w:t>
      </w:r>
      <w:r>
        <w:t>s</w:t>
      </w:r>
      <w:r w:rsidRPr="00A34747">
        <w:t xml:space="preserve"> „Erweiterter TI-</w:t>
      </w:r>
      <w:r>
        <w:t xml:space="preserve">Sicherheitsbericht“ </w:t>
      </w:r>
      <w:r w:rsidRPr="00A34747">
        <w:t xml:space="preserve">alle Inhalte des </w:t>
      </w:r>
      <w:r>
        <w:t>jährlichen Sicherheits</w:t>
      </w:r>
      <w:r w:rsidRPr="00A34747">
        <w:t>berichtes des Moduls „TI-</w:t>
      </w:r>
      <w:r>
        <w:t>Sicherheits</w:t>
      </w:r>
      <w:r w:rsidRPr="00A34747">
        <w:t>bericht“</w:t>
      </w:r>
      <w:r>
        <w:t xml:space="preserve"> (s. Afo </w:t>
      </w:r>
      <w:r w:rsidRPr="00983E3B">
        <w:rPr>
          <w:strike/>
          <w:highlight w:val="yellow"/>
        </w:rPr>
        <w:t>GS-A_NEU_TI_Report</w:t>
      </w:r>
      <w:r w:rsidR="00983E3B" w:rsidRPr="00983E3B">
        <w:rPr>
          <w:highlight w:val="yellow"/>
        </w:rPr>
        <w:t xml:space="preserve"> GS-A_5563</w:t>
      </w:r>
      <w:r>
        <w:t xml:space="preserve">) </w:t>
      </w:r>
      <w:r w:rsidRPr="00A34747">
        <w:t>enthält.</w:t>
      </w:r>
    </w:p>
    <w:p w:rsidR="00884A07" w:rsidRPr="00CC1C42" w:rsidRDefault="00884A07" w:rsidP="00884A07">
      <w:pPr>
        <w:pStyle w:val="gemEinzug"/>
        <w:ind w:left="0"/>
        <w:rPr>
          <w:rStyle w:val="gemStandardfettZchn"/>
        </w:rPr>
      </w:pPr>
      <w:r w:rsidRPr="00CC1C42">
        <w:rPr>
          <w:b/>
        </w:rPr>
        <w:sym w:font="Wingdings" w:char="F0D6"/>
      </w:r>
      <w:r w:rsidRPr="00CC1C42">
        <w:rPr>
          <w:b/>
        </w:rPr>
        <w:tab/>
      </w:r>
      <w:r w:rsidR="00184A69">
        <w:rPr>
          <w:rStyle w:val="gemStandardfettZchn"/>
        </w:rPr>
        <w:t>GS-A_4508</w:t>
      </w:r>
      <w:r w:rsidR="00983E3B" w:rsidRPr="00983E3B">
        <w:rPr>
          <w:rStyle w:val="gemStandardfettZchn"/>
          <w:highlight w:val="yellow"/>
        </w:rPr>
        <w:t>-01</w:t>
      </w:r>
      <w:r w:rsidRPr="00CC1C42">
        <w:rPr>
          <w:rStyle w:val="gemStandardfettZchn"/>
        </w:rPr>
        <w:t xml:space="preserve"> </w:t>
      </w:r>
      <w:r w:rsidR="004B70F0">
        <w:rPr>
          <w:rStyle w:val="gemStandardfettZchn"/>
        </w:rPr>
        <w:t xml:space="preserve">Jährlicher </w:t>
      </w:r>
      <w:commentRangeStart w:id="126"/>
      <w:r w:rsidRPr="00CC1C42">
        <w:rPr>
          <w:rStyle w:val="gemStandardfettZchn"/>
        </w:rPr>
        <w:t>Sicherheits</w:t>
      </w:r>
      <w:r w:rsidR="004B70F0">
        <w:rPr>
          <w:rStyle w:val="gemStandardfettZchn"/>
        </w:rPr>
        <w:t>bericht</w:t>
      </w:r>
      <w:commentRangeEnd w:id="126"/>
      <w:r w:rsidR="00077959">
        <w:rPr>
          <w:rStyle w:val="Kommentarzeichen"/>
        </w:rPr>
        <w:commentReference w:id="126"/>
      </w:r>
    </w:p>
    <w:p w:rsidR="005F2DC6" w:rsidRDefault="005F2DC6" w:rsidP="0021438C">
      <w:pPr>
        <w:pStyle w:val="gemEinzug"/>
        <w:kinsoku w:val="0"/>
        <w:ind w:left="709"/>
        <w:rPr>
          <w:lang w:eastAsia="ja-JP"/>
        </w:rPr>
      </w:pPr>
      <w:r>
        <w:rPr>
          <w:lang w:eastAsia="ja-JP"/>
        </w:rPr>
        <w:t xml:space="preserve">Der </w:t>
      </w:r>
      <w:r w:rsidRPr="0073547F">
        <w:t>Anbieter</w:t>
      </w:r>
      <w:r w:rsidRPr="0073547F">
        <w:rPr>
          <w:lang w:eastAsia="ja-JP"/>
        </w:rPr>
        <w:t xml:space="preserve"> </w:t>
      </w:r>
      <w:r>
        <w:rPr>
          <w:lang w:eastAsia="ja-JP"/>
        </w:rPr>
        <w:t>MUSS</w:t>
      </w:r>
      <w:r w:rsidRPr="0073547F">
        <w:rPr>
          <w:lang w:eastAsia="ja-JP"/>
        </w:rPr>
        <w:t xml:space="preserve"> </w:t>
      </w:r>
      <w:r>
        <w:rPr>
          <w:lang w:eastAsia="ja-JP"/>
        </w:rPr>
        <w:t xml:space="preserve">gewährleisten, dass der gematik jährlich (spätestens bis Ende Januar des Folgejahres) ein Jahressicherheitsbericht </w:t>
      </w:r>
      <w:r w:rsidRPr="00E85D78">
        <w:rPr>
          <w:lang w:eastAsia="ja-JP"/>
        </w:rPr>
        <w:t xml:space="preserve">bzgl. der vom Anbieter angebotenen Produkte der TI </w:t>
      </w:r>
      <w:r>
        <w:rPr>
          <w:lang w:eastAsia="ja-JP"/>
        </w:rPr>
        <w:t>vorliegt, der zum einen die Inhalte eines Quartalssicherheitsberichts bezogen auf das gesamte Berichtsjahr und zusätzlich mindestens folgende Inhalte enthält:</w:t>
      </w:r>
    </w:p>
    <w:p w:rsidR="005F2DC6" w:rsidRDefault="007D57B4" w:rsidP="005F2DC6">
      <w:pPr>
        <w:pStyle w:val="gemAufzhlung"/>
        <w:numPr>
          <w:ilvl w:val="0"/>
          <w:numId w:val="2"/>
        </w:numPr>
        <w:rPr>
          <w:lang w:eastAsia="ja-JP"/>
        </w:rPr>
      </w:pPr>
      <w:r>
        <w:lastRenderedPageBreak/>
        <w:t xml:space="preserve">die </w:t>
      </w:r>
      <w:r w:rsidR="005F2DC6" w:rsidRPr="008D67F2">
        <w:t>Anzahl und durchschnittliche Dauer der Informations</w:t>
      </w:r>
      <w:r w:rsidR="005F2DC6" w:rsidRPr="008D67F2">
        <w:softHyphen/>
        <w:t>sicher</w:t>
      </w:r>
      <w:r w:rsidR="005F2DC6" w:rsidRPr="008D67F2">
        <w:softHyphen/>
        <w:t>heits</w:t>
      </w:r>
      <w:r w:rsidR="005F2DC6">
        <w:t>s</w:t>
      </w:r>
      <w:r w:rsidR="005F2DC6" w:rsidRPr="008D67F2">
        <w:t>chulung</w:t>
      </w:r>
      <w:r w:rsidR="00077959" w:rsidRPr="00077959">
        <w:rPr>
          <w:highlight w:val="yellow"/>
        </w:rPr>
        <w:t>en</w:t>
      </w:r>
      <w:r w:rsidR="005F2DC6" w:rsidRPr="00077959">
        <w:rPr>
          <w:strike/>
          <w:highlight w:val="yellow"/>
        </w:rPr>
        <w:t>stage</w:t>
      </w:r>
      <w:r w:rsidR="005F2DC6" w:rsidRPr="008D67F2">
        <w:t xml:space="preserve"> der Mitarbeiter</w:t>
      </w:r>
      <w:r w:rsidR="005F2DC6">
        <w:t xml:space="preserve">, die sich mit </w:t>
      </w:r>
      <w:r w:rsidR="00235DC8">
        <w:rPr>
          <w:lang w:eastAsia="ja-JP"/>
        </w:rPr>
        <w:t>den Diensten der TI</w:t>
      </w:r>
      <w:r w:rsidR="005F2DC6">
        <w:t xml:space="preserve"> befassen</w:t>
      </w:r>
      <w:r>
        <w:rPr>
          <w:lang w:eastAsia="ja-JP"/>
        </w:rPr>
        <w:t>,</w:t>
      </w:r>
    </w:p>
    <w:p w:rsidR="00A84108" w:rsidRPr="00077959" w:rsidRDefault="007D57B4" w:rsidP="005F2DC6">
      <w:pPr>
        <w:pStyle w:val="gemAufzhlung"/>
        <w:numPr>
          <w:ilvl w:val="0"/>
          <w:numId w:val="2"/>
        </w:numPr>
        <w:rPr>
          <w:strike/>
          <w:highlight w:val="yellow"/>
          <w:lang w:eastAsia="ja-JP"/>
        </w:rPr>
      </w:pPr>
      <w:r w:rsidRPr="00077959">
        <w:rPr>
          <w:strike/>
          <w:szCs w:val="22"/>
          <w:highlight w:val="yellow"/>
        </w:rPr>
        <w:t xml:space="preserve">den </w:t>
      </w:r>
      <w:r w:rsidR="005F2DC6" w:rsidRPr="00077959">
        <w:rPr>
          <w:strike/>
          <w:szCs w:val="22"/>
          <w:highlight w:val="yellow"/>
        </w:rPr>
        <w:t>Verhältniswert der als Sicherheitsvorfall gekennzeichneten Incidents zu allen Incidents</w:t>
      </w:r>
      <w:r w:rsidR="00A84108" w:rsidRPr="00077959">
        <w:rPr>
          <w:strike/>
          <w:szCs w:val="22"/>
          <w:highlight w:val="yellow"/>
        </w:rPr>
        <w:t xml:space="preserve">, die einen Bezug zu </w:t>
      </w:r>
      <w:r w:rsidR="00235DC8" w:rsidRPr="00077959">
        <w:rPr>
          <w:strike/>
          <w:szCs w:val="22"/>
          <w:highlight w:val="yellow"/>
        </w:rPr>
        <w:t>Diensten der TI</w:t>
      </w:r>
      <w:r w:rsidR="007A50D3" w:rsidRPr="00077959">
        <w:rPr>
          <w:strike/>
          <w:szCs w:val="22"/>
          <w:highlight w:val="yellow"/>
        </w:rPr>
        <w:t xml:space="preserve"> des Anbieters haben</w:t>
      </w:r>
      <w:r w:rsidRPr="00077959">
        <w:rPr>
          <w:strike/>
          <w:szCs w:val="22"/>
          <w:highlight w:val="yellow"/>
        </w:rPr>
        <w:t>,</w:t>
      </w:r>
      <w:r w:rsidR="005F2DC6" w:rsidRPr="00077959">
        <w:rPr>
          <w:strike/>
          <w:szCs w:val="22"/>
          <w:highlight w:val="yellow"/>
        </w:rPr>
        <w:t xml:space="preserve"> </w:t>
      </w:r>
    </w:p>
    <w:p w:rsidR="005F2DC6" w:rsidRPr="004508DA" w:rsidRDefault="007D57B4" w:rsidP="005F2DC6">
      <w:pPr>
        <w:pStyle w:val="gemAufzhlung"/>
        <w:numPr>
          <w:ilvl w:val="0"/>
          <w:numId w:val="2"/>
        </w:numPr>
        <w:rPr>
          <w:lang w:eastAsia="ja-JP"/>
        </w:rPr>
      </w:pPr>
      <w:r>
        <w:rPr>
          <w:szCs w:val="22"/>
        </w:rPr>
        <w:t>die d</w:t>
      </w:r>
      <w:r w:rsidR="005F2DC6">
        <w:rPr>
          <w:szCs w:val="22"/>
        </w:rPr>
        <w:t>urchschnittliche Reaktions</w:t>
      </w:r>
      <w:r w:rsidR="00C95FAE">
        <w:rPr>
          <w:szCs w:val="22"/>
        </w:rPr>
        <w:t xml:space="preserve">zeit </w:t>
      </w:r>
      <w:r w:rsidR="00C95FAE">
        <w:t>(Zeitraum zwischen interner Erfassung und Weiterleitung der Meldung an die gematik)</w:t>
      </w:r>
      <w:r w:rsidR="005F2DC6">
        <w:rPr>
          <w:szCs w:val="22"/>
        </w:rPr>
        <w:t xml:space="preserve"> und </w:t>
      </w:r>
      <w:r w:rsidR="00A84108">
        <w:rPr>
          <w:szCs w:val="22"/>
        </w:rPr>
        <w:t xml:space="preserve">durchschnittliche </w:t>
      </w:r>
      <w:r w:rsidR="005F2DC6">
        <w:rPr>
          <w:szCs w:val="22"/>
        </w:rPr>
        <w:t xml:space="preserve">Lösungszeit </w:t>
      </w:r>
      <w:r w:rsidR="00C95FAE">
        <w:t xml:space="preserve">(Zeitraum zwischen interner Erfassung und Abschluss des Tickets) </w:t>
      </w:r>
      <w:r w:rsidR="005F2DC6">
        <w:rPr>
          <w:szCs w:val="22"/>
        </w:rPr>
        <w:t>der Sicherheitsvorfälle.</w:t>
      </w:r>
      <w:r w:rsidR="00E4395E">
        <w:rPr>
          <w:szCs w:val="22"/>
        </w:rPr>
        <w:t xml:space="preserve"> Hier sind nur die Incidents zu betrachten, die einen Bezug zu </w:t>
      </w:r>
      <w:r w:rsidR="00235DC8">
        <w:rPr>
          <w:szCs w:val="22"/>
        </w:rPr>
        <w:t>Diensten der TI</w:t>
      </w:r>
      <w:r>
        <w:rPr>
          <w:szCs w:val="22"/>
        </w:rPr>
        <w:t xml:space="preserve"> haben.</w:t>
      </w:r>
    </w:p>
    <w:p w:rsidR="00A84108" w:rsidRPr="00A84108" w:rsidRDefault="007D57B4" w:rsidP="00504F15">
      <w:pPr>
        <w:pStyle w:val="gemAufzhlung"/>
        <w:numPr>
          <w:ilvl w:val="0"/>
          <w:numId w:val="2"/>
        </w:numPr>
        <w:rPr>
          <w:lang w:eastAsia="ja-JP"/>
        </w:rPr>
      </w:pPr>
      <w:r>
        <w:rPr>
          <w:szCs w:val="22"/>
        </w:rPr>
        <w:t>den d</w:t>
      </w:r>
      <w:r w:rsidR="00504F15">
        <w:rPr>
          <w:szCs w:val="22"/>
        </w:rPr>
        <w:t>urchschnittliche</w:t>
      </w:r>
      <w:r>
        <w:rPr>
          <w:szCs w:val="22"/>
        </w:rPr>
        <w:t>n</w:t>
      </w:r>
      <w:r w:rsidR="00504F15">
        <w:rPr>
          <w:szCs w:val="22"/>
        </w:rPr>
        <w:t xml:space="preserve"> Schweregrad der erfassten Schwachstellen </w:t>
      </w:r>
      <w:r w:rsidR="00504F15">
        <w:t xml:space="preserve">gemäß </w:t>
      </w:r>
      <w:r w:rsidR="001601B1">
        <w:t>Common V</w:t>
      </w:r>
      <w:r w:rsidR="001601B1" w:rsidRPr="0091548D">
        <w:t xml:space="preserve">ulnerability </w:t>
      </w:r>
      <w:r w:rsidR="001601B1">
        <w:t>S</w:t>
      </w:r>
      <w:r w:rsidR="001601B1" w:rsidRPr="0091548D">
        <w:t xml:space="preserve">coring </w:t>
      </w:r>
      <w:r w:rsidR="001601B1">
        <w:t>S</w:t>
      </w:r>
      <w:r w:rsidR="001601B1" w:rsidRPr="0091548D">
        <w:t>ystem</w:t>
      </w:r>
      <w:r w:rsidR="001601B1">
        <w:t xml:space="preserve"> (</w:t>
      </w:r>
      <w:r w:rsidR="00504F15">
        <w:t>CVSS</w:t>
      </w:r>
      <w:r w:rsidR="001601B1">
        <w:t>),</w:t>
      </w:r>
      <w:r w:rsidR="00A84108">
        <w:rPr>
          <w:szCs w:val="22"/>
        </w:rPr>
        <w:t xml:space="preserve"> die einen Bezug zu </w:t>
      </w:r>
      <w:r w:rsidR="00235DC8">
        <w:rPr>
          <w:szCs w:val="22"/>
        </w:rPr>
        <w:t xml:space="preserve">Diensten der TI </w:t>
      </w:r>
      <w:r>
        <w:rPr>
          <w:szCs w:val="22"/>
        </w:rPr>
        <w:t>des Anbieters haben,</w:t>
      </w:r>
    </w:p>
    <w:p w:rsidR="00A84108" w:rsidRPr="00A84108" w:rsidRDefault="007D57B4" w:rsidP="005F2DC6">
      <w:pPr>
        <w:pStyle w:val="gemAufzhlung"/>
        <w:numPr>
          <w:ilvl w:val="0"/>
          <w:numId w:val="2"/>
        </w:numPr>
        <w:rPr>
          <w:lang w:eastAsia="ja-JP"/>
        </w:rPr>
      </w:pPr>
      <w:r>
        <w:rPr>
          <w:szCs w:val="22"/>
        </w:rPr>
        <w:t>die d</w:t>
      </w:r>
      <w:r w:rsidR="00504F15" w:rsidRPr="00A84108">
        <w:rPr>
          <w:szCs w:val="22"/>
        </w:rPr>
        <w:t xml:space="preserve">urchschnittliche Reaktionszeit </w:t>
      </w:r>
      <w:r w:rsidR="00504F15">
        <w:t>der meldepflichtigen Schwachstellen (Zeitraum zwischen interner Erfassung und Weiterleitung der Meldung an die gematik)</w:t>
      </w:r>
      <w:r w:rsidR="00504F15" w:rsidRPr="00A84108">
        <w:rPr>
          <w:szCs w:val="22"/>
        </w:rPr>
        <w:t xml:space="preserve"> und die durchschnittliche Lösungszeit der Schwachstellen </w:t>
      </w:r>
      <w:r w:rsidR="00504F15">
        <w:t xml:space="preserve">der meldepflichtigen Schwachstellen (Zeitraum zwischen interner Erfassung und Abschluss des Tickets). </w:t>
      </w:r>
      <w:r w:rsidR="00504F15" w:rsidRPr="00A84108">
        <w:rPr>
          <w:szCs w:val="22"/>
        </w:rPr>
        <w:t xml:space="preserve">Hier sind nur die Schwachstellen zu betrachten, die einen Bezug zu </w:t>
      </w:r>
      <w:r w:rsidR="00235DC8">
        <w:rPr>
          <w:szCs w:val="22"/>
        </w:rPr>
        <w:t xml:space="preserve">Diensten der TI </w:t>
      </w:r>
      <w:r w:rsidR="001D7FF7">
        <w:rPr>
          <w:szCs w:val="22"/>
        </w:rPr>
        <w:t xml:space="preserve">des Anbieters haben, </w:t>
      </w:r>
    </w:p>
    <w:p w:rsidR="00504F15" w:rsidRPr="00504F15" w:rsidRDefault="001D7FF7" w:rsidP="005F2DC6">
      <w:pPr>
        <w:pStyle w:val="gemAufzhlung"/>
        <w:numPr>
          <w:ilvl w:val="0"/>
          <w:numId w:val="2"/>
        </w:numPr>
        <w:rPr>
          <w:lang w:eastAsia="ja-JP"/>
        </w:rPr>
      </w:pPr>
      <w:r>
        <w:t xml:space="preserve">die </w:t>
      </w:r>
      <w:r w:rsidR="00504F15" w:rsidRPr="00E059FC">
        <w:t xml:space="preserve">Anzahl aller im Änderungsmanagement des Anbieters behandelten und durchgeführten Änderungen, </w:t>
      </w:r>
      <w:r w:rsidR="00235DC8">
        <w:rPr>
          <w:szCs w:val="22"/>
        </w:rPr>
        <w:t xml:space="preserve">die Dienste der TI </w:t>
      </w:r>
      <w:r>
        <w:rPr>
          <w:szCs w:val="22"/>
        </w:rPr>
        <w:t>des Anbieters betreffen,</w:t>
      </w:r>
    </w:p>
    <w:p w:rsidR="001D7FF7" w:rsidRDefault="001D7FF7" w:rsidP="00A84108">
      <w:pPr>
        <w:pStyle w:val="gemAufzhlung"/>
        <w:numPr>
          <w:ilvl w:val="0"/>
          <w:numId w:val="2"/>
        </w:numPr>
      </w:pPr>
      <w:r>
        <w:t xml:space="preserve">die </w:t>
      </w:r>
      <w:r w:rsidR="00504F15" w:rsidRPr="00E059FC">
        <w:t xml:space="preserve">Anzahl </w:t>
      </w:r>
      <w:r w:rsidR="00A84108">
        <w:t>aller</w:t>
      </w:r>
      <w:r w:rsidR="00504F15" w:rsidRPr="00E059FC">
        <w:t xml:space="preserve"> im Änderungsmanagement des Anbieters behandelten und als sich</w:t>
      </w:r>
      <w:r w:rsidR="00A84108">
        <w:t>erheitsrelevant gekennzeichneten</w:t>
      </w:r>
      <w:r w:rsidR="00504F15" w:rsidRPr="00E059FC">
        <w:t xml:space="preserve"> durchgeführten Änderungen</w:t>
      </w:r>
      <w:r w:rsidR="00A84108" w:rsidRPr="00E059FC">
        <w:t xml:space="preserve">, </w:t>
      </w:r>
      <w:r w:rsidR="00A84108" w:rsidRPr="001D7FF7">
        <w:rPr>
          <w:szCs w:val="22"/>
        </w:rPr>
        <w:t>die</w:t>
      </w:r>
      <w:r w:rsidRPr="001D7FF7">
        <w:rPr>
          <w:szCs w:val="22"/>
        </w:rPr>
        <w:t xml:space="preserve"> die</w:t>
      </w:r>
      <w:r w:rsidR="00A84108" w:rsidRPr="001D7FF7">
        <w:rPr>
          <w:szCs w:val="22"/>
        </w:rPr>
        <w:t xml:space="preserve"> </w:t>
      </w:r>
      <w:r w:rsidR="00235DC8" w:rsidRPr="001D7FF7">
        <w:rPr>
          <w:szCs w:val="22"/>
        </w:rPr>
        <w:t>Dienste der TI</w:t>
      </w:r>
      <w:r w:rsidR="00A84108" w:rsidRPr="001D7FF7">
        <w:rPr>
          <w:szCs w:val="22"/>
        </w:rPr>
        <w:t xml:space="preserve"> des Anbieters betreffen.</w:t>
      </w:r>
      <w:r>
        <w:t xml:space="preserve"> Sowie</w:t>
      </w:r>
    </w:p>
    <w:p w:rsidR="0071250F" w:rsidRDefault="001D7FF7" w:rsidP="00A84108">
      <w:pPr>
        <w:pStyle w:val="gemAufzhlung"/>
        <w:numPr>
          <w:ilvl w:val="0"/>
          <w:numId w:val="2"/>
        </w:numPr>
        <w:rPr>
          <w:b/>
        </w:rPr>
      </w:pPr>
      <w:r>
        <w:t xml:space="preserve">die </w:t>
      </w:r>
      <w:r w:rsidR="00A84108" w:rsidRPr="008D67F2">
        <w:t>Anzahl der durch</w:t>
      </w:r>
      <w:r w:rsidR="00A84108" w:rsidRPr="008D67F2">
        <w:softHyphen/>
        <w:t>geführten Notfallübungen</w:t>
      </w:r>
      <w:r w:rsidR="00A84108">
        <w:t xml:space="preserve">, </w:t>
      </w:r>
      <w:r w:rsidR="00A84108" w:rsidRPr="001D7FF7">
        <w:rPr>
          <w:szCs w:val="22"/>
        </w:rPr>
        <w:t xml:space="preserve">die </w:t>
      </w:r>
      <w:r>
        <w:rPr>
          <w:szCs w:val="22"/>
        </w:rPr>
        <w:t xml:space="preserve">die </w:t>
      </w:r>
      <w:r w:rsidR="00235DC8" w:rsidRPr="001D7FF7">
        <w:rPr>
          <w:szCs w:val="22"/>
        </w:rPr>
        <w:t>Dienste der TI</w:t>
      </w:r>
      <w:r w:rsidR="00A84108" w:rsidRPr="001D7FF7">
        <w:rPr>
          <w:szCs w:val="22"/>
        </w:rPr>
        <w:t xml:space="preserve"> des Anbieters betreffen, deren</w:t>
      </w:r>
      <w:r w:rsidR="00A84108">
        <w:t xml:space="preserve"> d</w:t>
      </w:r>
      <w:r w:rsidR="00A84108" w:rsidRPr="00A84108">
        <w:t xml:space="preserve">urchschnittliche Übungsdauer </w:t>
      </w:r>
      <w:r w:rsidR="00A84108">
        <w:t>sowie deren Inhalt (</w:t>
      </w:r>
      <w:proofErr w:type="spellStart"/>
      <w:r w:rsidR="00A84108">
        <w:t>Scope</w:t>
      </w:r>
      <w:proofErr w:type="spellEnd"/>
      <w:r w:rsidR="00A84108">
        <w:t>)</w:t>
      </w:r>
      <w:r w:rsidR="00884A07" w:rsidRPr="00CC1C42">
        <w:rPr>
          <w:lang w:eastAsia="ja-JP"/>
        </w:rPr>
        <w:t>.</w:t>
      </w:r>
    </w:p>
    <w:p w:rsidR="00CC1C42" w:rsidRPr="0071250F" w:rsidRDefault="0071250F" w:rsidP="0071250F">
      <w:pPr>
        <w:pStyle w:val="gemStandard"/>
      </w:pPr>
      <w:r>
        <w:rPr>
          <w:b/>
        </w:rPr>
        <w:sym w:font="Wingdings" w:char="F0D5"/>
      </w:r>
    </w:p>
    <w:p w:rsidR="003155E3" w:rsidRDefault="003155E3" w:rsidP="003155E3">
      <w:pPr>
        <w:pStyle w:val="gemAufzhlung"/>
        <w:numPr>
          <w:ilvl w:val="0"/>
          <w:numId w:val="0"/>
        </w:numPr>
        <w:tabs>
          <w:tab w:val="clear" w:pos="1134"/>
          <w:tab w:val="left" w:pos="709"/>
        </w:tabs>
        <w:ind w:left="709" w:hanging="709"/>
        <w:rPr>
          <w:rStyle w:val="gemStandardfettZchn"/>
        </w:rPr>
      </w:pPr>
      <w:r w:rsidRPr="00A74755">
        <w:rPr>
          <w:b/>
        </w:rPr>
        <w:sym w:font="Wingdings" w:char="F0D6"/>
      </w:r>
      <w:r w:rsidRPr="00815302">
        <w:rPr>
          <w:rStyle w:val="gemStandardfettZchn"/>
          <w:b w:val="0"/>
        </w:rPr>
        <w:tab/>
      </w:r>
      <w:r w:rsidRPr="00815302">
        <w:rPr>
          <w:rStyle w:val="gemStandardfettZchn"/>
        </w:rPr>
        <w:t>GS-A_4526</w:t>
      </w:r>
      <w:r w:rsidR="00E4608F" w:rsidRPr="00E4608F">
        <w:rPr>
          <w:rStyle w:val="gemStandardfettZchn"/>
          <w:highlight w:val="yellow"/>
        </w:rPr>
        <w:t>-01</w:t>
      </w:r>
      <w:r w:rsidRPr="00815302">
        <w:rPr>
          <w:rStyle w:val="gemStandardfettZchn"/>
        </w:rPr>
        <w:t xml:space="preserve"> Aufbewahrungsvorgaben an die Nachweise zu den im </w:t>
      </w:r>
      <w:r>
        <w:rPr>
          <w:rStyle w:val="gemStandardfettZchn"/>
        </w:rPr>
        <w:t>Sicherheitsbericht</w:t>
      </w:r>
      <w:r w:rsidRPr="00815302">
        <w:rPr>
          <w:rStyle w:val="gemStandardfettZchn"/>
        </w:rPr>
        <w:t xml:space="preserve"> gemachten Angaben</w:t>
      </w:r>
    </w:p>
    <w:p w:rsidR="0071250F" w:rsidRDefault="00235DC8" w:rsidP="0021438C">
      <w:pPr>
        <w:pStyle w:val="gemEinzug"/>
        <w:kinsoku w:val="0"/>
        <w:ind w:left="709"/>
        <w:rPr>
          <w:b/>
        </w:rPr>
      </w:pPr>
      <w:r>
        <w:rPr>
          <w:lang w:eastAsia="ja-JP"/>
        </w:rPr>
        <w:t xml:space="preserve">Der </w:t>
      </w:r>
      <w:r w:rsidR="003155E3" w:rsidRPr="00815302">
        <w:t>Anbieter M</w:t>
      </w:r>
      <w:r>
        <w:t>U</w:t>
      </w:r>
      <w:r w:rsidR="003155E3" w:rsidRPr="00815302">
        <w:t>SS</w:t>
      </w:r>
      <w:r w:rsidR="003155E3">
        <w:t xml:space="preserve"> geeignete Nachweise zu den in</w:t>
      </w:r>
      <w:r w:rsidR="003155E3" w:rsidRPr="00815302">
        <w:t xml:space="preserve"> </w:t>
      </w:r>
      <w:r w:rsidR="003155E3">
        <w:t>Sicherheitsberichten</w:t>
      </w:r>
      <w:r w:rsidR="003155E3" w:rsidRPr="00815302">
        <w:t xml:space="preserve"> zur Verfügung gestellten Angaben mindestens ein Jahr</w:t>
      </w:r>
      <w:r w:rsidR="00FB73B1">
        <w:t>, nachdem dieser Bericht bei bei der gematik</w:t>
      </w:r>
      <w:r w:rsidR="003155E3" w:rsidRPr="00815302">
        <w:t xml:space="preserve"> </w:t>
      </w:r>
      <w:r w:rsidR="00FB73B1">
        <w:t xml:space="preserve">eingegangen ist, </w:t>
      </w:r>
      <w:r w:rsidR="003155E3" w:rsidRPr="00815302">
        <w:t>vorhalten, um bei einem Informationssicherheitsaudit die Richtigkeit der gemachten Angaben belegen zu können.</w:t>
      </w:r>
      <w:r w:rsidR="003155E3" w:rsidRPr="00815302">
        <w:rPr>
          <w:b/>
        </w:rPr>
        <w:t xml:space="preserve"> </w:t>
      </w:r>
    </w:p>
    <w:p w:rsidR="003155E3" w:rsidRPr="0071250F" w:rsidRDefault="0071250F" w:rsidP="0071250F">
      <w:pPr>
        <w:pStyle w:val="gemStandard"/>
      </w:pPr>
      <w:r>
        <w:rPr>
          <w:b/>
        </w:rPr>
        <w:sym w:font="Wingdings" w:char="F0D5"/>
      </w:r>
    </w:p>
    <w:p w:rsidR="003155E3" w:rsidRPr="008504F9" w:rsidRDefault="003155E3" w:rsidP="008504F9">
      <w:pPr>
        <w:pStyle w:val="gemStandard"/>
      </w:pPr>
    </w:p>
    <w:p w:rsidR="0071250F" w:rsidRDefault="0071250F" w:rsidP="0071250F">
      <w:pPr>
        <w:pStyle w:val="berschrift1"/>
        <w:sectPr w:rsidR="0071250F" w:rsidSect="007B74C1">
          <w:pgSz w:w="11906" w:h="16838" w:code="9"/>
          <w:pgMar w:top="1916" w:right="1418" w:bottom="1134" w:left="1701" w:header="539" w:footer="437" w:gutter="0"/>
          <w:cols w:space="708"/>
          <w:docGrid w:linePitch="360"/>
        </w:sectPr>
      </w:pPr>
      <w:bookmarkStart w:id="127" w:name="_Ref463977081"/>
    </w:p>
    <w:p w:rsidR="00E21116" w:rsidRDefault="00E21116" w:rsidP="0071250F">
      <w:pPr>
        <w:pStyle w:val="berschrift1"/>
      </w:pPr>
      <w:bookmarkStart w:id="128" w:name="_Toc503165505"/>
      <w:r>
        <w:lastRenderedPageBreak/>
        <w:t xml:space="preserve">Module des </w:t>
      </w:r>
      <w:commentRangeStart w:id="129"/>
      <w:r>
        <w:t>Datenschutzes</w:t>
      </w:r>
      <w:bookmarkEnd w:id="127"/>
      <w:commentRangeEnd w:id="129"/>
      <w:r w:rsidR="000710C4">
        <w:rPr>
          <w:rStyle w:val="Kommentarzeichen"/>
          <w:b w:val="0"/>
        </w:rPr>
        <w:commentReference w:id="129"/>
      </w:r>
      <w:bookmarkEnd w:id="128"/>
    </w:p>
    <w:p w:rsidR="00813822" w:rsidRDefault="00454A4D" w:rsidP="00454A4D">
      <w:pPr>
        <w:pStyle w:val="gemStandard"/>
      </w:pPr>
      <w:r>
        <w:t>Dieses Kapitel beschreibt die Anforderungen der Module zum Datenschutz.</w:t>
      </w:r>
      <w:r w:rsidR="00813822">
        <w:t xml:space="preserve"> </w:t>
      </w:r>
    </w:p>
    <w:p w:rsidR="00E21116" w:rsidRDefault="00E21116" w:rsidP="0071250F">
      <w:pPr>
        <w:pStyle w:val="berschrift2"/>
      </w:pPr>
      <w:bookmarkStart w:id="130" w:name="_Ref476238826"/>
      <w:bookmarkStart w:id="131" w:name="_Toc503165506"/>
      <w:r>
        <w:t xml:space="preserve">Modul </w:t>
      </w:r>
      <w:r w:rsidR="00EF3D14">
        <w:t>„</w:t>
      </w:r>
      <w:r>
        <w:t>Basis-D</w:t>
      </w:r>
      <w:r w:rsidR="00290C63">
        <w:t>S</w:t>
      </w:r>
      <w:r w:rsidR="00EF3D14">
        <w:t>“</w:t>
      </w:r>
      <w:bookmarkEnd w:id="130"/>
      <w:bookmarkEnd w:id="131"/>
    </w:p>
    <w:p w:rsidR="00FC4872" w:rsidRPr="00A74755" w:rsidRDefault="00FC4872" w:rsidP="00FC4872">
      <w:pPr>
        <w:pStyle w:val="gemEinzug"/>
        <w:ind w:left="0"/>
        <w:rPr>
          <w:rStyle w:val="gemStandardfettZchn"/>
        </w:rPr>
      </w:pPr>
      <w:r w:rsidRPr="00A74755">
        <w:rPr>
          <w:b/>
        </w:rPr>
        <w:sym w:font="Wingdings" w:char="F0D6"/>
      </w:r>
      <w:r w:rsidRPr="00A74755">
        <w:rPr>
          <w:b/>
        </w:rPr>
        <w:tab/>
      </w:r>
      <w:r w:rsidRPr="00DE6150">
        <w:rPr>
          <w:rStyle w:val="gemStandardfettZchn"/>
        </w:rPr>
        <w:t>GS-A_2076</w:t>
      </w:r>
      <w:r w:rsidR="00DB672A" w:rsidRPr="00DB672A">
        <w:rPr>
          <w:rStyle w:val="gemStandardfettZchn"/>
          <w:highlight w:val="yellow"/>
        </w:rPr>
        <w:t>-01</w:t>
      </w:r>
      <w:r w:rsidRPr="00A74755">
        <w:rPr>
          <w:rStyle w:val="gemStandardfettZchn"/>
        </w:rPr>
        <w:t xml:space="preserve"> </w:t>
      </w:r>
      <w:r>
        <w:rPr>
          <w:rStyle w:val="gemStandardfettZchn"/>
        </w:rPr>
        <w:t>kDSM</w:t>
      </w:r>
      <w:r w:rsidR="009C5B0F">
        <w:rPr>
          <w:rStyle w:val="gemStandardfettZchn"/>
        </w:rPr>
        <w:t>:</w:t>
      </w:r>
      <w:r>
        <w:rPr>
          <w:rStyle w:val="gemStandardfettZchn"/>
        </w:rPr>
        <w:t xml:space="preserve"> Datenschutzmanagement nach BSI</w:t>
      </w:r>
    </w:p>
    <w:p w:rsidR="0071250F" w:rsidRDefault="00FC4872" w:rsidP="001021C8">
      <w:pPr>
        <w:pStyle w:val="gemEinzug"/>
        <w:kinsoku w:val="0"/>
        <w:ind w:left="709"/>
        <w:rPr>
          <w:b/>
        </w:rPr>
      </w:pPr>
      <w:r w:rsidRPr="0073547F">
        <w:rPr>
          <w:lang w:eastAsia="ja-JP"/>
        </w:rPr>
        <w:t xml:space="preserve">Der </w:t>
      </w:r>
      <w:r w:rsidRPr="0073547F">
        <w:t>Anbieter</w:t>
      </w:r>
      <w:r w:rsidRPr="0073547F">
        <w:rPr>
          <w:lang w:eastAsia="ja-JP"/>
        </w:rPr>
        <w:t xml:space="preserve"> </w:t>
      </w:r>
      <w:r w:rsidRPr="0073547F">
        <w:t>MUSS</w:t>
      </w:r>
      <w:r w:rsidRPr="0073547F">
        <w:rPr>
          <w:lang w:eastAsia="ja-JP"/>
        </w:rPr>
        <w:t xml:space="preserve"> </w:t>
      </w:r>
      <w:r w:rsidRPr="00DE6150">
        <w:rPr>
          <w:lang w:eastAsia="ja-JP"/>
        </w:rPr>
        <w:t xml:space="preserve">ein Datenschutzmanagement nach </w:t>
      </w:r>
      <w:r w:rsidRPr="00AB6621">
        <w:rPr>
          <w:strike/>
          <w:highlight w:val="yellow"/>
          <w:lang w:eastAsia="ja-JP"/>
        </w:rPr>
        <w:t>BSI Grundschutz-Baustein B1.5</w:t>
      </w:r>
      <w:r w:rsidRPr="00AB6621">
        <w:rPr>
          <w:highlight w:val="yellow"/>
          <w:lang w:eastAsia="ja-JP"/>
        </w:rPr>
        <w:t xml:space="preserve"> </w:t>
      </w:r>
      <w:r w:rsidR="00AB6621" w:rsidRPr="00AB6621">
        <w:rPr>
          <w:highlight w:val="yellow"/>
          <w:lang w:eastAsia="ja-JP"/>
        </w:rPr>
        <w:t>Baustein CON.2 des IT-Grundschutz-</w:t>
      </w:r>
      <w:commentRangeStart w:id="132"/>
      <w:r w:rsidR="00AB6621" w:rsidRPr="00AB6621">
        <w:rPr>
          <w:highlight w:val="yellow"/>
          <w:lang w:eastAsia="ja-JP"/>
        </w:rPr>
        <w:t>Kompendiums</w:t>
      </w:r>
      <w:commentRangeEnd w:id="132"/>
      <w:r w:rsidR="00AB6621">
        <w:rPr>
          <w:rStyle w:val="Kommentarzeichen"/>
        </w:rPr>
        <w:commentReference w:id="132"/>
      </w:r>
      <w:r w:rsidR="00AB6621" w:rsidRPr="00AB6621">
        <w:rPr>
          <w:lang w:eastAsia="ja-JP"/>
        </w:rPr>
        <w:t xml:space="preserve"> </w:t>
      </w:r>
      <w:r>
        <w:rPr>
          <w:lang w:eastAsia="ja-JP"/>
        </w:rPr>
        <w:t>umsetzen</w:t>
      </w:r>
      <w:r w:rsidRPr="00A74755">
        <w:rPr>
          <w:rFonts w:hint="eastAsia"/>
          <w:lang w:eastAsia="ja-JP"/>
        </w:rPr>
        <w:t>.</w:t>
      </w:r>
    </w:p>
    <w:p w:rsidR="00FC4872" w:rsidRPr="0071250F" w:rsidRDefault="0071250F" w:rsidP="0071250F">
      <w:pPr>
        <w:pStyle w:val="gemStandard"/>
      </w:pPr>
      <w:r>
        <w:rPr>
          <w:b/>
        </w:rPr>
        <w:sym w:font="Wingdings" w:char="F0D5"/>
      </w:r>
    </w:p>
    <w:p w:rsidR="00AD4378" w:rsidRPr="00AD4378" w:rsidRDefault="00AD4378" w:rsidP="00B94345">
      <w:pPr>
        <w:pStyle w:val="gemEinzug"/>
        <w:ind w:left="708" w:hanging="708"/>
        <w:rPr>
          <w:b/>
        </w:rPr>
      </w:pPr>
      <w:r w:rsidRPr="00AD4378">
        <w:rPr>
          <w:rFonts w:ascii="Wingdings" w:hAnsi="Wingdings"/>
          <w:b/>
        </w:rPr>
        <w:sym w:font="Wingdings" w:char="F0D6"/>
      </w:r>
      <w:r w:rsidRPr="00AD4378">
        <w:rPr>
          <w:b/>
        </w:rPr>
        <w:tab/>
      </w:r>
      <w:r w:rsidR="00DB672A" w:rsidRPr="00DB672A">
        <w:rPr>
          <w:b/>
          <w:highlight w:val="yellow"/>
        </w:rPr>
        <w:t>GS-A_5564</w:t>
      </w:r>
      <w:r w:rsidR="00DB672A">
        <w:rPr>
          <w:b/>
        </w:rPr>
        <w:t xml:space="preserve"> </w:t>
      </w:r>
      <w:proofErr w:type="spellStart"/>
      <w:r w:rsidR="009C5B0F">
        <w:rPr>
          <w:b/>
        </w:rPr>
        <w:t>kDSM</w:t>
      </w:r>
      <w:proofErr w:type="spellEnd"/>
      <w:r w:rsidR="009C5B0F">
        <w:rPr>
          <w:b/>
        </w:rPr>
        <w:t xml:space="preserve">: </w:t>
      </w:r>
      <w:r w:rsidRPr="00AD4378">
        <w:rPr>
          <w:b/>
        </w:rPr>
        <w:t>Ansprechpartner für Datenschutz</w:t>
      </w:r>
    </w:p>
    <w:p w:rsidR="0071250F" w:rsidRDefault="00AD4378" w:rsidP="001021C8">
      <w:pPr>
        <w:pStyle w:val="gemEinzug"/>
        <w:kinsoku w:val="0"/>
        <w:ind w:left="709"/>
        <w:rPr>
          <w:rFonts w:ascii="Wingdings" w:hAnsi="Wingdings"/>
          <w:b/>
        </w:rPr>
      </w:pPr>
      <w:r w:rsidRPr="00AD4378">
        <w:t xml:space="preserve">Der Anbieter MUSS der gematik eine Kommunikationsschnittstelle für Datenschutz </w:t>
      </w:r>
      <w:r w:rsidR="00E3666C" w:rsidRPr="00AD4378">
        <w:t xml:space="preserve">(übliche Kontaktinformationen, wie Name eines Ansprechpartners, Stellvertreter, </w:t>
      </w:r>
      <w:r w:rsidR="00385150">
        <w:t>E-Mail-A</w:t>
      </w:r>
      <w:r w:rsidR="00E3666C" w:rsidRPr="00AD4378">
        <w:t>dresse, Telefon, Fax, Anschrift, …)</w:t>
      </w:r>
      <w:r w:rsidR="00E3666C">
        <w:t xml:space="preserve"> </w:t>
      </w:r>
      <w:r w:rsidRPr="00AD4378">
        <w:t>mitteilen.</w:t>
      </w:r>
    </w:p>
    <w:p w:rsidR="00AD4378" w:rsidRPr="0071250F" w:rsidRDefault="0071250F" w:rsidP="0071250F">
      <w:pPr>
        <w:pStyle w:val="gemStandard"/>
      </w:pPr>
      <w:r>
        <w:rPr>
          <w:b/>
        </w:rPr>
        <w:sym w:font="Wingdings" w:char="F0D5"/>
      </w:r>
    </w:p>
    <w:p w:rsidR="003C7557" w:rsidRPr="003C7557" w:rsidRDefault="003C7557" w:rsidP="003C7557">
      <w:pPr>
        <w:pStyle w:val="gemStandard"/>
      </w:pPr>
      <w:r w:rsidRPr="003C7557">
        <w:t xml:space="preserve">Hinweis: </w:t>
      </w:r>
      <w:r>
        <w:t xml:space="preserve">Bei der in </w:t>
      </w:r>
      <w:r w:rsidRPr="00DB672A">
        <w:rPr>
          <w:strike/>
          <w:highlight w:val="yellow"/>
        </w:rPr>
        <w:t>WA-A_2005</w:t>
      </w:r>
      <w:r w:rsidRPr="00DB672A">
        <w:rPr>
          <w:highlight w:val="yellow"/>
        </w:rPr>
        <w:t xml:space="preserve"> </w:t>
      </w:r>
      <w:r w:rsidR="00DB672A" w:rsidRPr="00DB672A">
        <w:rPr>
          <w:highlight w:val="yellow"/>
        </w:rPr>
        <w:t>GS-A_5564</w:t>
      </w:r>
      <w:r w:rsidR="00DB672A" w:rsidRPr="00DB672A">
        <w:t xml:space="preserve"> </w:t>
      </w:r>
      <w:r>
        <w:t xml:space="preserve">geforderten Kommunikationsschnittstelle muss es sich nicht notwendigerweise um den betrieblichen Datenschutzbeauftragten handeln. </w:t>
      </w:r>
    </w:p>
    <w:p w:rsidR="00AF36CB" w:rsidRPr="00A74755" w:rsidRDefault="00AF36CB" w:rsidP="00B94345">
      <w:pPr>
        <w:pStyle w:val="gemEinzug"/>
        <w:ind w:left="708" w:hanging="708"/>
        <w:rPr>
          <w:rStyle w:val="gemStandardfettZchn"/>
        </w:rPr>
      </w:pPr>
      <w:r w:rsidRPr="00A74755">
        <w:rPr>
          <w:b/>
        </w:rPr>
        <w:sym w:font="Wingdings" w:char="F0D6"/>
      </w:r>
      <w:r w:rsidRPr="00A74755">
        <w:rPr>
          <w:b/>
        </w:rPr>
        <w:tab/>
      </w:r>
      <w:r w:rsidRPr="00E83321">
        <w:rPr>
          <w:rStyle w:val="gemStandardfettZchn"/>
        </w:rPr>
        <w:t>GS-A_4479</w:t>
      </w:r>
      <w:r w:rsidR="00DB672A" w:rsidRPr="00DB672A">
        <w:rPr>
          <w:rStyle w:val="gemStandardfettZchn"/>
          <w:highlight w:val="yellow"/>
        </w:rPr>
        <w:t>-01</w:t>
      </w:r>
      <w:r>
        <w:rPr>
          <w:rStyle w:val="gemStandardfettZchn"/>
        </w:rPr>
        <w:t xml:space="preserve"> </w:t>
      </w:r>
      <w:r w:rsidRPr="00310786">
        <w:rPr>
          <w:rStyle w:val="gemStandardfettZchn"/>
        </w:rPr>
        <w:t xml:space="preserve">kDSM: </w:t>
      </w:r>
      <w:r w:rsidRPr="00E83321">
        <w:rPr>
          <w:rStyle w:val="gemStandardfettZchn"/>
        </w:rPr>
        <w:t xml:space="preserve">Meldung von </w:t>
      </w:r>
      <w:r>
        <w:rPr>
          <w:rStyle w:val="gemStandardfettZchn"/>
        </w:rPr>
        <w:t xml:space="preserve">Änderungen der </w:t>
      </w:r>
      <w:r w:rsidRPr="00E83321">
        <w:rPr>
          <w:rStyle w:val="gemStandardfettZchn"/>
        </w:rPr>
        <w:t>Kontaktinformationen zum Datenschutzmanagement</w:t>
      </w:r>
    </w:p>
    <w:p w:rsidR="0071250F" w:rsidRDefault="009C5B0F" w:rsidP="001021C8">
      <w:pPr>
        <w:pStyle w:val="gemEinzug"/>
        <w:kinsoku w:val="0"/>
        <w:ind w:left="709"/>
        <w:rPr>
          <w:b/>
        </w:rPr>
      </w:pPr>
      <w:r>
        <w:rPr>
          <w:lang w:eastAsia="ja-JP"/>
        </w:rPr>
        <w:t xml:space="preserve">Der </w:t>
      </w:r>
      <w:r w:rsidR="00AF36CB" w:rsidRPr="003C3FD2">
        <w:rPr>
          <w:lang w:eastAsia="ja-JP"/>
        </w:rPr>
        <w:t>Anbieter</w:t>
      </w:r>
      <w:r w:rsidR="00AF36CB">
        <w:rPr>
          <w:lang w:eastAsia="ja-JP"/>
        </w:rPr>
        <w:t xml:space="preserve"> </w:t>
      </w:r>
      <w:r w:rsidR="00AF36CB" w:rsidRPr="00CF5012">
        <w:rPr>
          <w:lang w:eastAsia="ja-JP"/>
        </w:rPr>
        <w:t>M</w:t>
      </w:r>
      <w:r>
        <w:rPr>
          <w:lang w:eastAsia="ja-JP"/>
        </w:rPr>
        <w:t>USS</w:t>
      </w:r>
      <w:r w:rsidR="00AF36CB" w:rsidRPr="00CF5012">
        <w:rPr>
          <w:lang w:eastAsia="ja-JP"/>
        </w:rPr>
        <w:t xml:space="preserve"> </w:t>
      </w:r>
      <w:r w:rsidR="00733D55">
        <w:rPr>
          <w:lang w:eastAsia="ja-JP"/>
        </w:rPr>
        <w:t>der gematik</w:t>
      </w:r>
      <w:r w:rsidR="00AF36CB" w:rsidRPr="00CF5012">
        <w:rPr>
          <w:lang w:eastAsia="ja-JP"/>
        </w:rPr>
        <w:t xml:space="preserve"> </w:t>
      </w:r>
      <w:r w:rsidR="001021C8" w:rsidRPr="00CF5012">
        <w:rPr>
          <w:lang w:eastAsia="ja-JP"/>
        </w:rPr>
        <w:t xml:space="preserve">Änderungen </w:t>
      </w:r>
      <w:r w:rsidR="00385150">
        <w:rPr>
          <w:lang w:eastAsia="ja-JP"/>
        </w:rPr>
        <w:t>der</w:t>
      </w:r>
      <w:r w:rsidR="00AF36CB" w:rsidRPr="00CF5012">
        <w:rPr>
          <w:lang w:eastAsia="ja-JP"/>
        </w:rPr>
        <w:t xml:space="preserve"> Kontaktinformationen </w:t>
      </w:r>
      <w:r>
        <w:rPr>
          <w:lang w:eastAsia="ja-JP"/>
        </w:rPr>
        <w:t>seines</w:t>
      </w:r>
      <w:r w:rsidR="00AF36CB" w:rsidRPr="00CF5012">
        <w:rPr>
          <w:lang w:eastAsia="ja-JP"/>
        </w:rPr>
        <w:t xml:space="preserve"> Datenschutzmanagements </w:t>
      </w:r>
      <w:r w:rsidR="001021C8" w:rsidRPr="00CF5012">
        <w:rPr>
          <w:lang w:eastAsia="ja-JP"/>
        </w:rPr>
        <w:t xml:space="preserve">unverzüglich </w:t>
      </w:r>
      <w:proofErr w:type="gramStart"/>
      <w:r w:rsidR="001021C8">
        <w:rPr>
          <w:lang w:eastAsia="ja-JP"/>
        </w:rPr>
        <w:t>mitteilen</w:t>
      </w:r>
      <w:proofErr w:type="gramEnd"/>
      <w:r w:rsidR="00AF36CB" w:rsidRPr="00E83321">
        <w:rPr>
          <w:lang w:eastAsia="ja-JP"/>
        </w:rPr>
        <w:t>.</w:t>
      </w:r>
    </w:p>
    <w:p w:rsidR="00AF36CB" w:rsidRPr="0071250F" w:rsidRDefault="0071250F" w:rsidP="0071250F">
      <w:pPr>
        <w:pStyle w:val="gemStandard"/>
      </w:pPr>
      <w:r>
        <w:rPr>
          <w:b/>
        </w:rPr>
        <w:sym w:font="Wingdings" w:char="F0D5"/>
      </w:r>
    </w:p>
    <w:p w:rsidR="00EF3D14" w:rsidRPr="00A74755" w:rsidRDefault="00EF3D14" w:rsidP="00B94345">
      <w:pPr>
        <w:pStyle w:val="gemEinzug"/>
        <w:ind w:left="708" w:hanging="708"/>
        <w:rPr>
          <w:rStyle w:val="gemStandardfettZchn"/>
        </w:rPr>
      </w:pPr>
      <w:r w:rsidRPr="00A74755">
        <w:rPr>
          <w:b/>
        </w:rPr>
        <w:sym w:font="Wingdings" w:char="F0D6"/>
      </w:r>
      <w:r w:rsidRPr="00A74755">
        <w:rPr>
          <w:b/>
        </w:rPr>
        <w:tab/>
      </w:r>
      <w:r w:rsidRPr="00A433CD">
        <w:rPr>
          <w:rStyle w:val="gemStandardfettZchn"/>
        </w:rPr>
        <w:t>GS-A_44</w:t>
      </w:r>
      <w:r w:rsidR="00AD4378">
        <w:rPr>
          <w:rStyle w:val="gemStandardfettZchn"/>
        </w:rPr>
        <w:t>73</w:t>
      </w:r>
      <w:r w:rsidR="00DB672A" w:rsidRPr="00DB672A">
        <w:rPr>
          <w:rStyle w:val="gemStandardfettZchn"/>
          <w:highlight w:val="yellow"/>
        </w:rPr>
        <w:t>-01</w:t>
      </w:r>
      <w:r>
        <w:rPr>
          <w:rStyle w:val="gemStandardfettZchn"/>
        </w:rPr>
        <w:t xml:space="preserve"> </w:t>
      </w:r>
      <w:proofErr w:type="spellStart"/>
      <w:r>
        <w:rPr>
          <w:rStyle w:val="gemStandardfettZchn"/>
        </w:rPr>
        <w:t>kDSM</w:t>
      </w:r>
      <w:proofErr w:type="spellEnd"/>
      <w:r>
        <w:rPr>
          <w:rStyle w:val="gemStandardfettZchn"/>
        </w:rPr>
        <w:t xml:space="preserve">: </w:t>
      </w:r>
      <w:r w:rsidRPr="00EF3D14">
        <w:rPr>
          <w:rStyle w:val="gemStandardfettZchn"/>
        </w:rPr>
        <w:t>Unverzügliche Benachrichtigung bei Verstößen gemäß</w:t>
      </w:r>
      <w:r w:rsidR="00385150">
        <w:rPr>
          <w:rStyle w:val="gemStandardfettZchn"/>
        </w:rPr>
        <w:t xml:space="preserve"> </w:t>
      </w:r>
      <w:r w:rsidR="00B94345">
        <w:rPr>
          <w:rStyle w:val="gemStandardfettZchn"/>
        </w:rPr>
        <w:t>Art. 34 DSGVO</w:t>
      </w:r>
      <w:r w:rsidR="009449E7">
        <w:rPr>
          <w:rStyle w:val="gemStandardfettZchn"/>
        </w:rPr>
        <w:t xml:space="preserve"> </w:t>
      </w:r>
    </w:p>
    <w:p w:rsidR="00077959" w:rsidRDefault="00EA61EB" w:rsidP="00EE568B">
      <w:pPr>
        <w:pStyle w:val="gemEinzug"/>
        <w:kinsoku w:val="0"/>
        <w:ind w:left="709"/>
        <w:rPr>
          <w:lang w:eastAsia="ja-JP"/>
        </w:rPr>
      </w:pPr>
      <w:r>
        <w:rPr>
          <w:lang w:eastAsia="ja-JP"/>
        </w:rPr>
        <w:t xml:space="preserve">Der </w:t>
      </w:r>
      <w:r w:rsidR="00EF3D14">
        <w:rPr>
          <w:lang w:eastAsia="ja-JP"/>
        </w:rPr>
        <w:t>Anbieter M</w:t>
      </w:r>
      <w:r>
        <w:rPr>
          <w:lang w:eastAsia="ja-JP"/>
        </w:rPr>
        <w:t>U</w:t>
      </w:r>
      <w:r w:rsidR="00EF3D14">
        <w:rPr>
          <w:lang w:eastAsia="ja-JP"/>
        </w:rPr>
        <w:t>SS</w:t>
      </w:r>
      <w:r>
        <w:rPr>
          <w:lang w:eastAsia="ja-JP"/>
        </w:rPr>
        <w:t xml:space="preserve"> jeden Datenschutzverstoß</w:t>
      </w:r>
      <w:r w:rsidR="00552DF6">
        <w:rPr>
          <w:lang w:eastAsia="ja-JP"/>
        </w:rPr>
        <w:t xml:space="preserve">, der die </w:t>
      </w:r>
      <w:r w:rsidR="00D15F27">
        <w:rPr>
          <w:lang w:eastAsia="ja-JP"/>
        </w:rPr>
        <w:t>Voraussetzungen</w:t>
      </w:r>
      <w:r w:rsidR="00552DF6">
        <w:rPr>
          <w:lang w:eastAsia="ja-JP"/>
        </w:rPr>
        <w:t xml:space="preserve"> für eine Benachrichtigung der Betroffenen</w:t>
      </w:r>
      <w:r>
        <w:rPr>
          <w:lang w:eastAsia="ja-JP"/>
        </w:rPr>
        <w:t xml:space="preserve"> nach </w:t>
      </w:r>
      <w:r w:rsidR="00ED143C">
        <w:rPr>
          <w:lang w:eastAsia="ja-JP"/>
        </w:rPr>
        <w:t>Art. 34 DSGVO</w:t>
      </w:r>
      <w:r w:rsidR="009449E7">
        <w:rPr>
          <w:lang w:eastAsia="ja-JP"/>
        </w:rPr>
        <w:t xml:space="preserve"> </w:t>
      </w:r>
      <w:r w:rsidR="00552DF6">
        <w:rPr>
          <w:lang w:eastAsia="ja-JP"/>
        </w:rPr>
        <w:t>erfüllt und</w:t>
      </w:r>
      <w:r w:rsidR="00EF3D14">
        <w:rPr>
          <w:lang w:eastAsia="ja-JP"/>
        </w:rPr>
        <w:t xml:space="preserve"> der sich auf die vom Anbieter </w:t>
      </w:r>
      <w:r w:rsidR="00203AD0">
        <w:rPr>
          <w:lang w:eastAsia="ja-JP"/>
        </w:rPr>
        <w:t xml:space="preserve">betriebenen </w:t>
      </w:r>
      <w:r w:rsidR="00203AD0">
        <w:t xml:space="preserve">Dienste der TI bzw. weiteren Anwendungen </w:t>
      </w:r>
      <w:r w:rsidR="00A2426E">
        <w:t>nach §</w:t>
      </w:r>
      <w:r w:rsidR="000C6E82">
        <w:t> </w:t>
      </w:r>
      <w:r w:rsidR="00A2426E">
        <w:t xml:space="preserve">291a Abs. 7 S. 3 SGB V </w:t>
      </w:r>
      <w:r w:rsidR="00EF3D14">
        <w:rPr>
          <w:lang w:eastAsia="ja-JP"/>
        </w:rPr>
        <w:t xml:space="preserve">bezieht, unverzüglich </w:t>
      </w:r>
      <w:r w:rsidR="00077959">
        <w:rPr>
          <w:lang w:eastAsia="ja-JP"/>
        </w:rPr>
        <w:t>nach b</w:t>
      </w:r>
      <w:r w:rsidR="00385150">
        <w:rPr>
          <w:lang w:eastAsia="ja-JP"/>
        </w:rPr>
        <w:t>ekannt</w:t>
      </w:r>
      <w:r w:rsidR="00077959">
        <w:rPr>
          <w:lang w:eastAsia="ja-JP"/>
        </w:rPr>
        <w:t xml:space="preserve"> </w:t>
      </w:r>
      <w:r w:rsidR="00EF3D14">
        <w:rPr>
          <w:lang w:eastAsia="ja-JP"/>
        </w:rPr>
        <w:t xml:space="preserve">werden </w:t>
      </w:r>
      <w:r w:rsidR="00733D55">
        <w:rPr>
          <w:lang w:eastAsia="ja-JP"/>
        </w:rPr>
        <w:t xml:space="preserve">der gematik </w:t>
      </w:r>
      <w:r w:rsidR="00077959" w:rsidRPr="00077959">
        <w:rPr>
          <w:highlight w:val="yellow"/>
          <w:lang w:eastAsia="ja-JP"/>
        </w:rPr>
        <w:t>zusammen mit folgenden Informationen</w:t>
      </w:r>
      <w:r w:rsidR="00077959">
        <w:rPr>
          <w:lang w:eastAsia="ja-JP"/>
        </w:rPr>
        <w:t xml:space="preserve"> </w:t>
      </w:r>
      <w:r w:rsidR="002D3905">
        <w:rPr>
          <w:lang w:eastAsia="ja-JP"/>
        </w:rPr>
        <w:t>melden</w:t>
      </w:r>
      <w:r w:rsidR="00077959">
        <w:rPr>
          <w:lang w:eastAsia="ja-JP"/>
        </w:rPr>
        <w:t>:</w:t>
      </w:r>
      <w:r w:rsidR="00EE568B">
        <w:rPr>
          <w:lang w:eastAsia="ja-JP"/>
        </w:rPr>
        <w:t xml:space="preserve"> </w:t>
      </w:r>
    </w:p>
    <w:p w:rsidR="00077959" w:rsidRPr="00077959" w:rsidRDefault="00077959" w:rsidP="00077959">
      <w:pPr>
        <w:pStyle w:val="gemEinzug"/>
        <w:numPr>
          <w:ilvl w:val="0"/>
          <w:numId w:val="28"/>
        </w:numPr>
        <w:kinsoku w:val="0"/>
        <w:rPr>
          <w:b/>
          <w:highlight w:val="yellow"/>
        </w:rPr>
      </w:pPr>
      <w:r w:rsidRPr="00077959">
        <w:rPr>
          <w:highlight w:val="yellow"/>
          <w:lang w:eastAsia="ja-JP"/>
        </w:rPr>
        <w:t>Die nach Art. 33 Abs. 3 DSGVO geforderten Informationen. Falls ein Vers</w:t>
      </w:r>
      <w:r w:rsidR="004B5D26">
        <w:rPr>
          <w:highlight w:val="yellow"/>
          <w:lang w:eastAsia="ja-JP"/>
        </w:rPr>
        <w:t>toß nach Art. 34 DSGVO vorliegt, ist</w:t>
      </w:r>
      <w:r w:rsidRPr="00077959">
        <w:rPr>
          <w:highlight w:val="yellow"/>
          <w:lang w:eastAsia="ja-JP"/>
        </w:rPr>
        <w:t xml:space="preserve"> zudem die nach Art. 33 Abs. 1 DSGVO an die Aufsichtsbehörde gesendete Meldung</w:t>
      </w:r>
      <w:r w:rsidR="004B5D26">
        <w:rPr>
          <w:highlight w:val="yellow"/>
          <w:lang w:eastAsia="ja-JP"/>
        </w:rPr>
        <w:t xml:space="preserve"> notwendig</w:t>
      </w:r>
      <w:r w:rsidRPr="00077959">
        <w:rPr>
          <w:highlight w:val="yellow"/>
          <w:lang w:eastAsia="ja-JP"/>
        </w:rPr>
        <w:t>.</w:t>
      </w:r>
    </w:p>
    <w:p w:rsidR="0071250F" w:rsidRDefault="00077959" w:rsidP="00077959">
      <w:pPr>
        <w:pStyle w:val="gemEinzug"/>
        <w:numPr>
          <w:ilvl w:val="0"/>
          <w:numId w:val="28"/>
        </w:numPr>
        <w:kinsoku w:val="0"/>
        <w:rPr>
          <w:b/>
        </w:rPr>
      </w:pPr>
      <w:r w:rsidRPr="00077959">
        <w:rPr>
          <w:highlight w:val="yellow"/>
        </w:rPr>
        <w:t xml:space="preserve">Eine Information darüber, ob der Verstoß bei einem </w:t>
      </w:r>
      <w:proofErr w:type="spellStart"/>
      <w:r w:rsidRPr="00077959">
        <w:rPr>
          <w:highlight w:val="yellow"/>
        </w:rPr>
        <w:t>Auftragsverarbeiter</w:t>
      </w:r>
      <w:proofErr w:type="spellEnd"/>
      <w:r w:rsidRPr="00077959">
        <w:rPr>
          <w:highlight w:val="yellow"/>
        </w:rPr>
        <w:t xml:space="preserve"> </w:t>
      </w:r>
      <w:commentRangeStart w:id="133"/>
      <w:r w:rsidRPr="00077959">
        <w:rPr>
          <w:highlight w:val="yellow"/>
        </w:rPr>
        <w:t>erfolgte</w:t>
      </w:r>
      <w:commentRangeEnd w:id="133"/>
      <w:r>
        <w:rPr>
          <w:rStyle w:val="Kommentarzeichen"/>
        </w:rPr>
        <w:commentReference w:id="133"/>
      </w:r>
      <w:r w:rsidRPr="00077959">
        <w:rPr>
          <w:highlight w:val="yellow"/>
        </w:rPr>
        <w:t>.</w:t>
      </w:r>
    </w:p>
    <w:p w:rsidR="00EF3D14" w:rsidRPr="0071250F" w:rsidRDefault="0071250F" w:rsidP="0071250F">
      <w:pPr>
        <w:pStyle w:val="gemStandard"/>
      </w:pPr>
      <w:r>
        <w:rPr>
          <w:b/>
        </w:rPr>
        <w:sym w:font="Wingdings" w:char="F0D5"/>
      </w:r>
    </w:p>
    <w:p w:rsidR="00D15F27" w:rsidRPr="00EA61EB" w:rsidRDefault="00D15F27" w:rsidP="00D15F27">
      <w:pPr>
        <w:pStyle w:val="gemStandard"/>
        <w:rPr>
          <w:lang w:eastAsia="ja-JP"/>
        </w:rPr>
      </w:pPr>
      <w:r w:rsidRPr="00D15F27">
        <w:lastRenderedPageBreak/>
        <w:t>Hinweis: Die vorstehende Anforderung knüpft an den Inhalt der DSGVO unabhängig von deren Anwendbarkeit</w:t>
      </w:r>
      <w:r w:rsidR="00385150">
        <w:t xml:space="preserve"> an</w:t>
      </w:r>
      <w:r w:rsidRPr="00D15F27">
        <w:t>. Gleiches gilt für nachstehende Anforderungen, in denen auf Voraussetzungen der DSGVO verwiesen wird.</w:t>
      </w:r>
      <w:r>
        <w:rPr>
          <w:b/>
        </w:rPr>
        <w:t xml:space="preserve"> </w:t>
      </w:r>
    </w:p>
    <w:p w:rsidR="00201E43" w:rsidRPr="00077959" w:rsidRDefault="00DB672A" w:rsidP="00C32683">
      <w:pPr>
        <w:pStyle w:val="gemEinzug"/>
        <w:ind w:left="708" w:hanging="708"/>
        <w:rPr>
          <w:rStyle w:val="gemStandardfettZchn"/>
          <w:strike/>
          <w:highlight w:val="yellow"/>
        </w:rPr>
      </w:pPr>
      <w:r>
        <w:rPr>
          <w:b/>
          <w:strike/>
          <w:highlight w:val="yellow"/>
        </w:rPr>
        <w:t>X</w:t>
      </w:r>
      <w:r w:rsidR="00201E43" w:rsidRPr="00077959">
        <w:rPr>
          <w:b/>
          <w:strike/>
          <w:highlight w:val="yellow"/>
        </w:rPr>
        <w:tab/>
      </w:r>
      <w:r w:rsidR="00201E43" w:rsidRPr="00077959">
        <w:rPr>
          <w:rStyle w:val="gemStandardfettZchn"/>
          <w:strike/>
          <w:highlight w:val="yellow"/>
        </w:rPr>
        <w:t xml:space="preserve">GS-A_4475 </w:t>
      </w:r>
      <w:proofErr w:type="spellStart"/>
      <w:r w:rsidR="00A274DE" w:rsidRPr="00077959">
        <w:rPr>
          <w:rStyle w:val="gemStandardfettZchn"/>
          <w:strike/>
          <w:highlight w:val="yellow"/>
        </w:rPr>
        <w:t>kDSM</w:t>
      </w:r>
      <w:proofErr w:type="spellEnd"/>
      <w:r w:rsidR="00A274DE" w:rsidRPr="00077959">
        <w:rPr>
          <w:rStyle w:val="gemStandardfettZchn"/>
          <w:strike/>
          <w:highlight w:val="yellow"/>
        </w:rPr>
        <w:t xml:space="preserve">: Stellungnahme bei </w:t>
      </w:r>
      <w:r w:rsidR="00555CB6" w:rsidRPr="00077959">
        <w:rPr>
          <w:rStyle w:val="gemStandardfettZchn"/>
          <w:strike/>
          <w:highlight w:val="yellow"/>
        </w:rPr>
        <w:t>V</w:t>
      </w:r>
      <w:r w:rsidR="00A274DE" w:rsidRPr="00077959">
        <w:rPr>
          <w:rStyle w:val="gemStandardfettZchn"/>
          <w:strike/>
          <w:highlight w:val="yellow"/>
        </w:rPr>
        <w:t xml:space="preserve">erstößen gemäß </w:t>
      </w:r>
      <w:r w:rsidR="00555CB6" w:rsidRPr="00077959">
        <w:rPr>
          <w:rStyle w:val="gemStandardfettZchn"/>
          <w:strike/>
          <w:highlight w:val="yellow"/>
        </w:rPr>
        <w:t xml:space="preserve">Art. 34 </w:t>
      </w:r>
      <w:commentRangeStart w:id="134"/>
      <w:r w:rsidR="00555CB6" w:rsidRPr="00077959">
        <w:rPr>
          <w:rStyle w:val="gemStandardfettZchn"/>
          <w:strike/>
          <w:highlight w:val="yellow"/>
        </w:rPr>
        <w:t>DSGVO</w:t>
      </w:r>
      <w:commentRangeEnd w:id="134"/>
      <w:r w:rsidR="00077959">
        <w:rPr>
          <w:rStyle w:val="Kommentarzeichen"/>
        </w:rPr>
        <w:commentReference w:id="134"/>
      </w:r>
    </w:p>
    <w:p w:rsidR="00555CB6" w:rsidRPr="00077959" w:rsidRDefault="00201E43" w:rsidP="001021C8">
      <w:pPr>
        <w:pStyle w:val="gemEinzug"/>
        <w:kinsoku w:val="0"/>
        <w:ind w:left="709"/>
        <w:rPr>
          <w:strike/>
          <w:highlight w:val="yellow"/>
          <w:lang w:eastAsia="ja-JP"/>
        </w:rPr>
      </w:pPr>
      <w:r w:rsidRPr="00077959">
        <w:rPr>
          <w:strike/>
          <w:highlight w:val="yellow"/>
          <w:lang w:eastAsia="ja-JP"/>
        </w:rPr>
        <w:t xml:space="preserve">Der Anbieter MUSS </w:t>
      </w:r>
      <w:r w:rsidR="00555CB6" w:rsidRPr="00077959">
        <w:rPr>
          <w:strike/>
          <w:highlight w:val="yellow"/>
          <w:lang w:eastAsia="ja-JP"/>
        </w:rPr>
        <w:t>im Fall von</w:t>
      </w:r>
      <w:r w:rsidR="00A274DE" w:rsidRPr="00077959">
        <w:rPr>
          <w:strike/>
          <w:highlight w:val="yellow"/>
          <w:lang w:eastAsia="ja-JP"/>
        </w:rPr>
        <w:t xml:space="preserve"> Datenschutzverstößen</w:t>
      </w:r>
      <w:r w:rsidR="00CC66C9" w:rsidRPr="00077959">
        <w:rPr>
          <w:strike/>
          <w:highlight w:val="yellow"/>
          <w:lang w:eastAsia="ja-JP"/>
        </w:rPr>
        <w:t xml:space="preserve">, die die </w:t>
      </w:r>
      <w:r w:rsidR="00D15F27" w:rsidRPr="00077959">
        <w:rPr>
          <w:strike/>
          <w:highlight w:val="yellow"/>
          <w:lang w:eastAsia="ja-JP"/>
        </w:rPr>
        <w:t>Voraussetzungen</w:t>
      </w:r>
      <w:r w:rsidR="00CC66C9" w:rsidRPr="00077959">
        <w:rPr>
          <w:strike/>
          <w:highlight w:val="yellow"/>
          <w:lang w:eastAsia="ja-JP"/>
        </w:rPr>
        <w:t xml:space="preserve"> für eine Benachrichtigung der Betroffenen nach Art. 34 DSGVO erfüllen und die sich auf die vom Anbieter betriebenen </w:t>
      </w:r>
      <w:r w:rsidR="00CC66C9" w:rsidRPr="00077959">
        <w:rPr>
          <w:strike/>
          <w:highlight w:val="yellow"/>
        </w:rPr>
        <w:t xml:space="preserve">Dienste der TI bzw. weiteren Anwendungen </w:t>
      </w:r>
      <w:r w:rsidR="00CC66C9" w:rsidRPr="00077959">
        <w:rPr>
          <w:strike/>
          <w:highlight w:val="yellow"/>
          <w:lang w:eastAsia="ja-JP"/>
        </w:rPr>
        <w:t xml:space="preserve">beziehen, </w:t>
      </w:r>
      <w:r w:rsidR="00555CB6" w:rsidRPr="00077959">
        <w:rPr>
          <w:strike/>
          <w:highlight w:val="yellow"/>
          <w:lang w:eastAsia="ja-JP"/>
        </w:rPr>
        <w:t xml:space="preserve">sicherstellen, dass </w:t>
      </w:r>
      <w:r w:rsidR="00733D55" w:rsidRPr="00077959">
        <w:rPr>
          <w:strike/>
          <w:highlight w:val="yellow"/>
          <w:lang w:eastAsia="ja-JP"/>
        </w:rPr>
        <w:t>die gematik</w:t>
      </w:r>
      <w:r w:rsidR="00555CB6" w:rsidRPr="00077959">
        <w:rPr>
          <w:strike/>
          <w:highlight w:val="yellow"/>
          <w:lang w:eastAsia="ja-JP"/>
        </w:rPr>
        <w:t xml:space="preserve"> zusammen </w:t>
      </w:r>
      <w:r w:rsidR="00195F53" w:rsidRPr="00077959">
        <w:rPr>
          <w:strike/>
          <w:highlight w:val="yellow"/>
          <w:lang w:eastAsia="ja-JP"/>
        </w:rPr>
        <w:t xml:space="preserve">mit der Meldung des Verstoßes </w:t>
      </w:r>
      <w:r w:rsidR="00AF1BB6" w:rsidRPr="00077959">
        <w:rPr>
          <w:strike/>
          <w:highlight w:val="yellow"/>
          <w:lang w:eastAsia="ja-JP"/>
        </w:rPr>
        <w:t>F</w:t>
      </w:r>
      <w:r w:rsidR="00195F53" w:rsidRPr="00077959">
        <w:rPr>
          <w:strike/>
          <w:highlight w:val="yellow"/>
          <w:lang w:eastAsia="ja-JP"/>
        </w:rPr>
        <w:t xml:space="preserve">olgendes </w:t>
      </w:r>
      <w:r w:rsidR="00555CB6" w:rsidRPr="00077959">
        <w:rPr>
          <w:strike/>
          <w:highlight w:val="yellow"/>
          <w:lang w:eastAsia="ja-JP"/>
        </w:rPr>
        <w:t>erhält:</w:t>
      </w:r>
    </w:p>
    <w:p w:rsidR="001349D3" w:rsidRPr="00077959" w:rsidRDefault="001349D3" w:rsidP="001349D3">
      <w:pPr>
        <w:pStyle w:val="gemEinzug"/>
        <w:numPr>
          <w:ilvl w:val="0"/>
          <w:numId w:val="28"/>
        </w:numPr>
        <w:kinsoku w:val="0"/>
        <w:rPr>
          <w:b/>
          <w:strike/>
          <w:highlight w:val="yellow"/>
        </w:rPr>
      </w:pPr>
      <w:r w:rsidRPr="00077959">
        <w:rPr>
          <w:strike/>
          <w:highlight w:val="yellow"/>
          <w:lang w:eastAsia="ja-JP"/>
        </w:rPr>
        <w:t>Die nach Art. 33 Abs. 3 DSGVO geforderten Informationen. Falls ein Verstoß nach Art. 34 DSGVO vorliegt, zudem die nach Art. 33 Abs. 1 DSGVO an die Aufsichtsbehörde gesendete Meldung.</w:t>
      </w:r>
    </w:p>
    <w:p w:rsidR="00201E43" w:rsidRDefault="00195F53" w:rsidP="00555CB6">
      <w:pPr>
        <w:pStyle w:val="gemEinzug"/>
        <w:numPr>
          <w:ilvl w:val="0"/>
          <w:numId w:val="28"/>
        </w:numPr>
        <w:kinsoku w:val="0"/>
        <w:rPr>
          <w:b/>
        </w:rPr>
      </w:pPr>
      <w:r w:rsidRPr="00077959">
        <w:rPr>
          <w:strike/>
          <w:highlight w:val="yellow"/>
        </w:rPr>
        <w:t>Eine Information</w:t>
      </w:r>
      <w:r w:rsidR="00385150" w:rsidRPr="00077959">
        <w:rPr>
          <w:strike/>
          <w:highlight w:val="yellow"/>
        </w:rPr>
        <w:t xml:space="preserve"> darüber</w:t>
      </w:r>
      <w:r w:rsidRPr="00077959">
        <w:rPr>
          <w:strike/>
          <w:highlight w:val="yellow"/>
        </w:rPr>
        <w:t xml:space="preserve">, ob der Verstoß bei einem Auftragsverarbeiter erfolgte. </w:t>
      </w:r>
      <w:r w:rsidR="00DB672A">
        <w:rPr>
          <w:strike/>
          <w:highlight w:val="yellow"/>
        </w:rPr>
        <w:t>X</w:t>
      </w:r>
    </w:p>
    <w:p w:rsidR="00014E74" w:rsidRPr="00014E74" w:rsidRDefault="00014E74" w:rsidP="00CD0E24">
      <w:pPr>
        <w:pStyle w:val="gemEinzug"/>
        <w:ind w:left="708" w:hanging="708"/>
        <w:rPr>
          <w:b/>
        </w:rPr>
      </w:pPr>
      <w:r w:rsidRPr="00014E74">
        <w:rPr>
          <w:rFonts w:ascii="Wingdings" w:hAnsi="Wingdings"/>
          <w:b/>
        </w:rPr>
        <w:sym w:font="Wingdings" w:char="F0D6"/>
      </w:r>
      <w:r w:rsidRPr="00014E74">
        <w:rPr>
          <w:b/>
        </w:rPr>
        <w:tab/>
      </w:r>
      <w:r w:rsidR="00014499" w:rsidRPr="00014499">
        <w:rPr>
          <w:b/>
          <w:highlight w:val="yellow"/>
        </w:rPr>
        <w:t>GS-A_5565</w:t>
      </w:r>
      <w:r w:rsidR="00014499">
        <w:rPr>
          <w:b/>
        </w:rPr>
        <w:t xml:space="preserve"> </w:t>
      </w:r>
      <w:r w:rsidRPr="00014E74">
        <w:rPr>
          <w:b/>
        </w:rPr>
        <w:t xml:space="preserve">Unverzügliche Behebung von </w:t>
      </w:r>
      <w:r w:rsidR="00866993">
        <w:rPr>
          <w:b/>
        </w:rPr>
        <w:t>V</w:t>
      </w:r>
      <w:r w:rsidR="00866993" w:rsidRPr="00014E74">
        <w:rPr>
          <w:b/>
        </w:rPr>
        <w:t>erstößen</w:t>
      </w:r>
      <w:r w:rsidR="00866993">
        <w:rPr>
          <w:b/>
        </w:rPr>
        <w:t xml:space="preserve"> </w:t>
      </w:r>
      <w:r w:rsidR="00866993" w:rsidRPr="00A274DE">
        <w:rPr>
          <w:rStyle w:val="gemStandardfettZchn"/>
        </w:rPr>
        <w:t xml:space="preserve">gemäß </w:t>
      </w:r>
      <w:r w:rsidR="00866993">
        <w:rPr>
          <w:rStyle w:val="gemStandardfettZchn"/>
        </w:rPr>
        <w:t>Art. 34 DSGVO</w:t>
      </w:r>
    </w:p>
    <w:p w:rsidR="0071250F" w:rsidRDefault="00EE2E69" w:rsidP="001021C8">
      <w:pPr>
        <w:pStyle w:val="gemEinzug"/>
        <w:kinsoku w:val="0"/>
        <w:ind w:left="709"/>
        <w:rPr>
          <w:rFonts w:ascii="Wingdings" w:hAnsi="Wingdings"/>
          <w:b/>
        </w:rPr>
      </w:pPr>
      <w:r>
        <w:t xml:space="preserve">Der </w:t>
      </w:r>
      <w:r w:rsidR="00014E74" w:rsidRPr="00014E74">
        <w:rPr>
          <w:lang w:eastAsia="ja-JP"/>
        </w:rPr>
        <w:t>Anbieter</w:t>
      </w:r>
      <w:r w:rsidR="00014E74" w:rsidRPr="00014E74">
        <w:t xml:space="preserve"> </w:t>
      </w:r>
      <w:r>
        <w:t>MUSS</w:t>
      </w:r>
      <w:r w:rsidR="00014E74" w:rsidRPr="00014E74">
        <w:t xml:space="preserve"> </w:t>
      </w:r>
      <w:r>
        <w:rPr>
          <w:lang w:eastAsia="ja-JP"/>
        </w:rPr>
        <w:t>i</w:t>
      </w:r>
      <w:r w:rsidR="00FE4643">
        <w:rPr>
          <w:lang w:eastAsia="ja-JP"/>
        </w:rPr>
        <w:t xml:space="preserve">m Fall von Datenschutzverstößen, die die </w:t>
      </w:r>
      <w:r w:rsidR="00410D8E">
        <w:rPr>
          <w:lang w:eastAsia="ja-JP"/>
        </w:rPr>
        <w:t>Voraussetzungen</w:t>
      </w:r>
      <w:r w:rsidR="00FE4643">
        <w:rPr>
          <w:lang w:eastAsia="ja-JP"/>
        </w:rPr>
        <w:t xml:space="preserve"> für eine Benachrichtigung der Betroffenen nach Art. 34 DSGVO erfüllen und die sich auf die vom Anbieter betriebenen </w:t>
      </w:r>
      <w:r w:rsidR="00FE4643">
        <w:t xml:space="preserve">Dienste der TI bzw. weiteren Anwendungen </w:t>
      </w:r>
      <w:r w:rsidR="00FE4643">
        <w:rPr>
          <w:lang w:eastAsia="ja-JP"/>
        </w:rPr>
        <w:t>beziehen,</w:t>
      </w:r>
      <w:r>
        <w:rPr>
          <w:lang w:eastAsia="ja-JP"/>
        </w:rPr>
        <w:t xml:space="preserve"> </w:t>
      </w:r>
      <w:r w:rsidR="00014E74" w:rsidRPr="00014E74">
        <w:t xml:space="preserve">unverzüglich Maßnahmen zur Behebung des Verstoßes umsetzen und den erfolgreichen Abschluss </w:t>
      </w:r>
      <w:r w:rsidR="00FE4643">
        <w:t xml:space="preserve">unverzüglich </w:t>
      </w:r>
      <w:r w:rsidR="00014E74" w:rsidRPr="00014E74">
        <w:t xml:space="preserve">an </w:t>
      </w:r>
      <w:r w:rsidR="00733D55">
        <w:t>die gematik</w:t>
      </w:r>
      <w:r w:rsidR="00014E74" w:rsidRPr="00014E74">
        <w:t xml:space="preserve"> melden.</w:t>
      </w:r>
    </w:p>
    <w:p w:rsidR="00EE5411" w:rsidRPr="0071250F" w:rsidRDefault="0071250F" w:rsidP="0071250F">
      <w:pPr>
        <w:pStyle w:val="gemStandard"/>
      </w:pPr>
      <w:r>
        <w:rPr>
          <w:b/>
        </w:rPr>
        <w:sym w:font="Wingdings" w:char="F0D5"/>
      </w:r>
    </w:p>
    <w:p w:rsidR="009D551F" w:rsidRPr="005D7D42" w:rsidRDefault="009D551F" w:rsidP="005D7D42">
      <w:pPr>
        <w:pStyle w:val="gemStandard"/>
      </w:pPr>
      <w:r w:rsidRPr="005D7D42">
        <w:t xml:space="preserve">Hinweis: </w:t>
      </w:r>
      <w:r>
        <w:t xml:space="preserve">ITSM-TI-Teilnehmer </w:t>
      </w:r>
      <w:r w:rsidR="00296E55">
        <w:t xml:space="preserve">melden die erfolgreiche </w:t>
      </w:r>
      <w:r w:rsidR="00606E1A">
        <w:t xml:space="preserve">Behebung </w:t>
      </w:r>
      <w:r w:rsidR="000C6E82">
        <w:t>eines</w:t>
      </w:r>
      <w:r w:rsidR="00606E1A">
        <w:t xml:space="preserve"> Verstoßes </w:t>
      </w:r>
      <w:r w:rsidR="003802F2">
        <w:t>gemäß den Vorgaben des Incident Managements</w:t>
      </w:r>
      <w:r w:rsidR="00606E1A">
        <w:t xml:space="preserve"> (vgl. [gemRL_Betr_TI]).</w:t>
      </w:r>
    </w:p>
    <w:p w:rsidR="00CF5D83" w:rsidRPr="004C5626" w:rsidRDefault="00014499" w:rsidP="004C52B5">
      <w:pPr>
        <w:pStyle w:val="gemEinzug"/>
        <w:ind w:left="708" w:hanging="708"/>
        <w:rPr>
          <w:b/>
          <w:strike/>
          <w:highlight w:val="yellow"/>
        </w:rPr>
      </w:pPr>
      <w:r>
        <w:rPr>
          <w:b/>
          <w:strike/>
          <w:highlight w:val="yellow"/>
        </w:rPr>
        <w:t>X</w:t>
      </w:r>
      <w:r w:rsidR="00CF5D83" w:rsidRPr="004C5626">
        <w:rPr>
          <w:b/>
          <w:strike/>
          <w:highlight w:val="yellow"/>
        </w:rPr>
        <w:t xml:space="preserve"> </w:t>
      </w:r>
      <w:r w:rsidR="00CF5D83" w:rsidRPr="004C5626">
        <w:rPr>
          <w:b/>
          <w:strike/>
          <w:highlight w:val="yellow"/>
        </w:rPr>
        <w:tab/>
        <w:t>GS-A_5324</w:t>
      </w:r>
      <w:r w:rsidR="00796695" w:rsidRPr="004C5626">
        <w:rPr>
          <w:b/>
          <w:strike/>
          <w:highlight w:val="yellow"/>
        </w:rPr>
        <w:t>_2</w:t>
      </w:r>
      <w:r w:rsidR="00CF5D83" w:rsidRPr="004C5626">
        <w:rPr>
          <w:b/>
          <w:strike/>
          <w:highlight w:val="yellow"/>
        </w:rPr>
        <w:t xml:space="preserve"> </w:t>
      </w:r>
      <w:proofErr w:type="spellStart"/>
      <w:r w:rsidR="008E3AC5" w:rsidRPr="004C5626">
        <w:rPr>
          <w:b/>
          <w:strike/>
          <w:highlight w:val="yellow"/>
        </w:rPr>
        <w:t>kDSM</w:t>
      </w:r>
      <w:proofErr w:type="spellEnd"/>
      <w:r w:rsidR="008E3AC5" w:rsidRPr="004C5626">
        <w:rPr>
          <w:b/>
          <w:strike/>
          <w:highlight w:val="yellow"/>
        </w:rPr>
        <w:t xml:space="preserve">: </w:t>
      </w:r>
      <w:r w:rsidR="00CF5D83" w:rsidRPr="004C5626">
        <w:rPr>
          <w:b/>
          <w:strike/>
          <w:highlight w:val="yellow"/>
        </w:rPr>
        <w:t xml:space="preserve">Teilnahme des Anbieters an Sitzungen des </w:t>
      </w:r>
      <w:commentRangeStart w:id="135"/>
      <w:proofErr w:type="spellStart"/>
      <w:r w:rsidR="00CF5D83" w:rsidRPr="004C5626">
        <w:rPr>
          <w:b/>
          <w:strike/>
          <w:highlight w:val="yellow"/>
        </w:rPr>
        <w:t>kDSM</w:t>
      </w:r>
      <w:commentRangeEnd w:id="135"/>
      <w:proofErr w:type="spellEnd"/>
      <w:r w:rsidR="004C5626">
        <w:rPr>
          <w:rStyle w:val="Kommentarzeichen"/>
        </w:rPr>
        <w:commentReference w:id="135"/>
      </w:r>
      <w:r w:rsidR="00CF5D83" w:rsidRPr="004C5626">
        <w:rPr>
          <w:b/>
          <w:strike/>
          <w:highlight w:val="yellow"/>
        </w:rPr>
        <w:t xml:space="preserve"> </w:t>
      </w:r>
    </w:p>
    <w:p w:rsidR="00CF5D83" w:rsidRPr="00EA61EB" w:rsidRDefault="00CF5D83" w:rsidP="001021C8">
      <w:pPr>
        <w:pStyle w:val="gemEinzug"/>
        <w:kinsoku w:val="0"/>
        <w:ind w:left="709"/>
        <w:rPr>
          <w:lang w:eastAsia="ja-JP"/>
        </w:rPr>
      </w:pPr>
      <w:r w:rsidRPr="004C5626">
        <w:rPr>
          <w:strike/>
          <w:highlight w:val="yellow"/>
        </w:rPr>
        <w:t xml:space="preserve">Der Anbieter </w:t>
      </w:r>
      <w:r w:rsidRPr="004C5626">
        <w:rPr>
          <w:strike/>
          <w:highlight w:val="yellow"/>
          <w:lang w:eastAsia="ja-JP"/>
        </w:rPr>
        <w:t>MUSS</w:t>
      </w:r>
      <w:r w:rsidRPr="004C5626">
        <w:rPr>
          <w:strike/>
          <w:highlight w:val="yellow"/>
        </w:rPr>
        <w:t xml:space="preserve"> der gematik zusichern, dass der Anbieter das koordinierende Datenschutzmanagementsystem der gematik unterstützt, indem auf </w:t>
      </w:r>
      <w:r w:rsidR="00DE354A" w:rsidRPr="004C5626">
        <w:rPr>
          <w:strike/>
          <w:highlight w:val="yellow"/>
        </w:rPr>
        <w:t xml:space="preserve">Einladung </w:t>
      </w:r>
      <w:r w:rsidRPr="004C5626">
        <w:rPr>
          <w:strike/>
          <w:highlight w:val="yellow"/>
        </w:rPr>
        <w:t>der gematik ein Datenschutzbeauftragter</w:t>
      </w:r>
      <w:r w:rsidR="00FB73B1" w:rsidRPr="004C5626">
        <w:rPr>
          <w:strike/>
          <w:highlight w:val="yellow"/>
        </w:rPr>
        <w:t xml:space="preserve"> des Anbieters</w:t>
      </w:r>
      <w:r w:rsidRPr="004C5626">
        <w:rPr>
          <w:strike/>
          <w:highlight w:val="yellow"/>
        </w:rPr>
        <w:t xml:space="preserve"> am Arbeitskreis Datenschutz und Informationssicherheit (AK DIS) teilnimmt, der sich im Rahmen seiner beruflichen Tätigkeit mit dem operativen Betrieb der vom Anbieter betriebenen Dienste </w:t>
      </w:r>
      <w:proofErr w:type="spellStart"/>
      <w:r w:rsidRPr="004C5626">
        <w:rPr>
          <w:strike/>
          <w:highlight w:val="yellow"/>
        </w:rPr>
        <w:t>befasst.</w:t>
      </w:r>
      <w:r w:rsidR="00014499">
        <w:rPr>
          <w:strike/>
          <w:highlight w:val="yellow"/>
        </w:rPr>
        <w:t>X</w:t>
      </w:r>
      <w:proofErr w:type="spellEnd"/>
    </w:p>
    <w:p w:rsidR="00CF5D83" w:rsidRDefault="00CF5D83" w:rsidP="0071250F">
      <w:pPr>
        <w:pStyle w:val="berschrift2"/>
      </w:pPr>
      <w:bookmarkStart w:id="136" w:name="_Toc496278490"/>
      <w:bookmarkStart w:id="137" w:name="_Toc496518256"/>
      <w:bookmarkStart w:id="138" w:name="_Toc496278491"/>
      <w:bookmarkStart w:id="139" w:name="_Toc496518257"/>
      <w:bookmarkStart w:id="140" w:name="_Toc493494952"/>
      <w:bookmarkStart w:id="141" w:name="_Toc493494953"/>
      <w:bookmarkStart w:id="142" w:name="_Toc493494954"/>
      <w:bookmarkStart w:id="143" w:name="_Toc493494955"/>
      <w:bookmarkStart w:id="144" w:name="_Toc493494956"/>
      <w:bookmarkStart w:id="145" w:name="_Toc503165507"/>
      <w:bookmarkEnd w:id="136"/>
      <w:bookmarkEnd w:id="137"/>
      <w:bookmarkEnd w:id="138"/>
      <w:bookmarkEnd w:id="139"/>
      <w:bookmarkEnd w:id="140"/>
      <w:bookmarkEnd w:id="141"/>
      <w:bookmarkEnd w:id="142"/>
      <w:bookmarkEnd w:id="143"/>
      <w:bookmarkEnd w:id="144"/>
      <w:r>
        <w:t>Modul „TI-Datenschutzbericht“</w:t>
      </w:r>
      <w:bookmarkEnd w:id="145"/>
    </w:p>
    <w:p w:rsidR="00C72546" w:rsidRPr="00A74755" w:rsidRDefault="00C72546" w:rsidP="00C72546">
      <w:pPr>
        <w:pStyle w:val="gemEinzug"/>
        <w:ind w:left="0"/>
        <w:rPr>
          <w:rStyle w:val="gemStandardfettZchn"/>
        </w:rPr>
      </w:pPr>
      <w:r w:rsidRPr="00A74755">
        <w:rPr>
          <w:b/>
        </w:rPr>
        <w:sym w:font="Wingdings" w:char="F0D6"/>
      </w:r>
      <w:r w:rsidRPr="00A74755">
        <w:rPr>
          <w:b/>
        </w:rPr>
        <w:tab/>
      </w:r>
      <w:r w:rsidRPr="00C72546">
        <w:rPr>
          <w:rStyle w:val="gemStandardfettZchn"/>
        </w:rPr>
        <w:t>GS-A_4468</w:t>
      </w:r>
      <w:r w:rsidR="00220E6F" w:rsidRPr="00220E6F">
        <w:rPr>
          <w:rStyle w:val="gemStandardfettZchn"/>
          <w:highlight w:val="yellow"/>
        </w:rPr>
        <w:t>-01</w:t>
      </w:r>
      <w:r>
        <w:rPr>
          <w:rStyle w:val="gemStandardfettZchn"/>
        </w:rPr>
        <w:t xml:space="preserve"> </w:t>
      </w:r>
      <w:proofErr w:type="spellStart"/>
      <w:r w:rsidRPr="00C72546">
        <w:rPr>
          <w:rStyle w:val="gemStandardfettZchn"/>
        </w:rPr>
        <w:t>kDSM</w:t>
      </w:r>
      <w:proofErr w:type="spellEnd"/>
      <w:r w:rsidRPr="00C72546">
        <w:rPr>
          <w:rStyle w:val="gemStandardfettZchn"/>
        </w:rPr>
        <w:t>: Jährlicher Datenschutz</w:t>
      </w:r>
      <w:r w:rsidR="00DE3740">
        <w:rPr>
          <w:rStyle w:val="gemStandardfettZchn"/>
        </w:rPr>
        <w:t>bericht</w:t>
      </w:r>
      <w:r w:rsidRPr="00C72546">
        <w:rPr>
          <w:rStyle w:val="gemStandardfettZchn"/>
        </w:rPr>
        <w:t xml:space="preserve"> (kurz)</w:t>
      </w:r>
    </w:p>
    <w:p w:rsidR="00C72546" w:rsidRDefault="00C72546" w:rsidP="00FE50B9">
      <w:pPr>
        <w:pStyle w:val="gemEinzug"/>
        <w:kinsoku w:val="0"/>
        <w:ind w:left="709"/>
        <w:rPr>
          <w:lang w:eastAsia="ja-JP"/>
        </w:rPr>
      </w:pPr>
      <w:r>
        <w:rPr>
          <w:lang w:eastAsia="ja-JP"/>
        </w:rPr>
        <w:t xml:space="preserve">Der </w:t>
      </w:r>
      <w:r w:rsidRPr="0073547F">
        <w:rPr>
          <w:lang w:eastAsia="ja-JP"/>
        </w:rPr>
        <w:t xml:space="preserve">Anbieter </w:t>
      </w:r>
      <w:r>
        <w:rPr>
          <w:lang w:eastAsia="ja-JP"/>
        </w:rPr>
        <w:t>MUSS</w:t>
      </w:r>
      <w:r w:rsidRPr="0073547F">
        <w:rPr>
          <w:lang w:eastAsia="ja-JP"/>
        </w:rPr>
        <w:t xml:space="preserve"> </w:t>
      </w:r>
      <w:r w:rsidR="00E85D78">
        <w:rPr>
          <w:lang w:eastAsia="ja-JP"/>
        </w:rPr>
        <w:t>gewährleisten</w:t>
      </w:r>
      <w:r w:rsidR="00077ACE">
        <w:rPr>
          <w:lang w:eastAsia="ja-JP"/>
        </w:rPr>
        <w:t xml:space="preserve">, dass </w:t>
      </w:r>
      <w:r w:rsidR="00E85D78">
        <w:rPr>
          <w:lang w:eastAsia="ja-JP"/>
        </w:rPr>
        <w:t>d</w:t>
      </w:r>
      <w:r>
        <w:rPr>
          <w:lang w:eastAsia="ja-JP"/>
        </w:rPr>
        <w:t xml:space="preserve">er gematik jährlich </w:t>
      </w:r>
      <w:r w:rsidR="00077ACE">
        <w:rPr>
          <w:lang w:eastAsia="ja-JP"/>
        </w:rPr>
        <w:t xml:space="preserve">(spätestens bis Ende Januar des Folgejahres) </w:t>
      </w:r>
      <w:r>
        <w:rPr>
          <w:lang w:eastAsia="ja-JP"/>
        </w:rPr>
        <w:t xml:space="preserve">ein </w:t>
      </w:r>
      <w:r w:rsidR="00632E78">
        <w:rPr>
          <w:lang w:eastAsia="ja-JP"/>
        </w:rPr>
        <w:t>Jahresd</w:t>
      </w:r>
      <w:r>
        <w:rPr>
          <w:lang w:eastAsia="ja-JP"/>
        </w:rPr>
        <w:t xml:space="preserve">atenschutzreport </w:t>
      </w:r>
      <w:r w:rsidR="00E85D78" w:rsidRPr="00E85D78">
        <w:rPr>
          <w:lang w:eastAsia="ja-JP"/>
        </w:rPr>
        <w:t xml:space="preserve">bzgl. der vom Anbieter angebotenen </w:t>
      </w:r>
      <w:r w:rsidR="005A3ECA">
        <w:t xml:space="preserve">Dienste der TI bzw. weiteren Anwendungen </w:t>
      </w:r>
      <w:r w:rsidR="00E85D78">
        <w:rPr>
          <w:lang w:eastAsia="ja-JP"/>
        </w:rPr>
        <w:t>vorli</w:t>
      </w:r>
      <w:r w:rsidR="00077ACE">
        <w:rPr>
          <w:lang w:eastAsia="ja-JP"/>
        </w:rPr>
        <w:t>egt</w:t>
      </w:r>
      <w:r>
        <w:rPr>
          <w:lang w:eastAsia="ja-JP"/>
        </w:rPr>
        <w:t xml:space="preserve">, der mindestens folgende Inhalte </w:t>
      </w:r>
      <w:r w:rsidR="00E85D78">
        <w:rPr>
          <w:lang w:eastAsia="ja-JP"/>
        </w:rPr>
        <w:t>enthält</w:t>
      </w:r>
      <w:r>
        <w:rPr>
          <w:lang w:eastAsia="ja-JP"/>
        </w:rPr>
        <w:t>:</w:t>
      </w:r>
    </w:p>
    <w:p w:rsidR="00BF5874" w:rsidRDefault="007D0418" w:rsidP="00BF5874">
      <w:pPr>
        <w:pStyle w:val="gemAufzhlung"/>
        <w:rPr>
          <w:lang w:eastAsia="ja-JP"/>
        </w:rPr>
      </w:pPr>
      <w:r>
        <w:rPr>
          <w:lang w:eastAsia="ja-JP"/>
        </w:rPr>
        <w:t>a</w:t>
      </w:r>
      <w:r w:rsidR="00BF5874">
        <w:rPr>
          <w:lang w:eastAsia="ja-JP"/>
        </w:rPr>
        <w:t>llgemeine Anbieterinformationen einschl. Kontaktinformationen des anbieterinternen Datenschutzmanagements (</w:t>
      </w:r>
      <w:r w:rsidR="00BF5874" w:rsidRPr="00CA3460">
        <w:t xml:space="preserve">wie Name </w:t>
      </w:r>
      <w:r w:rsidR="00BF5874">
        <w:t xml:space="preserve">des betrieblichen Datenschutzbeauftragten bzw. </w:t>
      </w:r>
      <w:r w:rsidR="00BF5874" w:rsidRPr="00CA3460">
        <w:t>eines Ansprechpartners, Stellvertreter, E-Mail-Adresse</w:t>
      </w:r>
      <w:r w:rsidR="00BF5874">
        <w:t>n</w:t>
      </w:r>
      <w:r w:rsidR="00BF5874" w:rsidRPr="00CA3460">
        <w:t>, Telefon</w:t>
      </w:r>
      <w:r w:rsidR="00BF5874">
        <w:t>nummern</w:t>
      </w:r>
      <w:r w:rsidR="00BF5874" w:rsidRPr="00CA3460">
        <w:t>, Anschrift, …</w:t>
      </w:r>
      <w:r w:rsidR="00BF5874">
        <w:rPr>
          <w:lang w:eastAsia="ja-JP"/>
        </w:rPr>
        <w:t xml:space="preserve">) sowie </w:t>
      </w:r>
      <w:r w:rsidR="00BF5874">
        <w:rPr>
          <w:lang w:eastAsia="ja-JP"/>
        </w:rPr>
        <w:lastRenderedPageBreak/>
        <w:t xml:space="preserve">Angabe der für den Anbieter zuständigen </w:t>
      </w:r>
      <w:r w:rsidR="0060431D">
        <w:rPr>
          <w:lang w:eastAsia="ja-JP"/>
        </w:rPr>
        <w:t xml:space="preserve">datenschutzrechtlichen </w:t>
      </w:r>
      <w:r>
        <w:rPr>
          <w:lang w:eastAsia="ja-JP"/>
        </w:rPr>
        <w:t>Aufsichtsbehörde,</w:t>
      </w:r>
    </w:p>
    <w:p w:rsidR="00BF5874" w:rsidRDefault="007D0418" w:rsidP="00BF5874">
      <w:pPr>
        <w:pStyle w:val="gemAufzhlung"/>
        <w:rPr>
          <w:lang w:eastAsia="ja-JP"/>
        </w:rPr>
      </w:pPr>
      <w:r>
        <w:rPr>
          <w:lang w:eastAsia="ja-JP"/>
        </w:rPr>
        <w:t xml:space="preserve">eine </w:t>
      </w:r>
      <w:r w:rsidR="00BF5874">
        <w:rPr>
          <w:lang w:eastAsia="ja-JP"/>
        </w:rPr>
        <w:t xml:space="preserve">Übersicht </w:t>
      </w:r>
      <w:r w:rsidR="00BF5874" w:rsidRPr="00142AED">
        <w:t xml:space="preserve">über die Anzahl der </w:t>
      </w:r>
      <w:r w:rsidR="00BF5874">
        <w:rPr>
          <w:lang w:eastAsia="ja-JP"/>
        </w:rPr>
        <w:t>aufgetretenen Datenschutzverstöße</w:t>
      </w:r>
      <w:r w:rsidR="00DE2D7C">
        <w:rPr>
          <w:lang w:eastAsia="ja-JP"/>
        </w:rPr>
        <w:t xml:space="preserve">, die die </w:t>
      </w:r>
      <w:r w:rsidR="00ED41F8">
        <w:rPr>
          <w:lang w:eastAsia="ja-JP"/>
        </w:rPr>
        <w:t xml:space="preserve">Voraussetzungen </w:t>
      </w:r>
      <w:r w:rsidR="00BF5874">
        <w:rPr>
          <w:lang w:eastAsia="ja-JP"/>
        </w:rPr>
        <w:t>nach Art. 83 Abs. 4, 5 und 6 DSGVO</w:t>
      </w:r>
      <w:r w:rsidR="00DE2D7C">
        <w:rPr>
          <w:lang w:eastAsia="ja-JP"/>
        </w:rPr>
        <w:t xml:space="preserve"> erfüllen</w:t>
      </w:r>
      <w:r w:rsidR="00BF5874">
        <w:rPr>
          <w:lang w:eastAsia="ja-JP"/>
        </w:rPr>
        <w:t xml:space="preserve">, bei denen </w:t>
      </w:r>
      <w:r w:rsidR="005A3ECA">
        <w:t>Dienste der TI bzw. weitere Anwendungen</w:t>
      </w:r>
      <w:r w:rsidR="00BF5874">
        <w:rPr>
          <w:lang w:eastAsia="ja-JP"/>
        </w:rPr>
        <w:t xml:space="preserve"> betroffen waren; hierbei ist jeweils anzugeben, gegen we</w:t>
      </w:r>
      <w:r>
        <w:rPr>
          <w:lang w:eastAsia="ja-JP"/>
        </w:rPr>
        <w:t>lche Bestimmung verstoßen wurde,</w:t>
      </w:r>
    </w:p>
    <w:p w:rsidR="00BF5874" w:rsidRDefault="007D0418" w:rsidP="00BF5874">
      <w:pPr>
        <w:pStyle w:val="gemAufzhlung"/>
        <w:rPr>
          <w:lang w:eastAsia="ja-JP"/>
        </w:rPr>
      </w:pPr>
      <w:r>
        <w:rPr>
          <w:lang w:eastAsia="ja-JP"/>
        </w:rPr>
        <w:t xml:space="preserve">eine </w:t>
      </w:r>
      <w:r w:rsidR="00BF5874">
        <w:rPr>
          <w:lang w:eastAsia="ja-JP"/>
        </w:rPr>
        <w:t>Übersicht über die Anzahl der aufgetretenen Verletzungen des Schutzes personenbezogener Daten</w:t>
      </w:r>
      <w:r w:rsidR="00DE2D7C">
        <w:rPr>
          <w:lang w:eastAsia="ja-JP"/>
        </w:rPr>
        <w:t xml:space="preserve">, die die </w:t>
      </w:r>
      <w:r w:rsidR="00ED41F8">
        <w:rPr>
          <w:lang w:eastAsia="ja-JP"/>
        </w:rPr>
        <w:t xml:space="preserve">Voraussetzungen </w:t>
      </w:r>
      <w:r w:rsidR="00BF5874">
        <w:rPr>
          <w:lang w:eastAsia="ja-JP"/>
        </w:rPr>
        <w:t>gemäß Art. 33 und 34 DSGVO</w:t>
      </w:r>
      <w:r w:rsidR="00146092">
        <w:rPr>
          <w:lang w:eastAsia="ja-JP"/>
        </w:rPr>
        <w:t xml:space="preserve"> </w:t>
      </w:r>
      <w:r w:rsidR="00DE2D7C">
        <w:rPr>
          <w:lang w:eastAsia="ja-JP"/>
        </w:rPr>
        <w:t>erfüllen</w:t>
      </w:r>
      <w:r w:rsidR="00BF5874">
        <w:rPr>
          <w:lang w:eastAsia="ja-JP"/>
        </w:rPr>
        <w:t xml:space="preserve">, </w:t>
      </w:r>
      <w:r w:rsidR="00BF5874" w:rsidRPr="002D5046">
        <w:rPr>
          <w:lang w:eastAsia="ja-JP"/>
        </w:rPr>
        <w:t xml:space="preserve">bei denen </w:t>
      </w:r>
      <w:r w:rsidR="005A3ECA">
        <w:t xml:space="preserve">Dienste der TI bzw. weitere Anwendungen </w:t>
      </w:r>
      <w:r w:rsidR="00BF5874" w:rsidRPr="002D5046">
        <w:rPr>
          <w:lang w:eastAsia="ja-JP"/>
        </w:rPr>
        <w:t>betroffen waren</w:t>
      </w:r>
      <w:r>
        <w:rPr>
          <w:lang w:eastAsia="ja-JP"/>
        </w:rPr>
        <w:t>,</w:t>
      </w:r>
      <w:r w:rsidR="00556D48">
        <w:rPr>
          <w:lang w:eastAsia="ja-JP"/>
        </w:rPr>
        <w:t xml:space="preserve"> </w:t>
      </w:r>
    </w:p>
    <w:p w:rsidR="00BF5874" w:rsidRDefault="007D0418" w:rsidP="00BF5874">
      <w:pPr>
        <w:pStyle w:val="gemAufzhlung"/>
        <w:rPr>
          <w:lang w:eastAsia="ja-JP"/>
        </w:rPr>
      </w:pPr>
      <w:r>
        <w:t xml:space="preserve">eine </w:t>
      </w:r>
      <w:r w:rsidR="00BF5874" w:rsidRPr="00142AED">
        <w:t>Übersicht</w:t>
      </w:r>
      <w:r w:rsidR="00BF5874">
        <w:rPr>
          <w:b/>
        </w:rPr>
        <w:t xml:space="preserve"> </w:t>
      </w:r>
      <w:r w:rsidR="00BF5874" w:rsidRPr="00142AED">
        <w:t xml:space="preserve">über die Anzahl </w:t>
      </w:r>
      <w:r>
        <w:t>der von</w:t>
      </w:r>
      <w:r w:rsidR="00BF5874" w:rsidRPr="00142AED">
        <w:t xml:space="preserve"> Betroffenen</w:t>
      </w:r>
      <w:r w:rsidR="00BF5874">
        <w:t xml:space="preserve"> gestellte</w:t>
      </w:r>
      <w:r>
        <w:t>n</w:t>
      </w:r>
      <w:r w:rsidR="00BF5874">
        <w:t xml:space="preserve"> Anfragen zur Wahrnehmung der Betroffenenrechte aufgeschlüsselt nach Art. 15 (Auskunft), Art. 16 (Berichtigung), Art. 17 (Löschung), Art. 18 (Einschränkung), Art. 20 (Datenübertragbarkeit) und Art. 21 (Widerspruch)</w:t>
      </w:r>
      <w:r w:rsidR="00556D48">
        <w:t xml:space="preserve"> </w:t>
      </w:r>
      <w:r w:rsidR="00BF5874">
        <w:t xml:space="preserve">DSGVO, bezogen </w:t>
      </w:r>
      <w:r w:rsidR="00E273CF">
        <w:rPr>
          <w:lang w:eastAsia="ja-JP"/>
        </w:rPr>
        <w:t xml:space="preserve">auf </w:t>
      </w:r>
      <w:r w:rsidR="005A3ECA">
        <w:t>Dienste der TI bzw. weitere Anwendungen</w:t>
      </w:r>
      <w:r w:rsidR="00BF5874">
        <w:t>.</w:t>
      </w:r>
      <w:r w:rsidR="00ED41F8">
        <w:t xml:space="preserve"> Sofern die DSGVO nicht anwendbar ist, sind die vorstehenden Angaben entsprechend </w:t>
      </w:r>
      <w:r w:rsidR="008E5509">
        <w:t>bereitzustellen</w:t>
      </w:r>
      <w:r>
        <w:t>,</w:t>
      </w:r>
    </w:p>
    <w:p w:rsidR="0071250F" w:rsidRDefault="007D0418" w:rsidP="00960C81">
      <w:pPr>
        <w:pStyle w:val="gemAufzhlung"/>
        <w:rPr>
          <w:b/>
        </w:rPr>
      </w:pPr>
      <w:r>
        <w:t xml:space="preserve">eine </w:t>
      </w:r>
      <w:r w:rsidR="00BF5874">
        <w:t xml:space="preserve">Übersicht über die Anzahl der von Betroffenen </w:t>
      </w:r>
      <w:r w:rsidR="00762148">
        <w:t xml:space="preserve">bei der Aufsichtsbehörde </w:t>
      </w:r>
      <w:r w:rsidR="00BF5874">
        <w:t xml:space="preserve">eingereichten Beschwerden gem. Art. 77 DSGVO, die den Anbieter als Betreiber eines </w:t>
      </w:r>
      <w:r w:rsidR="005A3ECA">
        <w:t>Dienstes der TI bzw. weiteren Anwendung</w:t>
      </w:r>
      <w:r w:rsidR="00BF5874">
        <w:t xml:space="preserve"> betreffen</w:t>
      </w:r>
      <w:r w:rsidR="00C13913">
        <w:rPr>
          <w:lang w:eastAsia="ja-JP"/>
        </w:rPr>
        <w:t>.</w:t>
      </w:r>
    </w:p>
    <w:p w:rsidR="0073547F" w:rsidRPr="0071250F" w:rsidRDefault="0071250F" w:rsidP="0071250F">
      <w:pPr>
        <w:pStyle w:val="gemStandard"/>
        <w:rPr>
          <w:lang w:eastAsia="ja-JP"/>
        </w:rPr>
      </w:pPr>
      <w:r>
        <w:rPr>
          <w:b/>
        </w:rPr>
        <w:sym w:font="Wingdings" w:char="F0D5"/>
      </w:r>
    </w:p>
    <w:p w:rsidR="009119F7" w:rsidRDefault="009119F7" w:rsidP="00EB4C0E">
      <w:pPr>
        <w:pStyle w:val="gemStandard"/>
        <w:rPr>
          <w:lang w:eastAsia="ja-JP"/>
        </w:rPr>
      </w:pPr>
      <w:r w:rsidRPr="009119F7">
        <w:rPr>
          <w:highlight w:val="yellow"/>
          <w:lang w:eastAsia="ja-JP"/>
        </w:rPr>
        <w:t xml:space="preserve">Hinweis: Im </w:t>
      </w:r>
      <w:r w:rsidR="000951CA">
        <w:rPr>
          <w:highlight w:val="yellow"/>
          <w:lang w:eastAsia="ja-JP"/>
        </w:rPr>
        <w:t xml:space="preserve">jährlichen </w:t>
      </w:r>
      <w:r w:rsidRPr="009119F7">
        <w:rPr>
          <w:highlight w:val="yellow"/>
          <w:lang w:eastAsia="ja-JP"/>
        </w:rPr>
        <w:t xml:space="preserve">Datenschutzbericht </w:t>
      </w:r>
      <w:r w:rsidR="000951CA">
        <w:rPr>
          <w:highlight w:val="yellow"/>
          <w:lang w:eastAsia="ja-JP"/>
        </w:rPr>
        <w:t xml:space="preserve">der TI </w:t>
      </w:r>
      <w:r w:rsidRPr="009119F7">
        <w:rPr>
          <w:highlight w:val="yellow"/>
          <w:lang w:eastAsia="ja-JP"/>
        </w:rPr>
        <w:t>ist jeweils nur die Anzahl der Datenschutzverstöße</w:t>
      </w:r>
      <w:r w:rsidR="00F16CB0">
        <w:rPr>
          <w:highlight w:val="yellow"/>
          <w:lang w:eastAsia="ja-JP"/>
        </w:rPr>
        <w:t>, Anfragen</w:t>
      </w:r>
      <w:r w:rsidRPr="009119F7">
        <w:rPr>
          <w:highlight w:val="yellow"/>
          <w:lang w:eastAsia="ja-JP"/>
        </w:rPr>
        <w:t xml:space="preserve"> </w:t>
      </w:r>
      <w:r>
        <w:rPr>
          <w:highlight w:val="yellow"/>
          <w:lang w:eastAsia="ja-JP"/>
        </w:rPr>
        <w:t>bzw.</w:t>
      </w:r>
      <w:r w:rsidRPr="009119F7">
        <w:rPr>
          <w:highlight w:val="yellow"/>
          <w:lang w:eastAsia="ja-JP"/>
        </w:rPr>
        <w:t xml:space="preserve"> </w:t>
      </w:r>
      <w:r w:rsidR="00F16CB0">
        <w:rPr>
          <w:highlight w:val="yellow"/>
          <w:lang w:eastAsia="ja-JP"/>
        </w:rPr>
        <w:t>Beschwerden</w:t>
      </w:r>
      <w:r w:rsidRPr="009119F7">
        <w:rPr>
          <w:highlight w:val="yellow"/>
          <w:lang w:eastAsia="ja-JP"/>
        </w:rPr>
        <w:t xml:space="preserve"> zu nennen, nicht </w:t>
      </w:r>
      <w:r w:rsidR="00F16CB0">
        <w:rPr>
          <w:highlight w:val="yellow"/>
          <w:lang w:eastAsia="ja-JP"/>
        </w:rPr>
        <w:t xml:space="preserve">jedoch deren </w:t>
      </w:r>
      <w:commentRangeStart w:id="146"/>
      <w:r w:rsidR="00F16CB0">
        <w:rPr>
          <w:highlight w:val="yellow"/>
          <w:lang w:eastAsia="ja-JP"/>
        </w:rPr>
        <w:t>Inhalte</w:t>
      </w:r>
      <w:commentRangeEnd w:id="146"/>
      <w:r w:rsidR="00F16CB0">
        <w:rPr>
          <w:rStyle w:val="Kommentarzeichen"/>
        </w:rPr>
        <w:commentReference w:id="146"/>
      </w:r>
      <w:r w:rsidRPr="009119F7">
        <w:rPr>
          <w:highlight w:val="yellow"/>
          <w:lang w:eastAsia="ja-JP"/>
        </w:rPr>
        <w:t>.</w:t>
      </w:r>
    </w:p>
    <w:p w:rsidR="00EB4C0E" w:rsidRDefault="00EB4C0E" w:rsidP="00EB4C0E">
      <w:pPr>
        <w:pStyle w:val="gemStandard"/>
        <w:rPr>
          <w:lang w:eastAsia="ja-JP"/>
        </w:rPr>
      </w:pPr>
      <w:r w:rsidRPr="002A225F">
        <w:rPr>
          <w:lang w:eastAsia="ja-JP"/>
        </w:rPr>
        <w:t>Neb</w:t>
      </w:r>
      <w:r>
        <w:rPr>
          <w:lang w:eastAsia="ja-JP"/>
        </w:rPr>
        <w:t>en dem Jahresdatenschutzreport</w:t>
      </w:r>
      <w:r w:rsidRPr="002A225F">
        <w:rPr>
          <w:lang w:eastAsia="ja-JP"/>
        </w:rPr>
        <w:t xml:space="preserve"> ist im Falle </w:t>
      </w:r>
      <w:r>
        <w:rPr>
          <w:lang w:eastAsia="ja-JP"/>
        </w:rPr>
        <w:t>gravierender</w:t>
      </w:r>
      <w:r w:rsidRPr="002A225F">
        <w:rPr>
          <w:lang w:eastAsia="ja-JP"/>
        </w:rPr>
        <w:t xml:space="preserve"> </w:t>
      </w:r>
      <w:r>
        <w:rPr>
          <w:lang w:eastAsia="ja-JP"/>
        </w:rPr>
        <w:t>Datenschutzverstöße</w:t>
      </w:r>
      <w:r w:rsidRPr="002A225F">
        <w:rPr>
          <w:lang w:eastAsia="ja-JP"/>
        </w:rPr>
        <w:t xml:space="preserve"> die erfolgreiche Umsetzung der Maßnahmen zur Behebung des </w:t>
      </w:r>
      <w:r>
        <w:rPr>
          <w:lang w:eastAsia="ja-JP"/>
        </w:rPr>
        <w:t>Verstoßes</w:t>
      </w:r>
      <w:r w:rsidRPr="002A225F">
        <w:rPr>
          <w:lang w:eastAsia="ja-JP"/>
        </w:rPr>
        <w:t xml:space="preserve"> der gematik zu melden.</w:t>
      </w:r>
    </w:p>
    <w:p w:rsidR="00EB4C0E" w:rsidRPr="00A74755" w:rsidRDefault="00EB4C0E" w:rsidP="00EB4C0E">
      <w:pPr>
        <w:pStyle w:val="gemEinzug"/>
        <w:ind w:left="708" w:hanging="708"/>
        <w:rPr>
          <w:rStyle w:val="gemStandardfettZchn"/>
        </w:rPr>
      </w:pPr>
      <w:r w:rsidRPr="00A74755">
        <w:rPr>
          <w:b/>
        </w:rPr>
        <w:sym w:font="Wingdings" w:char="F0D6"/>
      </w:r>
      <w:r w:rsidRPr="00A74755">
        <w:rPr>
          <w:b/>
        </w:rPr>
        <w:tab/>
      </w:r>
      <w:r w:rsidRPr="002D3905">
        <w:rPr>
          <w:rStyle w:val="gemStandardfettZchn"/>
        </w:rPr>
        <w:t>GS-A_447</w:t>
      </w:r>
      <w:r>
        <w:rPr>
          <w:rStyle w:val="gemStandardfettZchn"/>
        </w:rPr>
        <w:t>8</w:t>
      </w:r>
      <w:r w:rsidR="00220E6F" w:rsidRPr="00220E6F">
        <w:rPr>
          <w:rStyle w:val="gemStandardfettZchn"/>
          <w:highlight w:val="yellow"/>
        </w:rPr>
        <w:t>-01</w:t>
      </w:r>
      <w:r>
        <w:rPr>
          <w:rStyle w:val="gemStandardfettZchn"/>
        </w:rPr>
        <w:t xml:space="preserve"> </w:t>
      </w:r>
      <w:proofErr w:type="spellStart"/>
      <w:r w:rsidRPr="00CC2DDC">
        <w:rPr>
          <w:rStyle w:val="gemStandardfettZchn"/>
        </w:rPr>
        <w:t>kDSM</w:t>
      </w:r>
      <w:proofErr w:type="spellEnd"/>
      <w:r w:rsidRPr="00CC2DDC">
        <w:rPr>
          <w:rStyle w:val="gemStandardfettZchn"/>
        </w:rPr>
        <w:t xml:space="preserve">: </w:t>
      </w:r>
      <w:r>
        <w:rPr>
          <w:rStyle w:val="gemStandardfettZchn"/>
        </w:rPr>
        <w:t>Nachweis</w:t>
      </w:r>
      <w:r w:rsidRPr="00CC2DDC">
        <w:rPr>
          <w:rStyle w:val="gemStandardfettZchn"/>
        </w:rPr>
        <w:t xml:space="preserve"> der Umsetzung von Maßnahmen in Folge eines gravierenden Datenschutzverstoßes</w:t>
      </w:r>
    </w:p>
    <w:p w:rsidR="0071250F" w:rsidRDefault="00E53EB5" w:rsidP="00876354">
      <w:pPr>
        <w:pStyle w:val="gemEinzug"/>
        <w:kinsoku w:val="0"/>
        <w:ind w:left="709"/>
        <w:rPr>
          <w:b/>
        </w:rPr>
      </w:pPr>
      <w:r>
        <w:rPr>
          <w:lang w:eastAsia="ja-JP"/>
        </w:rPr>
        <w:t>Der Anbieter</w:t>
      </w:r>
      <w:r w:rsidR="00EB4C0E" w:rsidRPr="00C568CB">
        <w:rPr>
          <w:lang w:eastAsia="ja-JP"/>
        </w:rPr>
        <w:t xml:space="preserve"> M</w:t>
      </w:r>
      <w:r>
        <w:rPr>
          <w:lang w:eastAsia="ja-JP"/>
        </w:rPr>
        <w:t>USS</w:t>
      </w:r>
      <w:r w:rsidR="00EB4C0E" w:rsidRPr="00C568CB">
        <w:rPr>
          <w:lang w:eastAsia="ja-JP"/>
        </w:rPr>
        <w:t xml:space="preserve"> der gematik auf Anfrage die Umsetzung der Maßnahmen zur Behebung eines Datenschutzverstoßes, der die Voraussetzungen für eine Benachrichtigung der Betroffenen nach Art. 34 DSGVO erfüllt und der sich auf die vom Anbieter betriebenen Dienste der TI bzw. weiteren Anwendungen bezieht, unter zur Verfügung</w:t>
      </w:r>
      <w:r>
        <w:rPr>
          <w:lang w:eastAsia="ja-JP"/>
        </w:rPr>
        <w:t>s</w:t>
      </w:r>
      <w:r w:rsidR="00EB4C0E" w:rsidRPr="00C568CB">
        <w:rPr>
          <w:lang w:eastAsia="ja-JP"/>
        </w:rPr>
        <w:t>tellung einer Dokumentation mit den in Art. 33 Abs. 5 DSGVO geforderten Inhalten nachweisen.</w:t>
      </w:r>
    </w:p>
    <w:p w:rsidR="00590FC3" w:rsidRPr="0071250F" w:rsidRDefault="0071250F" w:rsidP="0071250F">
      <w:pPr>
        <w:pStyle w:val="gemStandard"/>
      </w:pPr>
      <w:r>
        <w:rPr>
          <w:b/>
        </w:rPr>
        <w:sym w:font="Wingdings" w:char="F0D5"/>
      </w:r>
    </w:p>
    <w:p w:rsidR="004C5626" w:rsidRPr="004C5626" w:rsidRDefault="004C5626" w:rsidP="004C5626">
      <w:pPr>
        <w:pStyle w:val="gemEinzug"/>
        <w:ind w:left="708" w:hanging="708"/>
        <w:rPr>
          <w:b/>
          <w:highlight w:val="yellow"/>
        </w:rPr>
      </w:pPr>
      <w:r w:rsidRPr="004C5626">
        <w:rPr>
          <w:b/>
          <w:highlight w:val="yellow"/>
        </w:rPr>
        <w:sym w:font="Wingdings" w:char="F0D6"/>
      </w:r>
      <w:r w:rsidRPr="004C5626">
        <w:rPr>
          <w:b/>
          <w:highlight w:val="yellow"/>
        </w:rPr>
        <w:t xml:space="preserve"> </w:t>
      </w:r>
      <w:r w:rsidRPr="004C5626">
        <w:rPr>
          <w:b/>
          <w:highlight w:val="yellow"/>
        </w:rPr>
        <w:tab/>
        <w:t>GS-A_5324</w:t>
      </w:r>
      <w:r w:rsidR="00220E6F">
        <w:rPr>
          <w:b/>
          <w:highlight w:val="yellow"/>
        </w:rPr>
        <w:t>-0</w:t>
      </w:r>
      <w:r w:rsidRPr="004C5626">
        <w:rPr>
          <w:b/>
          <w:highlight w:val="yellow"/>
        </w:rPr>
        <w:t xml:space="preserve">2 </w:t>
      </w:r>
      <w:proofErr w:type="spellStart"/>
      <w:r w:rsidRPr="004C5626">
        <w:rPr>
          <w:b/>
          <w:highlight w:val="yellow"/>
        </w:rPr>
        <w:t>kDSM</w:t>
      </w:r>
      <w:proofErr w:type="spellEnd"/>
      <w:r w:rsidRPr="004C5626">
        <w:rPr>
          <w:b/>
          <w:highlight w:val="yellow"/>
        </w:rPr>
        <w:t xml:space="preserve">: Teilnahme des Anbieters an Sitzungen des </w:t>
      </w:r>
      <w:commentRangeStart w:id="147"/>
      <w:proofErr w:type="spellStart"/>
      <w:r w:rsidRPr="004C5626">
        <w:rPr>
          <w:b/>
          <w:highlight w:val="yellow"/>
        </w:rPr>
        <w:t>kDSM</w:t>
      </w:r>
      <w:commentRangeEnd w:id="147"/>
      <w:proofErr w:type="spellEnd"/>
      <w:r>
        <w:rPr>
          <w:rStyle w:val="Kommentarzeichen"/>
        </w:rPr>
        <w:commentReference w:id="147"/>
      </w:r>
      <w:r w:rsidRPr="004C5626">
        <w:rPr>
          <w:b/>
          <w:highlight w:val="yellow"/>
        </w:rPr>
        <w:t xml:space="preserve"> </w:t>
      </w:r>
    </w:p>
    <w:p w:rsidR="0071250F" w:rsidRDefault="004C5626" w:rsidP="004C5626">
      <w:pPr>
        <w:pStyle w:val="gemEinzug"/>
        <w:kinsoku w:val="0"/>
        <w:ind w:left="709"/>
        <w:rPr>
          <w:b/>
          <w:highlight w:val="yellow"/>
        </w:rPr>
      </w:pPr>
      <w:r w:rsidRPr="004C5626">
        <w:rPr>
          <w:highlight w:val="yellow"/>
        </w:rPr>
        <w:t xml:space="preserve">Der Anbieter </w:t>
      </w:r>
      <w:r w:rsidRPr="004C5626">
        <w:rPr>
          <w:highlight w:val="yellow"/>
          <w:lang w:eastAsia="ja-JP"/>
        </w:rPr>
        <w:t>MUSS</w:t>
      </w:r>
      <w:r w:rsidRPr="004C5626">
        <w:rPr>
          <w:highlight w:val="yellow"/>
        </w:rPr>
        <w:t xml:space="preserve"> der gematik zusichern, dass der Anbieter das koordinierende Datenschutzmanagementsystem der gematik unterstützt, indem auf Einladung der gematik ein</w:t>
      </w:r>
      <w:r w:rsidR="00B677C8">
        <w:rPr>
          <w:highlight w:val="yellow"/>
        </w:rPr>
        <w:t xml:space="preserve"> sachkundiger Ansprechpartner für Datenschutz</w:t>
      </w:r>
      <w:r w:rsidRPr="004C5626">
        <w:rPr>
          <w:highlight w:val="yellow"/>
        </w:rPr>
        <w:t xml:space="preserve"> </w:t>
      </w:r>
      <w:r w:rsidRPr="00B677C8">
        <w:rPr>
          <w:strike/>
          <w:highlight w:val="yellow"/>
        </w:rPr>
        <w:t>Datenschutzbeauftragter</w:t>
      </w:r>
      <w:r w:rsidRPr="004C5626">
        <w:rPr>
          <w:highlight w:val="yellow"/>
        </w:rPr>
        <w:t xml:space="preserve"> des Anbieters am Arbeitskreis Datenschutz und Informationssicherheit (AK DIS) teilnimmt, der sich im Rahmen seiner beruflichen </w:t>
      </w:r>
      <w:r w:rsidRPr="004C5626">
        <w:rPr>
          <w:highlight w:val="yellow"/>
        </w:rPr>
        <w:lastRenderedPageBreak/>
        <w:t>Tätigkeit mit dem operativen Betrieb der vom Anbieter betriebenen Dienste befasst.</w:t>
      </w:r>
    </w:p>
    <w:p w:rsidR="004C5626" w:rsidRPr="0071250F" w:rsidRDefault="0071250F" w:rsidP="0071250F">
      <w:pPr>
        <w:pStyle w:val="gemStandard"/>
      </w:pPr>
      <w:r>
        <w:rPr>
          <w:b/>
          <w:highlight w:val="yellow"/>
        </w:rPr>
        <w:sym w:font="Wingdings" w:char="F0D5"/>
      </w:r>
    </w:p>
    <w:p w:rsidR="00AD319A" w:rsidRDefault="00AD319A" w:rsidP="0071250F">
      <w:pPr>
        <w:pStyle w:val="berschrift2"/>
      </w:pPr>
      <w:bookmarkStart w:id="148" w:name="_Toc503165508"/>
      <w:r>
        <w:t>Modul „Erweiterter TI-Datenschutzbericht“</w:t>
      </w:r>
      <w:bookmarkEnd w:id="148"/>
    </w:p>
    <w:p w:rsidR="00347EEA" w:rsidRDefault="00C654EE" w:rsidP="00C654EE">
      <w:pPr>
        <w:pStyle w:val="gemStandard"/>
      </w:pPr>
      <w:r>
        <w:t xml:space="preserve">Sind einem Anbieter die Module „TI-Datenschutzbericht“ und „Erweiterter TI-Datenschutzbericht“ zugeordnet, ist nur der im Modul „Erweiterter TI-Datenschutzbericht“ </w:t>
      </w:r>
      <w:proofErr w:type="gramStart"/>
      <w:r>
        <w:t>geforderte</w:t>
      </w:r>
      <w:proofErr w:type="gramEnd"/>
      <w:r>
        <w:t xml:space="preserve"> Datenschutzbericht (</w:t>
      </w:r>
      <w:r w:rsidRPr="007759C9">
        <w:rPr>
          <w:strike/>
          <w:highlight w:val="yellow"/>
        </w:rPr>
        <w:t>GS-A_4468_2</w:t>
      </w:r>
      <w:r w:rsidR="007759C9" w:rsidRPr="007759C9">
        <w:rPr>
          <w:highlight w:val="yellow"/>
        </w:rPr>
        <w:t xml:space="preserve"> GS-A_4468-02</w:t>
      </w:r>
      <w:r>
        <w:t xml:space="preserve">) zu erstellen. </w:t>
      </w:r>
    </w:p>
    <w:p w:rsidR="00AD319A" w:rsidRPr="00A74755" w:rsidRDefault="00AD319A" w:rsidP="00E75A16">
      <w:pPr>
        <w:pStyle w:val="gemStandard"/>
        <w:rPr>
          <w:rStyle w:val="gemStandardfettZchn"/>
        </w:rPr>
      </w:pPr>
      <w:r w:rsidRPr="00A74755">
        <w:rPr>
          <w:b/>
        </w:rPr>
        <w:sym w:font="Wingdings" w:char="F0D6"/>
      </w:r>
      <w:r w:rsidRPr="00A74755">
        <w:rPr>
          <w:b/>
        </w:rPr>
        <w:tab/>
      </w:r>
      <w:r w:rsidR="009E4C54" w:rsidRPr="009E4C54">
        <w:rPr>
          <w:rStyle w:val="gemStandardfettZchn"/>
          <w:highlight w:val="yellow"/>
        </w:rPr>
        <w:t>GS-A_4468-02</w:t>
      </w:r>
      <w:r w:rsidR="009E4C54">
        <w:rPr>
          <w:rStyle w:val="gemStandardfettZchn"/>
        </w:rPr>
        <w:t xml:space="preserve"> </w:t>
      </w:r>
      <w:proofErr w:type="spellStart"/>
      <w:r w:rsidRPr="00C72546">
        <w:rPr>
          <w:rStyle w:val="gemStandardfettZchn"/>
        </w:rPr>
        <w:t>kDSM</w:t>
      </w:r>
      <w:proofErr w:type="spellEnd"/>
      <w:r w:rsidRPr="00C72546">
        <w:rPr>
          <w:rStyle w:val="gemStandardfettZchn"/>
        </w:rPr>
        <w:t>: Jährlicher Datenschutz</w:t>
      </w:r>
      <w:r>
        <w:rPr>
          <w:rStyle w:val="gemStandardfettZchn"/>
        </w:rPr>
        <w:t>bericht</w:t>
      </w:r>
      <w:r w:rsidRPr="00C72546">
        <w:rPr>
          <w:rStyle w:val="gemStandardfettZchn"/>
        </w:rPr>
        <w:t xml:space="preserve"> der TI</w:t>
      </w:r>
    </w:p>
    <w:p w:rsidR="00AD319A" w:rsidRDefault="00AD319A" w:rsidP="00AD319A">
      <w:pPr>
        <w:pStyle w:val="gemEinzug"/>
        <w:kinsoku w:val="0"/>
        <w:ind w:left="709"/>
        <w:rPr>
          <w:lang w:eastAsia="ja-JP"/>
        </w:rPr>
      </w:pPr>
      <w:r>
        <w:rPr>
          <w:lang w:eastAsia="ja-JP"/>
        </w:rPr>
        <w:t xml:space="preserve">Der </w:t>
      </w:r>
      <w:r w:rsidRPr="0073547F">
        <w:rPr>
          <w:lang w:eastAsia="ja-JP"/>
        </w:rPr>
        <w:t xml:space="preserve">Anbieter </w:t>
      </w:r>
      <w:r>
        <w:rPr>
          <w:lang w:eastAsia="ja-JP"/>
        </w:rPr>
        <w:t>MUSS</w:t>
      </w:r>
      <w:r w:rsidRPr="0073547F">
        <w:rPr>
          <w:lang w:eastAsia="ja-JP"/>
        </w:rPr>
        <w:t xml:space="preserve"> </w:t>
      </w:r>
      <w:r>
        <w:rPr>
          <w:lang w:eastAsia="ja-JP"/>
        </w:rPr>
        <w:t xml:space="preserve">gewährleisten, dass der gematik jährlich (spätestens bis Ende Januar des Folgejahres) ein Jahresdatenschutzreport </w:t>
      </w:r>
      <w:r w:rsidRPr="00E85D78">
        <w:rPr>
          <w:lang w:eastAsia="ja-JP"/>
        </w:rPr>
        <w:t xml:space="preserve">bzgl. der vom Anbieter angebotenen </w:t>
      </w:r>
      <w:r w:rsidR="005A3ECA">
        <w:t xml:space="preserve">Dienste der TI </w:t>
      </w:r>
      <w:r>
        <w:rPr>
          <w:lang w:eastAsia="ja-JP"/>
        </w:rPr>
        <w:t>vorliegt, der mindestens folgende Inhalte enthält:</w:t>
      </w:r>
    </w:p>
    <w:p w:rsidR="00AD319A" w:rsidRDefault="00F465C6" w:rsidP="00AD319A">
      <w:pPr>
        <w:pStyle w:val="gemAufzhlung"/>
        <w:numPr>
          <w:ilvl w:val="0"/>
          <w:numId w:val="2"/>
        </w:numPr>
        <w:rPr>
          <w:lang w:eastAsia="ja-JP"/>
        </w:rPr>
      </w:pPr>
      <w:r>
        <w:rPr>
          <w:lang w:eastAsia="ja-JP"/>
        </w:rPr>
        <w:t>a</w:t>
      </w:r>
      <w:r w:rsidR="00AD319A">
        <w:rPr>
          <w:lang w:eastAsia="ja-JP"/>
        </w:rPr>
        <w:t>llgemeine Anbieterinformationen einschl. Kontaktinformationen des anbieterinternen Datenschutzmanagements (</w:t>
      </w:r>
      <w:r w:rsidR="00AD319A" w:rsidRPr="00CA3460">
        <w:t xml:space="preserve">wie Name </w:t>
      </w:r>
      <w:r w:rsidR="00AD319A">
        <w:t xml:space="preserve">des betrieblichen Datenschutzbeauftragten bzw. </w:t>
      </w:r>
      <w:r w:rsidR="00AD319A" w:rsidRPr="00CA3460">
        <w:t>eines Ansprechpartners, Stellvertreter, E-Mail-Adresse</w:t>
      </w:r>
      <w:r w:rsidR="00AD319A">
        <w:t>n</w:t>
      </w:r>
      <w:r w:rsidR="00AD319A" w:rsidRPr="00CA3460">
        <w:t>, Telefon</w:t>
      </w:r>
      <w:r w:rsidR="00AD319A">
        <w:t>nummern</w:t>
      </w:r>
      <w:r w:rsidR="00AD319A" w:rsidRPr="00CA3460">
        <w:t>, Anschrift, …</w:t>
      </w:r>
      <w:r w:rsidR="00AD319A">
        <w:rPr>
          <w:lang w:eastAsia="ja-JP"/>
        </w:rPr>
        <w:t xml:space="preserve">) sowie Angabe der für den Anbieter zuständigen </w:t>
      </w:r>
      <w:r w:rsidR="0060431D">
        <w:rPr>
          <w:lang w:eastAsia="ja-JP"/>
        </w:rPr>
        <w:t xml:space="preserve">datenschutzrechtlichen </w:t>
      </w:r>
      <w:r>
        <w:rPr>
          <w:lang w:eastAsia="ja-JP"/>
        </w:rPr>
        <w:t>Aufsichtsbehörde,</w:t>
      </w:r>
    </w:p>
    <w:p w:rsidR="00AD319A" w:rsidRDefault="00F465C6" w:rsidP="00AD319A">
      <w:pPr>
        <w:pStyle w:val="gemAufzhlung"/>
        <w:numPr>
          <w:ilvl w:val="0"/>
          <w:numId w:val="2"/>
        </w:numPr>
        <w:rPr>
          <w:lang w:eastAsia="ja-JP"/>
        </w:rPr>
      </w:pPr>
      <w:r>
        <w:rPr>
          <w:lang w:eastAsia="ja-JP"/>
        </w:rPr>
        <w:t xml:space="preserve">eine </w:t>
      </w:r>
      <w:r w:rsidR="00AD319A">
        <w:rPr>
          <w:lang w:eastAsia="ja-JP"/>
        </w:rPr>
        <w:t>Liste</w:t>
      </w:r>
      <w:r w:rsidR="008E5509">
        <w:rPr>
          <w:lang w:eastAsia="ja-JP"/>
        </w:rPr>
        <w:t xml:space="preserve"> der Verarbeitungsvorgänge nach</w:t>
      </w:r>
      <w:r w:rsidR="00AD319A">
        <w:rPr>
          <w:lang w:eastAsia="ja-JP"/>
        </w:rPr>
        <w:t xml:space="preserve"> Art. 35 Abs. 4 DSGVO mit Bezug zu </w:t>
      </w:r>
      <w:r w:rsidR="005A3ECA">
        <w:t>Diensten der TI</w:t>
      </w:r>
      <w:r w:rsidR="00AD319A">
        <w:rPr>
          <w:lang w:eastAsia="ja-JP"/>
        </w:rPr>
        <w:t>, für die eine Datenschutz-Folgenabschätzung durchgeführt wurde inkl. der Bewertung der Risiken gemäß Ar</w:t>
      </w:r>
      <w:r>
        <w:rPr>
          <w:lang w:eastAsia="ja-JP"/>
        </w:rPr>
        <w:t>t. 35 Abs. 7 Buchstabe c) DSGVO,</w:t>
      </w:r>
    </w:p>
    <w:p w:rsidR="00AD319A" w:rsidRDefault="00F465C6" w:rsidP="00AD319A">
      <w:pPr>
        <w:pStyle w:val="gemAufzhlung"/>
        <w:numPr>
          <w:ilvl w:val="0"/>
          <w:numId w:val="2"/>
        </w:numPr>
        <w:rPr>
          <w:lang w:eastAsia="ja-JP"/>
        </w:rPr>
      </w:pPr>
      <w:r>
        <w:rPr>
          <w:lang w:eastAsia="ja-JP"/>
        </w:rPr>
        <w:t xml:space="preserve">eine </w:t>
      </w:r>
      <w:r w:rsidR="00AD319A">
        <w:rPr>
          <w:lang w:eastAsia="ja-JP"/>
        </w:rPr>
        <w:t xml:space="preserve">Übersicht über die getroffenen technischen und organisatorischen Maßnahmen zur Umsetzung der </w:t>
      </w:r>
      <w:r w:rsidR="00AD319A" w:rsidRPr="00EC4337">
        <w:rPr>
          <w:lang w:eastAsia="ja-JP"/>
        </w:rPr>
        <w:t>Grundsätze für die Verarb</w:t>
      </w:r>
      <w:r w:rsidR="008E5509">
        <w:rPr>
          <w:lang w:eastAsia="ja-JP"/>
        </w:rPr>
        <w:t>eitung personenbezogener Daten entsprechend</w:t>
      </w:r>
      <w:r w:rsidR="00AD319A">
        <w:rPr>
          <w:lang w:eastAsia="ja-JP"/>
        </w:rPr>
        <w:t xml:space="preserve"> Art. 5 DSGVO</w:t>
      </w:r>
      <w:r>
        <w:rPr>
          <w:lang w:eastAsia="ja-JP"/>
        </w:rPr>
        <w:t>,</w:t>
      </w:r>
    </w:p>
    <w:p w:rsidR="00AD319A" w:rsidRDefault="00F465C6" w:rsidP="00AD319A">
      <w:pPr>
        <w:pStyle w:val="gemAufzhlung"/>
        <w:numPr>
          <w:ilvl w:val="0"/>
          <w:numId w:val="2"/>
        </w:numPr>
        <w:rPr>
          <w:lang w:eastAsia="ja-JP"/>
        </w:rPr>
      </w:pPr>
      <w:r>
        <w:rPr>
          <w:lang w:eastAsia="ja-JP"/>
        </w:rPr>
        <w:t xml:space="preserve">eine </w:t>
      </w:r>
      <w:r w:rsidR="00AD319A">
        <w:rPr>
          <w:lang w:eastAsia="ja-JP"/>
        </w:rPr>
        <w:t xml:space="preserve">Übersicht über die Umsetzung der technischen und organisatorischen Maßnahmen </w:t>
      </w:r>
      <w:r w:rsidR="008E5509">
        <w:rPr>
          <w:lang w:eastAsia="ja-JP"/>
        </w:rPr>
        <w:t>entsprechend</w:t>
      </w:r>
      <w:r w:rsidR="00AD319A">
        <w:rPr>
          <w:lang w:eastAsia="ja-JP"/>
        </w:rPr>
        <w:t xml:space="preserve"> Art. 32 DSGVO zum Schutz der personenbezogenen Daten in </w:t>
      </w:r>
      <w:r w:rsidR="005A3ECA">
        <w:rPr>
          <w:lang w:eastAsia="ja-JP"/>
        </w:rPr>
        <w:t>den Diensten der TI</w:t>
      </w:r>
      <w:r>
        <w:rPr>
          <w:lang w:eastAsia="ja-JP"/>
        </w:rPr>
        <w:t>,</w:t>
      </w:r>
    </w:p>
    <w:p w:rsidR="00AD319A" w:rsidRDefault="00F465C6" w:rsidP="00AD319A">
      <w:pPr>
        <w:pStyle w:val="gemAufzhlung"/>
        <w:numPr>
          <w:ilvl w:val="0"/>
          <w:numId w:val="2"/>
        </w:numPr>
        <w:rPr>
          <w:lang w:eastAsia="ja-JP"/>
        </w:rPr>
      </w:pPr>
      <w:r>
        <w:rPr>
          <w:lang w:eastAsia="ja-JP"/>
        </w:rPr>
        <w:t xml:space="preserve">eine </w:t>
      </w:r>
      <w:r w:rsidR="00AD319A">
        <w:rPr>
          <w:lang w:eastAsia="ja-JP"/>
        </w:rPr>
        <w:t xml:space="preserve">Übersicht </w:t>
      </w:r>
      <w:r w:rsidR="00AD319A">
        <w:t xml:space="preserve">der </w:t>
      </w:r>
      <w:r w:rsidR="00AD319A">
        <w:rPr>
          <w:lang w:eastAsia="ja-JP"/>
        </w:rPr>
        <w:t>durchgeführten Audits mit thematischem Inhalt,</w:t>
      </w:r>
      <w:r w:rsidR="00AD319A" w:rsidRPr="004D6A51">
        <w:rPr>
          <w:lang w:eastAsia="ja-JP"/>
        </w:rPr>
        <w:t xml:space="preserve"> </w:t>
      </w:r>
      <w:r w:rsidR="00AD319A">
        <w:rPr>
          <w:lang w:eastAsia="ja-JP"/>
        </w:rPr>
        <w:t xml:space="preserve">bei denen </w:t>
      </w:r>
      <w:r w:rsidR="005A3ECA">
        <w:rPr>
          <w:lang w:eastAsia="ja-JP"/>
        </w:rPr>
        <w:t>Dienste der TI</w:t>
      </w:r>
      <w:r>
        <w:rPr>
          <w:lang w:eastAsia="ja-JP"/>
        </w:rPr>
        <w:t xml:space="preserve"> betroffen waren,</w:t>
      </w:r>
    </w:p>
    <w:p w:rsidR="00AD319A" w:rsidRDefault="00F465C6" w:rsidP="00AD319A">
      <w:pPr>
        <w:pStyle w:val="gemAufzhlung"/>
        <w:numPr>
          <w:ilvl w:val="0"/>
          <w:numId w:val="2"/>
        </w:numPr>
        <w:rPr>
          <w:lang w:eastAsia="ja-JP"/>
        </w:rPr>
      </w:pPr>
      <w:r>
        <w:rPr>
          <w:lang w:eastAsia="ja-JP"/>
        </w:rPr>
        <w:t xml:space="preserve">eine </w:t>
      </w:r>
      <w:r w:rsidR="00AD319A">
        <w:rPr>
          <w:lang w:eastAsia="ja-JP"/>
        </w:rPr>
        <w:t xml:space="preserve">Übersicht </w:t>
      </w:r>
      <w:r w:rsidR="00AD319A" w:rsidRPr="00142AED">
        <w:t xml:space="preserve">über die Anzahl der </w:t>
      </w:r>
      <w:r w:rsidR="00AD319A">
        <w:rPr>
          <w:lang w:eastAsia="ja-JP"/>
        </w:rPr>
        <w:t>aufgetretenen Datenschutzverstöße</w:t>
      </w:r>
      <w:r w:rsidR="008E5509">
        <w:rPr>
          <w:lang w:eastAsia="ja-JP"/>
        </w:rPr>
        <w:t>, die die Voraussetzungen</w:t>
      </w:r>
      <w:r w:rsidR="00AD319A">
        <w:rPr>
          <w:lang w:eastAsia="ja-JP"/>
        </w:rPr>
        <w:t xml:space="preserve"> nach Art. 83 Abs. 4, 5 und 6 DSGVO</w:t>
      </w:r>
      <w:r w:rsidR="008E5509">
        <w:rPr>
          <w:lang w:eastAsia="ja-JP"/>
        </w:rPr>
        <w:t xml:space="preserve"> erfüllen</w:t>
      </w:r>
      <w:r w:rsidR="00AD319A">
        <w:rPr>
          <w:lang w:eastAsia="ja-JP"/>
        </w:rPr>
        <w:t xml:space="preserve">, bei denen </w:t>
      </w:r>
      <w:r w:rsidR="005A3ECA">
        <w:rPr>
          <w:lang w:eastAsia="ja-JP"/>
        </w:rPr>
        <w:t xml:space="preserve">Dienste der TI </w:t>
      </w:r>
      <w:r w:rsidR="00AD319A">
        <w:rPr>
          <w:lang w:eastAsia="ja-JP"/>
        </w:rPr>
        <w:t>betroffen waren; hierbei ist jeweils anzugeben, gegen we</w:t>
      </w:r>
      <w:r>
        <w:rPr>
          <w:lang w:eastAsia="ja-JP"/>
        </w:rPr>
        <w:t>lche Bestimmung verstoßen wurde,</w:t>
      </w:r>
    </w:p>
    <w:p w:rsidR="00AD319A" w:rsidRDefault="00F465C6" w:rsidP="00AD319A">
      <w:pPr>
        <w:pStyle w:val="gemAufzhlung"/>
        <w:numPr>
          <w:ilvl w:val="0"/>
          <w:numId w:val="2"/>
        </w:numPr>
        <w:rPr>
          <w:lang w:eastAsia="ja-JP"/>
        </w:rPr>
      </w:pPr>
      <w:r>
        <w:rPr>
          <w:lang w:eastAsia="ja-JP"/>
        </w:rPr>
        <w:t xml:space="preserve">eine </w:t>
      </w:r>
      <w:r w:rsidR="00AD319A">
        <w:rPr>
          <w:lang w:eastAsia="ja-JP"/>
        </w:rPr>
        <w:t>Übersicht über die Anzahl der aufgetretenen Verletzungen des Schutzes personenbezogener Daten</w:t>
      </w:r>
      <w:r w:rsidR="008E5509">
        <w:rPr>
          <w:lang w:eastAsia="ja-JP"/>
        </w:rPr>
        <w:t>, die die Voraussetzungen</w:t>
      </w:r>
      <w:r w:rsidR="00AD319A">
        <w:rPr>
          <w:lang w:eastAsia="ja-JP"/>
        </w:rPr>
        <w:t xml:space="preserve"> gemäß Art. 33 und 34 DSGVO</w:t>
      </w:r>
      <w:r w:rsidR="00146092">
        <w:rPr>
          <w:lang w:eastAsia="ja-JP"/>
        </w:rPr>
        <w:t xml:space="preserve"> </w:t>
      </w:r>
      <w:r w:rsidR="008E5509">
        <w:rPr>
          <w:lang w:eastAsia="ja-JP"/>
        </w:rPr>
        <w:t>erfüllen</w:t>
      </w:r>
      <w:r w:rsidR="00AD319A">
        <w:rPr>
          <w:lang w:eastAsia="ja-JP"/>
        </w:rPr>
        <w:t xml:space="preserve">, </w:t>
      </w:r>
      <w:r w:rsidR="00AD319A" w:rsidRPr="002D5046">
        <w:rPr>
          <w:lang w:eastAsia="ja-JP"/>
        </w:rPr>
        <w:t xml:space="preserve">bei denen </w:t>
      </w:r>
      <w:r w:rsidR="005A3ECA">
        <w:rPr>
          <w:lang w:eastAsia="ja-JP"/>
        </w:rPr>
        <w:t>Dienste der TI</w:t>
      </w:r>
      <w:r w:rsidR="00AD319A" w:rsidRPr="002D5046">
        <w:rPr>
          <w:lang w:eastAsia="ja-JP"/>
        </w:rPr>
        <w:t xml:space="preserve"> betroffen waren</w:t>
      </w:r>
      <w:r>
        <w:rPr>
          <w:lang w:eastAsia="ja-JP"/>
        </w:rPr>
        <w:t>,</w:t>
      </w:r>
      <w:r w:rsidR="00556D48">
        <w:rPr>
          <w:lang w:eastAsia="ja-JP"/>
        </w:rPr>
        <w:t xml:space="preserve"> </w:t>
      </w:r>
    </w:p>
    <w:p w:rsidR="00AD319A" w:rsidRDefault="00F465C6" w:rsidP="00AD319A">
      <w:pPr>
        <w:pStyle w:val="gemAufzhlung"/>
        <w:numPr>
          <w:ilvl w:val="0"/>
          <w:numId w:val="2"/>
        </w:numPr>
        <w:rPr>
          <w:lang w:eastAsia="ja-JP"/>
        </w:rPr>
      </w:pPr>
      <w:r>
        <w:t xml:space="preserve">eine </w:t>
      </w:r>
      <w:r w:rsidR="00AD319A" w:rsidRPr="00142AED">
        <w:t>Übersicht</w:t>
      </w:r>
      <w:r w:rsidR="00AD319A">
        <w:rPr>
          <w:b/>
        </w:rPr>
        <w:t xml:space="preserve"> </w:t>
      </w:r>
      <w:r w:rsidR="00AD319A" w:rsidRPr="00142AED">
        <w:t xml:space="preserve">über die Anzahl </w:t>
      </w:r>
      <w:r>
        <w:t xml:space="preserve">der </w:t>
      </w:r>
      <w:r w:rsidR="00AD319A" w:rsidRPr="00142AED">
        <w:t>von Betroffenen</w:t>
      </w:r>
      <w:r w:rsidR="00AD319A">
        <w:t xml:space="preserve"> gestellten Anfragen zur Wahrnehmung der Betroffenenrechte aufgeschlüsselt nach Art. 15 (Auskunft), Art. 16 (Berichtigung), Art. 17 (Löschung), Art. 18 </w:t>
      </w:r>
      <w:r w:rsidR="00AD319A">
        <w:lastRenderedPageBreak/>
        <w:t>(Einschränkung), Art. 20 (Datenübertragbarkeit) und Art. 21 (Widerspruch)</w:t>
      </w:r>
      <w:r w:rsidR="00556D48">
        <w:t xml:space="preserve"> </w:t>
      </w:r>
      <w:r w:rsidR="00AD319A">
        <w:t xml:space="preserve">DSGVO, bezogen auf </w:t>
      </w:r>
      <w:r w:rsidR="005A3ECA">
        <w:rPr>
          <w:lang w:eastAsia="ja-JP"/>
        </w:rPr>
        <w:t>Dienste der TI</w:t>
      </w:r>
      <w:r w:rsidR="00AD319A">
        <w:t>.</w:t>
      </w:r>
      <w:r w:rsidR="008E5509">
        <w:t xml:space="preserve"> Sofern die DSGVO nicht anwendbar ist, sind die vorstehenden Angab</w:t>
      </w:r>
      <w:r>
        <w:t>en entsprechend bereitzustellen,</w:t>
      </w:r>
    </w:p>
    <w:p w:rsidR="00AD319A" w:rsidRPr="00C13913" w:rsidRDefault="00F465C6" w:rsidP="00AD319A">
      <w:pPr>
        <w:pStyle w:val="gemAufzhlung"/>
        <w:numPr>
          <w:ilvl w:val="0"/>
          <w:numId w:val="2"/>
        </w:numPr>
        <w:rPr>
          <w:lang w:eastAsia="ja-JP"/>
        </w:rPr>
      </w:pPr>
      <w:r>
        <w:t xml:space="preserve">den </w:t>
      </w:r>
      <w:r w:rsidR="00AD319A" w:rsidRPr="00DE3740">
        <w:t xml:space="preserve">Anteil der fehlerhaft adressierten Datenschutz-Anfragen </w:t>
      </w:r>
      <w:r w:rsidR="00AD319A">
        <w:t>(d.</w:t>
      </w:r>
      <w:r>
        <w:t> </w:t>
      </w:r>
      <w:r w:rsidR="00AD319A">
        <w:t>h.</w:t>
      </w:r>
      <w:r w:rsidR="00AD319A" w:rsidRPr="00CB794C">
        <w:t xml:space="preserve"> Anfragen, für die </w:t>
      </w:r>
      <w:r w:rsidR="00AD319A">
        <w:t>der Anbieter</w:t>
      </w:r>
      <w:r w:rsidR="00AD319A" w:rsidRPr="00CB794C">
        <w:t xml:space="preserve"> nicht </w:t>
      </w:r>
      <w:r w:rsidR="00AD319A">
        <w:t>Verantwortlicher ist)</w:t>
      </w:r>
      <w:r w:rsidR="00FB73B1">
        <w:t xml:space="preserve"> im Verhältnis</w:t>
      </w:r>
      <w:r w:rsidR="00AD319A">
        <w:t xml:space="preserve"> zur Gesamtzahl der Datenschutz-Anfragen </w:t>
      </w:r>
      <w:r w:rsidR="00AD319A" w:rsidRPr="00DC0F89">
        <w:rPr>
          <w:lang w:eastAsia="ja-JP"/>
        </w:rPr>
        <w:t>bzgl. der i</w:t>
      </w:r>
      <w:r w:rsidR="00AD319A">
        <w:rPr>
          <w:lang w:eastAsia="ja-JP"/>
        </w:rPr>
        <w:t xml:space="preserve">m </w:t>
      </w:r>
      <w:r w:rsidR="00AD319A" w:rsidRPr="00DC0F89">
        <w:rPr>
          <w:lang w:eastAsia="ja-JP"/>
        </w:rPr>
        <w:t>Verantwortungsbereich</w:t>
      </w:r>
      <w:r w:rsidR="00AD319A">
        <w:rPr>
          <w:lang w:eastAsia="ja-JP"/>
        </w:rPr>
        <w:t xml:space="preserve"> des Anbieters</w:t>
      </w:r>
      <w:r w:rsidR="00AD319A" w:rsidRPr="00DC0F89">
        <w:rPr>
          <w:lang w:eastAsia="ja-JP"/>
        </w:rPr>
        <w:t xml:space="preserve"> liegenden </w:t>
      </w:r>
      <w:r w:rsidR="005A3ECA">
        <w:rPr>
          <w:lang w:eastAsia="ja-JP"/>
        </w:rPr>
        <w:t>Dienste der TI</w:t>
      </w:r>
      <w:r w:rsidR="005210D5">
        <w:rPr>
          <w:b/>
        </w:rPr>
        <w:t>,</w:t>
      </w:r>
      <w:r w:rsidR="00AD319A">
        <w:rPr>
          <w:b/>
        </w:rPr>
        <w:t xml:space="preserve"> </w:t>
      </w:r>
    </w:p>
    <w:p w:rsidR="00AD319A" w:rsidRDefault="005210D5" w:rsidP="00AD319A">
      <w:pPr>
        <w:pStyle w:val="gemAufzhlung"/>
        <w:numPr>
          <w:ilvl w:val="0"/>
          <w:numId w:val="2"/>
        </w:numPr>
        <w:rPr>
          <w:lang w:eastAsia="ja-JP"/>
        </w:rPr>
      </w:pPr>
      <w:r>
        <w:rPr>
          <w:lang w:eastAsia="ja-JP"/>
        </w:rPr>
        <w:t xml:space="preserve">eine </w:t>
      </w:r>
      <w:r w:rsidR="00AD319A">
        <w:rPr>
          <w:lang w:eastAsia="ja-JP"/>
        </w:rPr>
        <w:t xml:space="preserve">Übersicht über die durchschnittliche Bearbeitungszeit </w:t>
      </w:r>
      <w:r w:rsidR="00AD319A" w:rsidRPr="00DC0F89">
        <w:rPr>
          <w:lang w:eastAsia="ja-JP"/>
        </w:rPr>
        <w:t xml:space="preserve">von korrekt an den Anbieter im Berichtszeitraum adressierten Datenschutz-Anfragen bzgl. </w:t>
      </w:r>
      <w:r w:rsidR="005A3ECA">
        <w:rPr>
          <w:lang w:eastAsia="ja-JP"/>
        </w:rPr>
        <w:t>der Dienste der TI</w:t>
      </w:r>
      <w:r w:rsidR="00AD319A" w:rsidRPr="00DC0F89">
        <w:rPr>
          <w:lang w:eastAsia="ja-JP"/>
        </w:rPr>
        <w:t xml:space="preserve"> (Zeitspanne vom Eingang der Anfrage beim Anbieter bis zum Abschluss des Vorgangs beim Anbieter)</w:t>
      </w:r>
      <w:r>
        <w:rPr>
          <w:lang w:eastAsia="ja-JP"/>
        </w:rPr>
        <w:t>,</w:t>
      </w:r>
      <w:r w:rsidR="00AD319A">
        <w:rPr>
          <w:lang w:eastAsia="ja-JP"/>
        </w:rPr>
        <w:t xml:space="preserve"> </w:t>
      </w:r>
    </w:p>
    <w:p w:rsidR="00AD319A" w:rsidRDefault="005210D5" w:rsidP="00AD319A">
      <w:pPr>
        <w:pStyle w:val="gemAufzhlung"/>
        <w:numPr>
          <w:ilvl w:val="0"/>
          <w:numId w:val="2"/>
        </w:numPr>
        <w:rPr>
          <w:lang w:eastAsia="ja-JP"/>
        </w:rPr>
      </w:pPr>
      <w:r>
        <w:t xml:space="preserve">eine </w:t>
      </w:r>
      <w:r w:rsidR="00AD319A">
        <w:t xml:space="preserve">Übersicht über die </w:t>
      </w:r>
      <w:r w:rsidR="0060431D">
        <w:t xml:space="preserve">Anzahl der </w:t>
      </w:r>
      <w:r w:rsidR="00AD319A">
        <w:t xml:space="preserve">gemäß Art. 14 und Art. 19 DSGVO erteilten Auskünfte </w:t>
      </w:r>
      <w:r>
        <w:t>ggü.</w:t>
      </w:r>
      <w:r w:rsidR="00AD319A">
        <w:t xml:space="preserve"> Betroffene</w:t>
      </w:r>
      <w:r>
        <w:t>n</w:t>
      </w:r>
      <w:r w:rsidR="00AD319A">
        <w:t xml:space="preserve"> bezogen auf </w:t>
      </w:r>
      <w:r w:rsidR="005A3ECA">
        <w:rPr>
          <w:lang w:eastAsia="ja-JP"/>
        </w:rPr>
        <w:t>Dienste der TI</w:t>
      </w:r>
      <w:r w:rsidR="00AD319A">
        <w:t>.</w:t>
      </w:r>
      <w:r w:rsidR="008E5509">
        <w:t xml:space="preserve"> Sofern die DSGVO nicht anwendbar ist, sind die vorstehenden Angaben entsprechend bereitz</w:t>
      </w:r>
      <w:r>
        <w:t>ustellen,</w:t>
      </w:r>
    </w:p>
    <w:p w:rsidR="00450D80" w:rsidRDefault="005210D5" w:rsidP="00AD319A">
      <w:pPr>
        <w:pStyle w:val="gemAufzhlung"/>
        <w:numPr>
          <w:ilvl w:val="0"/>
          <w:numId w:val="2"/>
        </w:numPr>
        <w:rPr>
          <w:lang w:eastAsia="ja-JP"/>
        </w:rPr>
      </w:pPr>
      <w:r>
        <w:t xml:space="preserve">eine </w:t>
      </w:r>
      <w:r w:rsidR="00AD319A">
        <w:t xml:space="preserve">Übersicht über die Anzahl der von Betroffenen eingereichten Beschwerden gem. Art. 77 DSGVO, die den Anbieter als Betreiber eines </w:t>
      </w:r>
      <w:r w:rsidR="005A3ECA">
        <w:rPr>
          <w:lang w:eastAsia="ja-JP"/>
        </w:rPr>
        <w:t>Dienstes der TI</w:t>
      </w:r>
      <w:r w:rsidR="00AD319A">
        <w:t xml:space="preserve"> betreffen</w:t>
      </w:r>
      <w:r>
        <w:t>,</w:t>
      </w:r>
      <w:r w:rsidR="00AD319A" w:rsidRPr="00142AED">
        <w:t xml:space="preserve"> </w:t>
      </w:r>
    </w:p>
    <w:p w:rsidR="00AD319A" w:rsidRDefault="00691A72" w:rsidP="00AD319A">
      <w:pPr>
        <w:pStyle w:val="gemAufzhlung"/>
        <w:numPr>
          <w:ilvl w:val="0"/>
          <w:numId w:val="2"/>
        </w:numPr>
        <w:rPr>
          <w:lang w:eastAsia="ja-JP"/>
        </w:rPr>
      </w:pPr>
      <w:r>
        <w:rPr>
          <w:lang w:eastAsia="ja-JP"/>
        </w:rPr>
        <w:t xml:space="preserve">eine </w:t>
      </w:r>
      <w:r w:rsidR="00AD319A">
        <w:rPr>
          <w:lang w:eastAsia="ja-JP"/>
        </w:rPr>
        <w:t xml:space="preserve">Liste der Auftragsverarbeiter, die </w:t>
      </w:r>
      <w:r w:rsidR="005A3ECA">
        <w:rPr>
          <w:lang w:eastAsia="ja-JP"/>
        </w:rPr>
        <w:t>Dienste der TI</w:t>
      </w:r>
      <w:r w:rsidR="00AD319A">
        <w:rPr>
          <w:lang w:eastAsia="ja-JP"/>
        </w:rPr>
        <w:t xml:space="preserve"> betreiben; zusätzlich ggf. für jeden Auftragsverarbeiter die von ihm beauftragt</w:t>
      </w:r>
      <w:r>
        <w:rPr>
          <w:lang w:eastAsia="ja-JP"/>
        </w:rPr>
        <w:t>en weiteren Auftragsverarbeiter,</w:t>
      </w:r>
    </w:p>
    <w:p w:rsidR="00AD319A" w:rsidRDefault="00691A72" w:rsidP="00AD319A">
      <w:pPr>
        <w:pStyle w:val="gemAufzhlung"/>
        <w:numPr>
          <w:ilvl w:val="0"/>
          <w:numId w:val="2"/>
        </w:numPr>
        <w:rPr>
          <w:lang w:eastAsia="ja-JP"/>
        </w:rPr>
      </w:pPr>
      <w:r>
        <w:rPr>
          <w:lang w:eastAsia="ja-JP"/>
        </w:rPr>
        <w:t xml:space="preserve">eine </w:t>
      </w:r>
      <w:r w:rsidR="00AD319A">
        <w:rPr>
          <w:lang w:eastAsia="ja-JP"/>
        </w:rPr>
        <w:t>Übersicht der durchgeführten Schulungen der Mitarbeiter zum Datenschu</w:t>
      </w:r>
      <w:r>
        <w:rPr>
          <w:lang w:eastAsia="ja-JP"/>
        </w:rPr>
        <w:t>tz (Dauer, thematische Inhalte),</w:t>
      </w:r>
    </w:p>
    <w:p w:rsidR="0071250F" w:rsidRDefault="00691A72" w:rsidP="00AD319A">
      <w:pPr>
        <w:pStyle w:val="gemAufzhlung"/>
        <w:numPr>
          <w:ilvl w:val="0"/>
          <w:numId w:val="2"/>
        </w:numPr>
        <w:rPr>
          <w:b/>
        </w:rPr>
      </w:pPr>
      <w:r>
        <w:rPr>
          <w:lang w:eastAsia="ja-JP"/>
        </w:rPr>
        <w:t xml:space="preserve">eine </w:t>
      </w:r>
      <w:r w:rsidR="0060431D">
        <w:rPr>
          <w:lang w:eastAsia="ja-JP"/>
        </w:rPr>
        <w:t>Selbste</w:t>
      </w:r>
      <w:r w:rsidR="00AD319A">
        <w:rPr>
          <w:lang w:eastAsia="ja-JP"/>
        </w:rPr>
        <w:t xml:space="preserve">inschätzung, ob es Umsetzungsprobleme mit den Anforderungen des Datenschutzes der TI bzgl. der vom Anbieter betriebenen </w:t>
      </w:r>
      <w:r w:rsidR="005A3ECA">
        <w:rPr>
          <w:lang w:eastAsia="ja-JP"/>
        </w:rPr>
        <w:t>Dienste der TI</w:t>
      </w:r>
      <w:r w:rsidR="00AD319A">
        <w:rPr>
          <w:lang w:eastAsia="ja-JP"/>
        </w:rPr>
        <w:t xml:space="preserve"> gibt.</w:t>
      </w:r>
    </w:p>
    <w:p w:rsidR="00AD319A" w:rsidRPr="0071250F" w:rsidRDefault="0071250F" w:rsidP="0071250F">
      <w:pPr>
        <w:pStyle w:val="gemStandard"/>
        <w:rPr>
          <w:lang w:eastAsia="ja-JP"/>
        </w:rPr>
      </w:pPr>
      <w:r>
        <w:rPr>
          <w:b/>
        </w:rPr>
        <w:sym w:font="Wingdings" w:char="F0D5"/>
      </w:r>
    </w:p>
    <w:p w:rsidR="00C654EE" w:rsidRDefault="00C654EE" w:rsidP="001A5AC8">
      <w:pPr>
        <w:pStyle w:val="gemStandard"/>
      </w:pPr>
      <w:r>
        <w:t>Die im Datenschutzreport genannten Auftragsverarbeiter sind jährlich vom Anbieter zu kontrollieren.</w:t>
      </w:r>
    </w:p>
    <w:p w:rsidR="00C654EE" w:rsidRPr="00A74755" w:rsidRDefault="00C654EE" w:rsidP="00C654EE">
      <w:pPr>
        <w:pStyle w:val="gemEinzug"/>
        <w:ind w:left="708" w:hanging="708"/>
        <w:rPr>
          <w:rStyle w:val="gemStandardfettZchn"/>
        </w:rPr>
      </w:pPr>
      <w:r w:rsidRPr="00A74755">
        <w:rPr>
          <w:b/>
        </w:rPr>
        <w:sym w:font="Wingdings" w:char="F0D6"/>
      </w:r>
      <w:r w:rsidRPr="00A74755">
        <w:rPr>
          <w:b/>
        </w:rPr>
        <w:tab/>
      </w:r>
      <w:r w:rsidRPr="00DE6150">
        <w:rPr>
          <w:rStyle w:val="gemStandardfettZchn"/>
        </w:rPr>
        <w:t>GS-A_2214</w:t>
      </w:r>
      <w:r w:rsidR="007759C9" w:rsidRPr="007759C9">
        <w:rPr>
          <w:rStyle w:val="gemStandardfettZchn"/>
          <w:highlight w:val="yellow"/>
        </w:rPr>
        <w:t>-01</w:t>
      </w:r>
      <w:r w:rsidRPr="00A74755">
        <w:rPr>
          <w:rStyle w:val="gemStandardfettZchn"/>
        </w:rPr>
        <w:t xml:space="preserve"> </w:t>
      </w:r>
      <w:proofErr w:type="spellStart"/>
      <w:r>
        <w:rPr>
          <w:rStyle w:val="gemStandardfettZchn"/>
        </w:rPr>
        <w:t>kDSM</w:t>
      </w:r>
      <w:proofErr w:type="spellEnd"/>
      <w:r>
        <w:rPr>
          <w:rStyle w:val="gemStandardfettZchn"/>
        </w:rPr>
        <w:t xml:space="preserve">: </w:t>
      </w:r>
      <w:r w:rsidRPr="00DE6150">
        <w:rPr>
          <w:rStyle w:val="gemStandardfettZchn"/>
        </w:rPr>
        <w:t xml:space="preserve">Anbieter müssen jährlich die </w:t>
      </w:r>
      <w:r>
        <w:rPr>
          <w:rStyle w:val="gemStandardfettZchn"/>
        </w:rPr>
        <w:t>Auftragsverarbeiter</w:t>
      </w:r>
      <w:r w:rsidRPr="00DE6150">
        <w:rPr>
          <w:rStyle w:val="gemStandardfettZchn"/>
        </w:rPr>
        <w:t xml:space="preserve"> kontrollieren</w:t>
      </w:r>
    </w:p>
    <w:p w:rsidR="0071250F" w:rsidRDefault="00C654EE" w:rsidP="00C654EE">
      <w:pPr>
        <w:pStyle w:val="gemEinzug"/>
        <w:kinsoku w:val="0"/>
        <w:ind w:left="709"/>
        <w:rPr>
          <w:b/>
        </w:rPr>
      </w:pPr>
      <w:r>
        <w:rPr>
          <w:lang w:eastAsia="ja-JP"/>
        </w:rPr>
        <w:t xml:space="preserve">Falls der Anbieter Auftragsverarbeiter i.S. des Art. 4 Nr. 8 DSGVO beauftragt hat, </w:t>
      </w:r>
      <w:r w:rsidRPr="00DE6150">
        <w:rPr>
          <w:lang w:eastAsia="ja-JP"/>
        </w:rPr>
        <w:t xml:space="preserve">MUSS </w:t>
      </w:r>
      <w:r>
        <w:rPr>
          <w:lang w:eastAsia="ja-JP"/>
        </w:rPr>
        <w:t xml:space="preserve">er </w:t>
      </w:r>
      <w:r w:rsidRPr="00DE6150">
        <w:rPr>
          <w:lang w:eastAsia="ja-JP"/>
        </w:rPr>
        <w:t xml:space="preserve">sich jährlich bei </w:t>
      </w:r>
      <w:r>
        <w:rPr>
          <w:lang w:eastAsia="ja-JP"/>
        </w:rPr>
        <w:t xml:space="preserve">den </w:t>
      </w:r>
      <w:r w:rsidRPr="008E3AC5">
        <w:rPr>
          <w:lang w:eastAsia="ja-JP"/>
        </w:rPr>
        <w:t xml:space="preserve">beauftragten </w:t>
      </w:r>
      <w:r>
        <w:rPr>
          <w:lang w:eastAsia="ja-JP"/>
        </w:rPr>
        <w:t xml:space="preserve">Auftragsverarbeitern </w:t>
      </w:r>
      <w:r w:rsidRPr="00DE6150">
        <w:rPr>
          <w:lang w:eastAsia="ja-JP"/>
        </w:rPr>
        <w:t xml:space="preserve">von der Einhaltung der von den </w:t>
      </w:r>
      <w:proofErr w:type="spellStart"/>
      <w:r>
        <w:rPr>
          <w:lang w:eastAsia="ja-JP"/>
        </w:rPr>
        <w:t>Auftragsverarbeitern</w:t>
      </w:r>
      <w:proofErr w:type="spellEnd"/>
      <w:r w:rsidRPr="00DE6150">
        <w:rPr>
          <w:lang w:eastAsia="ja-JP"/>
        </w:rPr>
        <w:t xml:space="preserve"> getroffenen Maßnahmen überzeugen.</w:t>
      </w:r>
    </w:p>
    <w:p w:rsidR="00C654EE" w:rsidRPr="0071250F" w:rsidRDefault="0071250F" w:rsidP="0071250F">
      <w:pPr>
        <w:pStyle w:val="gemStandard"/>
      </w:pPr>
      <w:r>
        <w:rPr>
          <w:b/>
        </w:rPr>
        <w:sym w:font="Wingdings" w:char="F0D5"/>
      </w:r>
    </w:p>
    <w:p w:rsidR="00876354" w:rsidRDefault="00876354" w:rsidP="00876354">
      <w:pPr>
        <w:pStyle w:val="gemEinzug"/>
        <w:ind w:left="708" w:hanging="708"/>
        <w:rPr>
          <w:rStyle w:val="gemStandardfettZchn"/>
        </w:rPr>
      </w:pPr>
      <w:r w:rsidRPr="00A74755" w:rsidDel="00590FC3">
        <w:rPr>
          <w:b/>
        </w:rPr>
        <w:sym w:font="Wingdings" w:char="F0D6"/>
      </w:r>
      <w:r w:rsidRPr="00A74755" w:rsidDel="00590FC3">
        <w:rPr>
          <w:b/>
        </w:rPr>
        <w:tab/>
      </w:r>
      <w:r w:rsidR="007759C9" w:rsidRPr="007759C9">
        <w:rPr>
          <w:rStyle w:val="gemStandardfettZchn"/>
          <w:highlight w:val="yellow"/>
        </w:rPr>
        <w:t>GS-A_5566</w:t>
      </w:r>
      <w:r w:rsidR="007759C9">
        <w:rPr>
          <w:rStyle w:val="gemStandardfettZchn"/>
        </w:rPr>
        <w:t xml:space="preserve"> </w:t>
      </w:r>
      <w:proofErr w:type="spellStart"/>
      <w:r w:rsidDel="00590FC3">
        <w:rPr>
          <w:rStyle w:val="gemStandardfettZchn"/>
        </w:rPr>
        <w:t>kDSM</w:t>
      </w:r>
      <w:proofErr w:type="spellEnd"/>
      <w:r w:rsidDel="00590FC3">
        <w:rPr>
          <w:rStyle w:val="gemStandardfettZchn"/>
        </w:rPr>
        <w:t xml:space="preserve">: </w:t>
      </w:r>
      <w:r w:rsidRPr="002F4D3C" w:rsidDel="00590FC3">
        <w:rPr>
          <w:rStyle w:val="gemStandardfettZchn"/>
        </w:rPr>
        <w:t xml:space="preserve">Sicherstellung der Datenschutzanforderungen in </w:t>
      </w:r>
      <w:r w:rsidDel="00590FC3">
        <w:rPr>
          <w:rStyle w:val="gemStandardfettZchn"/>
        </w:rPr>
        <w:t>Unterbeauftra</w:t>
      </w:r>
      <w:r w:rsidRPr="002F4D3C" w:rsidDel="00590FC3">
        <w:rPr>
          <w:rStyle w:val="gemStandardfettZchn"/>
        </w:rPr>
        <w:t>gungsverhältnissen</w:t>
      </w:r>
    </w:p>
    <w:p w:rsidR="0071250F" w:rsidRDefault="00876354" w:rsidP="00876354">
      <w:pPr>
        <w:pStyle w:val="gemEinzug"/>
        <w:kinsoku w:val="0"/>
        <w:ind w:left="709"/>
        <w:rPr>
          <w:b/>
        </w:rPr>
      </w:pPr>
      <w:r w:rsidRPr="002F4D3C" w:rsidDel="00590FC3">
        <w:rPr>
          <w:lang w:eastAsia="ja-JP"/>
        </w:rPr>
        <w:t>Der Anbieter MUSS im Falle von U</w:t>
      </w:r>
      <w:r w:rsidDel="00590FC3">
        <w:rPr>
          <w:lang w:eastAsia="ja-JP"/>
        </w:rPr>
        <w:t>nterbeauftra</w:t>
      </w:r>
      <w:r w:rsidRPr="002F4D3C" w:rsidDel="00590FC3">
        <w:rPr>
          <w:lang w:eastAsia="ja-JP"/>
        </w:rPr>
        <w:t>gungen einzelner oder mehrerer Leistungen</w:t>
      </w:r>
      <w:r w:rsidDel="00590FC3">
        <w:rPr>
          <w:lang w:eastAsia="ja-JP"/>
        </w:rPr>
        <w:t xml:space="preserve"> an Auftragsverarbeiter</w:t>
      </w:r>
      <w:r w:rsidRPr="002F4D3C" w:rsidDel="00590FC3">
        <w:rPr>
          <w:lang w:eastAsia="ja-JP"/>
        </w:rPr>
        <w:t xml:space="preserve"> </w:t>
      </w:r>
      <w:r w:rsidDel="00590FC3">
        <w:rPr>
          <w:lang w:eastAsia="ja-JP"/>
        </w:rPr>
        <w:t>im Sinne des</w:t>
      </w:r>
      <w:r w:rsidRPr="002F4D3C" w:rsidDel="00590FC3">
        <w:rPr>
          <w:lang w:eastAsia="ja-JP"/>
        </w:rPr>
        <w:t xml:space="preserve"> </w:t>
      </w:r>
      <w:r w:rsidDel="00590FC3">
        <w:rPr>
          <w:lang w:eastAsia="ja-JP"/>
        </w:rPr>
        <w:t>Art. 4</w:t>
      </w:r>
      <w:r w:rsidRPr="002F4D3C" w:rsidDel="00590FC3">
        <w:rPr>
          <w:lang w:eastAsia="ja-JP"/>
        </w:rPr>
        <w:t xml:space="preserve"> </w:t>
      </w:r>
      <w:r w:rsidDel="00590FC3">
        <w:rPr>
          <w:lang w:eastAsia="ja-JP"/>
        </w:rPr>
        <w:t xml:space="preserve">Nr. 8 DSGVO </w:t>
      </w:r>
      <w:r w:rsidRPr="002F4D3C" w:rsidDel="00590FC3">
        <w:rPr>
          <w:lang w:eastAsia="ja-JP"/>
        </w:rPr>
        <w:t>in den Unt</w:t>
      </w:r>
      <w:r w:rsidDel="00590FC3">
        <w:rPr>
          <w:lang w:eastAsia="ja-JP"/>
        </w:rPr>
        <w:t>erbeauftragungsverträgen sicher</w:t>
      </w:r>
      <w:r w:rsidRPr="002F4D3C" w:rsidDel="00590FC3">
        <w:rPr>
          <w:lang w:eastAsia="ja-JP"/>
        </w:rPr>
        <w:t xml:space="preserve">stellen, dass die datenschutzrechtlichen </w:t>
      </w:r>
      <w:r w:rsidRPr="002F4D3C" w:rsidDel="00590FC3">
        <w:rPr>
          <w:lang w:eastAsia="ja-JP"/>
        </w:rPr>
        <w:lastRenderedPageBreak/>
        <w:t>Pflichten, die er zu beachten hat, im gleichen Maße von den Unterauftragnehmern erfüllt werden. Dies gilt gleichermaßen für weitere Unterbeauftragungsverhältnisse</w:t>
      </w:r>
      <w:r w:rsidRPr="00DE6150" w:rsidDel="00590FC3">
        <w:rPr>
          <w:lang w:eastAsia="ja-JP"/>
        </w:rPr>
        <w:t>.</w:t>
      </w:r>
    </w:p>
    <w:p w:rsidR="00876354" w:rsidRPr="0071250F" w:rsidRDefault="0071250F" w:rsidP="0071250F">
      <w:pPr>
        <w:pStyle w:val="gemStandard"/>
      </w:pPr>
      <w:r>
        <w:rPr>
          <w:b/>
        </w:rPr>
        <w:sym w:font="Wingdings" w:char="F0D5"/>
      </w:r>
    </w:p>
    <w:p w:rsidR="00D37043" w:rsidRDefault="00D37043" w:rsidP="00A12F42">
      <w:pPr>
        <w:pStyle w:val="gemStandard"/>
      </w:pPr>
    </w:p>
    <w:p w:rsidR="0071250F" w:rsidRDefault="0071250F" w:rsidP="0071250F">
      <w:pPr>
        <w:pStyle w:val="berschrift1"/>
        <w:sectPr w:rsidR="0071250F" w:rsidSect="007B74C1">
          <w:pgSz w:w="11906" w:h="16838" w:code="9"/>
          <w:pgMar w:top="1916" w:right="1418" w:bottom="1134" w:left="1701" w:header="539" w:footer="437" w:gutter="0"/>
          <w:cols w:space="708"/>
          <w:docGrid w:linePitch="360"/>
        </w:sectPr>
      </w:pPr>
      <w:bookmarkStart w:id="149" w:name="_Ref487470708"/>
    </w:p>
    <w:p w:rsidR="00A12F42" w:rsidRDefault="008510FE" w:rsidP="0071250F">
      <w:pPr>
        <w:pStyle w:val="berschrift1"/>
      </w:pPr>
      <w:bookmarkStart w:id="150" w:name="_Toc503165509"/>
      <w:r>
        <w:lastRenderedPageBreak/>
        <w:t>S</w:t>
      </w:r>
      <w:r w:rsidR="003E2709">
        <w:t>pezifische Module</w:t>
      </w:r>
      <w:bookmarkEnd w:id="149"/>
      <w:bookmarkEnd w:id="150"/>
    </w:p>
    <w:p w:rsidR="00454A4D" w:rsidRDefault="003020A4" w:rsidP="00454A4D">
      <w:pPr>
        <w:pStyle w:val="gemStandard"/>
      </w:pPr>
      <w:r>
        <w:t xml:space="preserve">Kapitel </w:t>
      </w:r>
      <w:r>
        <w:fldChar w:fldCharType="begin"/>
      </w:r>
      <w:r>
        <w:instrText xml:space="preserve"> REF _Ref463977071 \r \h </w:instrText>
      </w:r>
      <w:r>
        <w:fldChar w:fldCharType="separate"/>
      </w:r>
      <w:r w:rsidR="002F3BBF">
        <w:t>3</w:t>
      </w:r>
      <w:r>
        <w:fldChar w:fldCharType="end"/>
      </w:r>
      <w:r>
        <w:t xml:space="preserve"> und </w:t>
      </w:r>
      <w:r>
        <w:fldChar w:fldCharType="begin"/>
      </w:r>
      <w:r>
        <w:instrText xml:space="preserve"> REF _Ref463977081 \r \h </w:instrText>
      </w:r>
      <w:r>
        <w:fldChar w:fldCharType="separate"/>
      </w:r>
      <w:r w:rsidR="002F3BBF">
        <w:t>4</w:t>
      </w:r>
      <w:r>
        <w:fldChar w:fldCharType="end"/>
      </w:r>
      <w:r w:rsidR="00B20535">
        <w:t xml:space="preserve"> enthalten anbieter</w:t>
      </w:r>
      <w:r>
        <w:t xml:space="preserve">übergreifende Module, die </w:t>
      </w:r>
      <w:r w:rsidR="009D4054">
        <w:t xml:space="preserve">unabhängig </w:t>
      </w:r>
      <w:r>
        <w:t xml:space="preserve">von einer </w:t>
      </w:r>
      <w:r w:rsidR="009D4054">
        <w:t>speziellen</w:t>
      </w:r>
      <w:r>
        <w:t xml:space="preserve"> Rolle des Anbieters sind. </w:t>
      </w:r>
      <w:r w:rsidR="009D4054">
        <w:t xml:space="preserve">Dieses </w:t>
      </w:r>
      <w:r w:rsidR="00454A4D">
        <w:t xml:space="preserve">Kapitel beschreibt die </w:t>
      </w:r>
      <w:r>
        <w:t>Module</w:t>
      </w:r>
      <w:r w:rsidR="00454A4D">
        <w:t xml:space="preserve"> </w:t>
      </w:r>
      <w:r>
        <w:t>für Anbieter in spezifischen Rolle</w:t>
      </w:r>
      <w:r w:rsidR="009D4054">
        <w:t>n</w:t>
      </w:r>
      <w:r w:rsidR="00036B72">
        <w:t xml:space="preserve"> (vgl. spezifische Module (rot) in </w:t>
      </w:r>
      <w:r w:rsidR="00036B72">
        <w:fldChar w:fldCharType="begin"/>
      </w:r>
      <w:r w:rsidR="00036B72">
        <w:instrText xml:space="preserve"> REF _Ref460517081 \h </w:instrText>
      </w:r>
      <w:r w:rsidR="00036B72">
        <w:fldChar w:fldCharType="separate"/>
      </w:r>
      <w:r w:rsidR="002F3BBF">
        <w:t xml:space="preserve">Abbildung </w:t>
      </w:r>
      <w:r w:rsidR="002F3BBF">
        <w:rPr>
          <w:noProof/>
        </w:rPr>
        <w:t>2</w:t>
      </w:r>
      <w:r w:rsidR="00036B72">
        <w:fldChar w:fldCharType="end"/>
      </w:r>
      <w:r w:rsidR="00036B72">
        <w:t>)</w:t>
      </w:r>
      <w:r w:rsidR="00454A4D">
        <w:t>.</w:t>
      </w:r>
      <w:r w:rsidR="000D2AA2">
        <w:t xml:space="preserve"> </w:t>
      </w:r>
      <w:r w:rsidR="004D6777">
        <w:t>D</w:t>
      </w:r>
      <w:r w:rsidR="000D2AA2">
        <w:t xml:space="preserve">ie </w:t>
      </w:r>
      <w:r w:rsidR="004D6777">
        <w:t>spezifischen</w:t>
      </w:r>
      <w:r w:rsidR="000D2AA2">
        <w:t xml:space="preserve"> Module </w:t>
      </w:r>
      <w:r w:rsidR="004D6777">
        <w:t xml:space="preserve">werden Anbietern </w:t>
      </w:r>
      <w:r w:rsidR="000D2AA2">
        <w:t xml:space="preserve">zusätzlich zu den </w:t>
      </w:r>
      <w:r w:rsidR="00B20535">
        <w:t>anbieter</w:t>
      </w:r>
      <w:r w:rsidR="000D2AA2">
        <w:t>übergreifende</w:t>
      </w:r>
      <w:r w:rsidR="004D6777">
        <w:t>n</w:t>
      </w:r>
      <w:r w:rsidR="000D2AA2">
        <w:t xml:space="preserve"> Module</w:t>
      </w:r>
      <w:r w:rsidR="004D6777">
        <w:t>n</w:t>
      </w:r>
      <w:r w:rsidR="000D2AA2">
        <w:t xml:space="preserve"> zu</w:t>
      </w:r>
      <w:r w:rsidR="004D6777">
        <w:t>geordnet</w:t>
      </w:r>
      <w:r w:rsidR="000D2AA2">
        <w:t>.</w:t>
      </w:r>
    </w:p>
    <w:p w:rsidR="00B53175" w:rsidRDefault="00B53175" w:rsidP="0071250F">
      <w:pPr>
        <w:pStyle w:val="berschrift2"/>
      </w:pPr>
      <w:bookmarkStart w:id="151" w:name="_Toc503165510"/>
      <w:r>
        <w:t>Modul</w:t>
      </w:r>
      <w:r w:rsidR="00D90FED">
        <w:t>e</w:t>
      </w:r>
      <w:r w:rsidR="009A6130">
        <w:t xml:space="preserve"> für w</w:t>
      </w:r>
      <w:r>
        <w:t xml:space="preserve">eitere </w:t>
      </w:r>
      <w:commentRangeStart w:id="152"/>
      <w:r>
        <w:t>Anwendungen</w:t>
      </w:r>
      <w:commentRangeEnd w:id="152"/>
      <w:r w:rsidR="000710C4">
        <w:rPr>
          <w:rStyle w:val="Kommentarzeichen"/>
          <w:b w:val="0"/>
        </w:rPr>
        <w:commentReference w:id="152"/>
      </w:r>
      <w:bookmarkEnd w:id="151"/>
    </w:p>
    <w:p w:rsidR="00217A7D" w:rsidRDefault="00217A7D" w:rsidP="00B53175">
      <w:pPr>
        <w:pStyle w:val="gemStandard"/>
      </w:pPr>
      <w:r>
        <w:t xml:space="preserve">Anbietern weiterer </w:t>
      </w:r>
      <w:r w:rsidRPr="00016308">
        <w:rPr>
          <w:strike/>
          <w:highlight w:val="yellow"/>
        </w:rPr>
        <w:t>Anforderungen</w:t>
      </w:r>
      <w:r w:rsidRPr="00016308">
        <w:rPr>
          <w:highlight w:val="yellow"/>
        </w:rPr>
        <w:t xml:space="preserve"> </w:t>
      </w:r>
      <w:commentRangeStart w:id="153"/>
      <w:r w:rsidR="00016308" w:rsidRPr="00016308">
        <w:rPr>
          <w:highlight w:val="yellow"/>
        </w:rPr>
        <w:t>Anwendungen</w:t>
      </w:r>
      <w:commentRangeEnd w:id="153"/>
      <w:r w:rsidR="00016308">
        <w:rPr>
          <w:rStyle w:val="Kommentarzeichen"/>
        </w:rPr>
        <w:commentReference w:id="153"/>
      </w:r>
      <w:r w:rsidR="00016308">
        <w:t xml:space="preserve"> </w:t>
      </w:r>
      <w:r w:rsidR="004D6777">
        <w:t>nach § 291a Abs. 7 S</w:t>
      </w:r>
      <w:r>
        <w:t xml:space="preserve">. 3 SGB V </w:t>
      </w:r>
      <w:r w:rsidR="00493A32">
        <w:t>wird</w:t>
      </w:r>
      <w:r>
        <w:t xml:space="preserve"> n</w:t>
      </w:r>
      <w:r w:rsidR="00B20535">
        <w:t>eben den anbieter</w:t>
      </w:r>
      <w:r w:rsidR="00B53175">
        <w:t xml:space="preserve">übergreifenden Modulen </w:t>
      </w:r>
      <w:r>
        <w:t xml:space="preserve">der Informationssicherheit </w:t>
      </w:r>
      <w:r w:rsidR="00B53175">
        <w:t xml:space="preserve">aus Kapitel </w:t>
      </w:r>
      <w:r>
        <w:fldChar w:fldCharType="begin"/>
      </w:r>
      <w:r>
        <w:instrText xml:space="preserve"> REF _Ref463977071 \r \h </w:instrText>
      </w:r>
      <w:r>
        <w:fldChar w:fldCharType="separate"/>
      </w:r>
      <w:r w:rsidR="002F3BBF">
        <w:t>3</w:t>
      </w:r>
      <w:r>
        <w:fldChar w:fldCharType="end"/>
      </w:r>
      <w:r>
        <w:t xml:space="preserve"> </w:t>
      </w:r>
      <w:r w:rsidR="00536E0D">
        <w:t xml:space="preserve">und des Datenschutzes aus Kapitel </w:t>
      </w:r>
      <w:r w:rsidR="00536E0D">
        <w:fldChar w:fldCharType="begin"/>
      </w:r>
      <w:r w:rsidR="00536E0D">
        <w:instrText xml:space="preserve"> REF _Ref463977081 \r \h </w:instrText>
      </w:r>
      <w:r w:rsidR="00536E0D">
        <w:fldChar w:fldCharType="separate"/>
      </w:r>
      <w:r w:rsidR="002F3BBF">
        <w:t>4</w:t>
      </w:r>
      <w:r w:rsidR="00536E0D">
        <w:fldChar w:fldCharType="end"/>
      </w:r>
      <w:r w:rsidR="00536E0D">
        <w:t xml:space="preserve"> </w:t>
      </w:r>
      <w:r>
        <w:t>auch das spezifische Modul „Weitere Anwendungen</w:t>
      </w:r>
      <w:r w:rsidR="00D90FED">
        <w:t xml:space="preserve"> (ohne TI-Beeinträchtigung)</w:t>
      </w:r>
      <w:r>
        <w:t xml:space="preserve">“ </w:t>
      </w:r>
      <w:r w:rsidR="00D90FED">
        <w:t xml:space="preserve">bzw. das Modul „Weitere Anwendungen (mit TI-Beeinträchtigung)“ </w:t>
      </w:r>
      <w:r>
        <w:t xml:space="preserve">zugeordnet. </w:t>
      </w:r>
    </w:p>
    <w:p w:rsidR="00DC60B4" w:rsidRDefault="00D90FED" w:rsidP="00B53175">
      <w:pPr>
        <w:pStyle w:val="gemStandard"/>
      </w:pPr>
      <w:r>
        <w:t xml:space="preserve">Das Modul „Weitere Anwendungen (ohne TI-Beeinträchtigung)“ ist für Anbieter relevant, bei denen technisch ausgeschlossen ist, dass </w:t>
      </w:r>
      <w:r w:rsidR="00BF1CAE">
        <w:t xml:space="preserve">der Verlust der Sicherheit </w:t>
      </w:r>
      <w:r w:rsidR="00DC60B4">
        <w:t>ihre</w:t>
      </w:r>
      <w:r w:rsidR="00BF1CAE">
        <w:t>r</w:t>
      </w:r>
      <w:r w:rsidR="00DC60B4">
        <w:t xml:space="preserve"> Dienste die</w:t>
      </w:r>
      <w:r w:rsidR="00BF1CAE">
        <w:t xml:space="preserve"> Sicherheit der</w:t>
      </w:r>
      <w:r w:rsidR="00DC60B4">
        <w:t xml:space="preserve"> TI beeinträchtigen</w:t>
      </w:r>
      <w:r w:rsidR="00BF1CAE">
        <w:t xml:space="preserve"> </w:t>
      </w:r>
      <w:proofErr w:type="gramStart"/>
      <w:r w:rsidR="00BF1CAE">
        <w:t>können</w:t>
      </w:r>
      <w:proofErr w:type="gramEnd"/>
      <w:r w:rsidR="00DC60B4">
        <w:t>.</w:t>
      </w:r>
    </w:p>
    <w:p w:rsidR="00536E0D" w:rsidRDefault="00217A7D" w:rsidP="00B53175">
      <w:pPr>
        <w:pStyle w:val="gemStandard"/>
      </w:pPr>
      <w:r>
        <w:t xml:space="preserve">Das Modul </w:t>
      </w:r>
      <w:r w:rsidR="00D90FED">
        <w:t xml:space="preserve">„Weitere Anwendungen (mit TI-Beeinträchtigung)“ </w:t>
      </w:r>
      <w:r>
        <w:t xml:space="preserve">ist </w:t>
      </w:r>
      <w:r w:rsidR="004D6777">
        <w:t xml:space="preserve">für Anbieter </w:t>
      </w:r>
      <w:r>
        <w:t xml:space="preserve">relevant, </w:t>
      </w:r>
      <w:r w:rsidR="00DC60B4">
        <w:t xml:space="preserve">bei denen </w:t>
      </w:r>
      <w:r w:rsidR="00E712CA">
        <w:t xml:space="preserve">technisch </w:t>
      </w:r>
      <w:r w:rsidR="00FB73B1">
        <w:t xml:space="preserve">nicht </w:t>
      </w:r>
      <w:r w:rsidR="00E712CA">
        <w:t>ausgeschlossen werden</w:t>
      </w:r>
      <w:r w:rsidR="00536E0D">
        <w:t xml:space="preserve"> kann</w:t>
      </w:r>
      <w:r w:rsidR="00E712CA">
        <w:t>, dass sie die Sicherheit der TI beeinträchtigen</w:t>
      </w:r>
      <w:r w:rsidR="00B20535">
        <w:t xml:space="preserve"> könnten</w:t>
      </w:r>
      <w:r w:rsidR="00E712CA">
        <w:t xml:space="preserve">. </w:t>
      </w:r>
    </w:p>
    <w:p w:rsidR="001E14FA" w:rsidRDefault="001E14FA" w:rsidP="001E14FA">
      <w:pPr>
        <w:pStyle w:val="gemStandard"/>
      </w:pPr>
      <w:r>
        <w:t>Die Richtlinie für weitere Anwendungen [</w:t>
      </w:r>
      <w:r w:rsidRPr="001E14FA">
        <w:t>gemRL_NvTIwA</w:t>
      </w:r>
      <w:r>
        <w:t>] unterscheidet die folgenden</w:t>
      </w:r>
      <w:r w:rsidR="00556D48">
        <w:t xml:space="preserve"> </w:t>
      </w:r>
      <w:r>
        <w:t xml:space="preserve">Anwendungskategorien für weitere Anwendungen: </w:t>
      </w:r>
    </w:p>
    <w:p w:rsidR="001E14FA" w:rsidRDefault="001E14FA" w:rsidP="001E14FA">
      <w:pPr>
        <w:pStyle w:val="gemStandard"/>
        <w:numPr>
          <w:ilvl w:val="0"/>
          <w:numId w:val="33"/>
        </w:numPr>
      </w:pPr>
      <w:r>
        <w:t>Andere Anwendungen des Gesundheitswesens (aAdG)</w:t>
      </w:r>
      <w:r w:rsidR="0008031F">
        <w:t>,</w:t>
      </w:r>
      <w:r>
        <w:t xml:space="preserve"> </w:t>
      </w:r>
    </w:p>
    <w:p w:rsidR="001E14FA" w:rsidRDefault="001E14FA" w:rsidP="001E14FA">
      <w:pPr>
        <w:pStyle w:val="gemStandard"/>
        <w:numPr>
          <w:ilvl w:val="0"/>
          <w:numId w:val="33"/>
        </w:numPr>
      </w:pPr>
      <w:r>
        <w:t>Andere Anwendungen des Gesundheitswesens mit Zugriff auf Dienste der TI aus angeschlossenen Netzen des Gesundheitswesens (aAdG-NetG-TI)</w:t>
      </w:r>
      <w:r w:rsidR="0008031F">
        <w:t>,</w:t>
      </w:r>
      <w:r>
        <w:t xml:space="preserve"> </w:t>
      </w:r>
    </w:p>
    <w:p w:rsidR="001E14FA" w:rsidRDefault="001E14FA" w:rsidP="001E14FA">
      <w:pPr>
        <w:pStyle w:val="gemStandard"/>
        <w:numPr>
          <w:ilvl w:val="0"/>
          <w:numId w:val="33"/>
        </w:numPr>
      </w:pPr>
      <w:r>
        <w:t>Andere Anwendungen des Gesundheitswesens ohne Zugriff auf Dienste der TI in angeschlossenen Netzen des Gesundheitswesens (aAdG-NetG).</w:t>
      </w:r>
      <w:r w:rsidR="00556D48">
        <w:t xml:space="preserve"> </w:t>
      </w:r>
    </w:p>
    <w:p w:rsidR="00DC60B4" w:rsidRDefault="001E14FA" w:rsidP="00B53175">
      <w:pPr>
        <w:pStyle w:val="gemStandard"/>
      </w:pPr>
      <w:r>
        <w:t>Die aAdG und aAdG-NetG-TI könn</w:t>
      </w:r>
      <w:r w:rsidR="00950CFF">
        <w:t>t</w:t>
      </w:r>
      <w:r>
        <w:t xml:space="preserve">en </w:t>
      </w:r>
      <w:r w:rsidR="00774FEF">
        <w:t xml:space="preserve">die TI, </w:t>
      </w:r>
      <w:r w:rsidR="00DC60B4">
        <w:t xml:space="preserve">aufgrund der Anbindungstechnik </w:t>
      </w:r>
      <w:r w:rsidR="00774FEF">
        <w:t>ihrer</w:t>
      </w:r>
      <w:r w:rsidR="00DC60B4">
        <w:t xml:space="preserve"> Dienste </w:t>
      </w:r>
      <w:r w:rsidR="00774FEF">
        <w:t xml:space="preserve">an die TI, </w:t>
      </w:r>
      <w:r>
        <w:t>beeinträchtigen</w:t>
      </w:r>
      <w:r w:rsidR="00DC60B4">
        <w:t xml:space="preserve">. Bei </w:t>
      </w:r>
      <w:r>
        <w:t>den aAdG-NetG ist eine Beeinträchtigung aufgrund der Anbindungstechnik an die TI technisch ausgeschlossen.</w:t>
      </w:r>
      <w:r w:rsidR="00556D48">
        <w:t xml:space="preserve"> </w:t>
      </w:r>
    </w:p>
    <w:p w:rsidR="001E14FA" w:rsidRDefault="009B7B5A" w:rsidP="00B53175">
      <w:pPr>
        <w:pStyle w:val="gemStandard"/>
      </w:pPr>
      <w:r>
        <w:t>Anbieter von</w:t>
      </w:r>
      <w:r w:rsidR="001E14FA">
        <w:t xml:space="preserve"> aAdG und aAdG-NetG-TI </w:t>
      </w:r>
      <w:r>
        <w:t xml:space="preserve">sind daher </w:t>
      </w:r>
      <w:r w:rsidR="00DC60B4">
        <w:t>„</w:t>
      </w:r>
      <w:r>
        <w:t>Anbieter weiterer Anwendungen mit Beeinträchtigung der TI</w:t>
      </w:r>
      <w:r w:rsidR="00DC60B4">
        <w:t>“ und ihnen wird</w:t>
      </w:r>
      <w:r>
        <w:t xml:space="preserve"> </w:t>
      </w:r>
      <w:r w:rsidR="001E14FA">
        <w:t>das Modul „Weitere Anwendungen (mit TI-Beeinträchtigung)“</w:t>
      </w:r>
      <w:r>
        <w:t xml:space="preserve"> zugeordnet. Anbieter von</w:t>
      </w:r>
      <w:r w:rsidR="001E14FA">
        <w:t xml:space="preserve"> aAdG-NetG </w:t>
      </w:r>
      <w:r>
        <w:t xml:space="preserve">sind </w:t>
      </w:r>
      <w:r w:rsidR="00DC60B4">
        <w:t>„</w:t>
      </w:r>
      <w:r>
        <w:t>Anbieter weiterer Anwendungen ohne Beeinträchtigung der TI</w:t>
      </w:r>
      <w:r w:rsidR="00DC60B4">
        <w:t>“</w:t>
      </w:r>
      <w:r>
        <w:t xml:space="preserve">, denen </w:t>
      </w:r>
      <w:r w:rsidR="001E14FA">
        <w:t>das Modul „Weitere Anwendungen (ohne TI-Beeinträchtigung)“ zugeordnet</w:t>
      </w:r>
      <w:r>
        <w:t xml:space="preserve"> wird</w:t>
      </w:r>
      <w:r w:rsidR="001E14FA">
        <w:t>.</w:t>
      </w:r>
      <w:r w:rsidR="001E14FA">
        <w:rPr>
          <w:rStyle w:val="Funotenzeichen"/>
        </w:rPr>
        <w:footnoteReference w:id="1"/>
      </w:r>
    </w:p>
    <w:p w:rsidR="00B53175" w:rsidRDefault="00493A32" w:rsidP="00B53175">
      <w:pPr>
        <w:pStyle w:val="gemStandard"/>
      </w:pPr>
      <w:r>
        <w:fldChar w:fldCharType="begin"/>
      </w:r>
      <w:r>
        <w:instrText xml:space="preserve"> REF _Ref485999793 \h </w:instrText>
      </w:r>
      <w:r>
        <w:fldChar w:fldCharType="separate"/>
      </w:r>
      <w:r w:rsidR="002F3BBF">
        <w:t xml:space="preserve">Abbildung </w:t>
      </w:r>
      <w:r w:rsidR="002F3BBF">
        <w:rPr>
          <w:noProof/>
        </w:rPr>
        <w:t>5</w:t>
      </w:r>
      <w:r>
        <w:fldChar w:fldCharType="end"/>
      </w:r>
      <w:r>
        <w:t xml:space="preserve"> </w:t>
      </w:r>
      <w:r w:rsidR="00217A7D">
        <w:t>zeigt</w:t>
      </w:r>
      <w:r w:rsidR="004D6777">
        <w:t xml:space="preserve"> </w:t>
      </w:r>
      <w:r w:rsidR="00536E0D">
        <w:t>alle</w:t>
      </w:r>
      <w:r>
        <w:t xml:space="preserve"> Module </w:t>
      </w:r>
      <w:r w:rsidR="00B83D4C">
        <w:t xml:space="preserve">der Informationssicherheit </w:t>
      </w:r>
      <w:r>
        <w:t>für weitere Anwendungen im Überblick.</w:t>
      </w:r>
      <w:r w:rsidR="00385150">
        <w:t xml:space="preserve"> </w:t>
      </w:r>
    </w:p>
    <w:p w:rsidR="004D6777" w:rsidRDefault="00ED6006" w:rsidP="008C41AD">
      <w:pPr>
        <w:pStyle w:val="gemStandard"/>
        <w:keepNext/>
        <w:jc w:val="center"/>
      </w:pPr>
      <w:r>
        <w:rPr>
          <w:noProof/>
        </w:rPr>
        <w:lastRenderedPageBreak/>
        <w:drawing>
          <wp:inline distT="0" distB="0" distL="0" distR="0" wp14:anchorId="378F46E7" wp14:editId="0E9FCE62">
            <wp:extent cx="5560052" cy="2708563"/>
            <wp:effectExtent l="0" t="0" r="3175" b="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59094" cy="2708097"/>
                    </a:xfrm>
                    <a:prstGeom prst="rect">
                      <a:avLst/>
                    </a:prstGeom>
                    <a:noFill/>
                  </pic:spPr>
                </pic:pic>
              </a:graphicData>
            </a:graphic>
          </wp:inline>
        </w:drawing>
      </w:r>
    </w:p>
    <w:p w:rsidR="00217A7D" w:rsidRDefault="004D6777" w:rsidP="0071250F">
      <w:pPr>
        <w:pStyle w:val="Beschriftung"/>
        <w:jc w:val="center"/>
      </w:pPr>
      <w:bookmarkStart w:id="154" w:name="_Ref485999793"/>
      <w:bookmarkStart w:id="155" w:name="_Toc496518435"/>
      <w:r w:rsidRPr="00ED6006">
        <w:rPr>
          <w:highlight w:val="yellow"/>
        </w:rPr>
        <w:t xml:space="preserve">Abbildung </w:t>
      </w:r>
      <w:commentRangeStart w:id="156"/>
      <w:r w:rsidR="00BE4606" w:rsidRPr="00ED6006">
        <w:rPr>
          <w:highlight w:val="yellow"/>
        </w:rPr>
        <w:fldChar w:fldCharType="begin"/>
      </w:r>
      <w:r w:rsidR="00BE4606" w:rsidRPr="00ED6006">
        <w:rPr>
          <w:highlight w:val="yellow"/>
        </w:rPr>
        <w:instrText xml:space="preserve"> SEQ Abbildung \* ARABIC </w:instrText>
      </w:r>
      <w:r w:rsidR="00BE4606" w:rsidRPr="00ED6006">
        <w:rPr>
          <w:highlight w:val="yellow"/>
        </w:rPr>
        <w:fldChar w:fldCharType="separate"/>
      </w:r>
      <w:r w:rsidR="002F3BBF" w:rsidRPr="00ED6006">
        <w:rPr>
          <w:noProof/>
          <w:highlight w:val="yellow"/>
        </w:rPr>
        <w:t>5</w:t>
      </w:r>
      <w:r w:rsidR="00BE4606" w:rsidRPr="00ED6006">
        <w:rPr>
          <w:noProof/>
          <w:highlight w:val="yellow"/>
        </w:rPr>
        <w:fldChar w:fldCharType="end"/>
      </w:r>
      <w:bookmarkEnd w:id="154"/>
      <w:commentRangeEnd w:id="156"/>
      <w:r w:rsidR="00ED6006">
        <w:rPr>
          <w:rStyle w:val="Kommentarzeichen"/>
          <w:b w:val="0"/>
          <w:bCs w:val="0"/>
        </w:rPr>
        <w:commentReference w:id="156"/>
      </w:r>
      <w:r>
        <w:t xml:space="preserve"> </w:t>
      </w:r>
      <w:r w:rsidR="00556D48">
        <w:t>–</w:t>
      </w:r>
      <w:r>
        <w:t xml:space="preserve"> Module für weitere Anwendungen</w:t>
      </w:r>
      <w:bookmarkEnd w:id="155"/>
    </w:p>
    <w:p w:rsidR="009A6130" w:rsidRDefault="009A6130" w:rsidP="0071250F">
      <w:pPr>
        <w:pStyle w:val="berschrift3"/>
      </w:pPr>
      <w:bookmarkStart w:id="157" w:name="_Toc503165511"/>
      <w:r>
        <w:t>Modul „Weitere Anwendungen (mit TI-Beeinträchtigung)“</w:t>
      </w:r>
      <w:bookmarkEnd w:id="157"/>
    </w:p>
    <w:p w:rsidR="00217A7D" w:rsidRDefault="00493A32" w:rsidP="00B53175">
      <w:pPr>
        <w:pStyle w:val="gemStandard"/>
      </w:pPr>
      <w:r>
        <w:t>Die Anforderungen des spezifischen Moduls „Weitere Anwendungen</w:t>
      </w:r>
      <w:r w:rsidR="009A6130">
        <w:t xml:space="preserve"> (mit TI-Beeinträchtigung)</w:t>
      </w:r>
      <w:r>
        <w:t xml:space="preserve">“ gewährleisten eine </w:t>
      </w:r>
      <w:r w:rsidR="00F60CCA">
        <w:t>zulässige</w:t>
      </w:r>
      <w:r>
        <w:t xml:space="preserve"> Nutzung der </w:t>
      </w:r>
      <w:r w:rsidR="00950CFF">
        <w:t xml:space="preserve">Zentralen </w:t>
      </w:r>
      <w:r>
        <w:t>Dienste der TI</w:t>
      </w:r>
      <w:r w:rsidR="00F60CCA">
        <w:t xml:space="preserve"> durch die weiteren Anwendung</w:t>
      </w:r>
      <w:r w:rsidR="00E712CA">
        <w:t>en</w:t>
      </w:r>
      <w:r>
        <w:t>.</w:t>
      </w:r>
    </w:p>
    <w:p w:rsidR="00D33E92" w:rsidRPr="00CA3460" w:rsidRDefault="00D33E92" w:rsidP="00D33E92">
      <w:pPr>
        <w:pStyle w:val="gemEinzug"/>
        <w:ind w:left="708" w:hanging="708"/>
        <w:rPr>
          <w:b/>
        </w:rPr>
      </w:pPr>
      <w:r w:rsidRPr="00CA3460">
        <w:rPr>
          <w:rFonts w:ascii="Wingdings" w:hAnsi="Wingdings"/>
          <w:b/>
        </w:rPr>
        <w:sym w:font="Wingdings" w:char="F0D6"/>
      </w:r>
      <w:r w:rsidRPr="00CA3460">
        <w:rPr>
          <w:b/>
        </w:rPr>
        <w:tab/>
      </w:r>
      <w:r w:rsidR="007759C9" w:rsidRPr="007759C9">
        <w:rPr>
          <w:b/>
          <w:highlight w:val="yellow"/>
        </w:rPr>
        <w:t>GS-A_5567</w:t>
      </w:r>
      <w:r w:rsidR="007759C9">
        <w:rPr>
          <w:b/>
        </w:rPr>
        <w:t xml:space="preserve"> </w:t>
      </w:r>
      <w:r w:rsidRPr="00CA3460">
        <w:rPr>
          <w:b/>
        </w:rPr>
        <w:t>Nutzung Zentraler Dienste der TI nur durch bestätig</w:t>
      </w:r>
      <w:r>
        <w:rPr>
          <w:b/>
        </w:rPr>
        <w:t>te Anwendungen</w:t>
      </w:r>
    </w:p>
    <w:p w:rsidR="0071250F" w:rsidRDefault="00B37A8C" w:rsidP="00D33E92">
      <w:pPr>
        <w:pStyle w:val="gemEinzug"/>
        <w:kinsoku w:val="0"/>
        <w:ind w:left="709"/>
        <w:rPr>
          <w:rFonts w:ascii="Wingdings" w:hAnsi="Wingdings"/>
          <w:b/>
        </w:rPr>
      </w:pPr>
      <w:r>
        <w:t>Ein</w:t>
      </w:r>
      <w:r w:rsidR="00D33E92" w:rsidRPr="00CA3460">
        <w:t xml:space="preserve"> </w:t>
      </w:r>
      <w:r w:rsidR="00F60CCA" w:rsidRPr="00CA3460">
        <w:t xml:space="preserve">Anbieter </w:t>
      </w:r>
      <w:r w:rsidR="00F60CCA">
        <w:t>weiterer Anwendungen</w:t>
      </w:r>
      <w:r w:rsidR="00E712CA">
        <w:t xml:space="preserve"> </w:t>
      </w:r>
      <w:r w:rsidR="00C87123">
        <w:t>mit Beeinträchtigung der</w:t>
      </w:r>
      <w:r w:rsidR="00E712CA">
        <w:t xml:space="preserve"> TI</w:t>
      </w:r>
      <w:r w:rsidR="00F60CCA" w:rsidRPr="00CA3460">
        <w:t xml:space="preserve"> </w:t>
      </w:r>
      <w:r w:rsidR="00D33E92" w:rsidRPr="00CA3460">
        <w:t>MUSS durch technisch-organisatorische Maßnahmen gewährleisten, dass ausschließlich die bestätigten Anwendungen bestimmte, festgelegte Zentrale Dienste der TI nutzen können.</w:t>
      </w:r>
    </w:p>
    <w:p w:rsidR="00D33E92" w:rsidRPr="0071250F" w:rsidRDefault="0071250F" w:rsidP="0071250F">
      <w:pPr>
        <w:pStyle w:val="gemStandard"/>
        <w:rPr>
          <w:b/>
        </w:rPr>
      </w:pPr>
      <w:r>
        <w:rPr>
          <w:b/>
        </w:rPr>
        <w:sym w:font="Wingdings" w:char="F0D5"/>
      </w:r>
      <w:r w:rsidR="00D33E92" w:rsidRPr="0071250F">
        <w:rPr>
          <w:b/>
        </w:rPr>
        <w:t xml:space="preserve"> </w:t>
      </w:r>
    </w:p>
    <w:p w:rsidR="00D33E92" w:rsidRDefault="00D33E92" w:rsidP="00D33E92">
      <w:pPr>
        <w:pStyle w:val="gemStandard"/>
      </w:pPr>
      <w:r w:rsidRPr="00CA3460">
        <w:t xml:space="preserve">Hinweis: Die Anforderung </w:t>
      </w:r>
      <w:r w:rsidRPr="007759C9">
        <w:rPr>
          <w:strike/>
          <w:highlight w:val="yellow"/>
        </w:rPr>
        <w:t>WA-A_2114</w:t>
      </w:r>
      <w:r w:rsidRPr="007759C9">
        <w:rPr>
          <w:highlight w:val="yellow"/>
        </w:rPr>
        <w:t xml:space="preserve"> </w:t>
      </w:r>
      <w:r w:rsidR="007759C9" w:rsidRPr="007759C9">
        <w:rPr>
          <w:highlight w:val="yellow"/>
        </w:rPr>
        <w:t>GS-A_5567</w:t>
      </w:r>
      <w:r w:rsidR="007759C9">
        <w:t xml:space="preserve"> </w:t>
      </w:r>
      <w:r w:rsidRPr="00CA3460">
        <w:t>verbietet insbesondere auch eine reine Proxyfunktion im Sinne der Zurverfügungstellung der Schnittstellen zu den Diensten der TI-Plattform für Dienste, die nicht im Bestätigungs- bzw. Zulassungsumfang enthalten sind.</w:t>
      </w:r>
    </w:p>
    <w:p w:rsidR="00D33E92" w:rsidRPr="00CA3460" w:rsidRDefault="00D33E92" w:rsidP="00493A32">
      <w:pPr>
        <w:pStyle w:val="gemEinzug"/>
        <w:ind w:left="708" w:hanging="708"/>
        <w:rPr>
          <w:b/>
        </w:rPr>
      </w:pPr>
      <w:r w:rsidRPr="00CA3460">
        <w:rPr>
          <w:rFonts w:ascii="Wingdings" w:hAnsi="Wingdings"/>
          <w:b/>
        </w:rPr>
        <w:sym w:font="Wingdings" w:char="F0D6"/>
      </w:r>
      <w:r w:rsidRPr="00CA3460">
        <w:rPr>
          <w:b/>
        </w:rPr>
        <w:tab/>
      </w:r>
      <w:r w:rsidR="007759C9" w:rsidRPr="007759C9">
        <w:rPr>
          <w:b/>
          <w:highlight w:val="yellow"/>
        </w:rPr>
        <w:t>GS-A_5568</w:t>
      </w:r>
      <w:r w:rsidR="007759C9">
        <w:rPr>
          <w:b/>
        </w:rPr>
        <w:t xml:space="preserve"> </w:t>
      </w:r>
      <w:r w:rsidRPr="00CA3460">
        <w:rPr>
          <w:b/>
        </w:rPr>
        <w:t>Keine Weitergabe von Daten Zentraler Dienste der TI an nicht bestätigte oder zugelassene Anwendungen</w:t>
      </w:r>
    </w:p>
    <w:p w:rsidR="0071250F" w:rsidRDefault="007B0E3E" w:rsidP="00493A32">
      <w:pPr>
        <w:pStyle w:val="gemEinzug"/>
        <w:kinsoku w:val="0"/>
        <w:ind w:left="709"/>
        <w:rPr>
          <w:rFonts w:ascii="Wingdings" w:hAnsi="Wingdings"/>
          <w:b/>
        </w:rPr>
      </w:pPr>
      <w:r w:rsidRPr="00CA3460">
        <w:t xml:space="preserve">Der Anbieter </w:t>
      </w:r>
      <w:r>
        <w:t xml:space="preserve">weiterer Anwendungen </w:t>
      </w:r>
      <w:r w:rsidR="00C87123">
        <w:t>mit Beeinträchtigung der TI</w:t>
      </w:r>
      <w:r w:rsidR="00C87123" w:rsidRPr="00CA3460">
        <w:t xml:space="preserve"> </w:t>
      </w:r>
      <w:r w:rsidR="00D33E92" w:rsidRPr="00CA3460">
        <w:t>MUSS durch technisch-organisatorische Maßnahmen gewährleisten, dass von Zentralen Diensten der TI zur Verfügung gestellte personenbezogene Daten weder unverändert noch geändert an nicht bestätigte oder nicht zugelassene Anwendungen weitergegeben werden.</w:t>
      </w:r>
    </w:p>
    <w:p w:rsidR="00D33E92" w:rsidRPr="0071250F" w:rsidRDefault="0071250F" w:rsidP="0071250F">
      <w:pPr>
        <w:pStyle w:val="gemStandard"/>
        <w:rPr>
          <w:b/>
        </w:rPr>
      </w:pPr>
      <w:r>
        <w:rPr>
          <w:b/>
        </w:rPr>
        <w:sym w:font="Wingdings" w:char="F0D5"/>
      </w:r>
      <w:r w:rsidR="00D33E92" w:rsidRPr="0071250F">
        <w:rPr>
          <w:b/>
        </w:rPr>
        <w:t xml:space="preserve"> </w:t>
      </w:r>
    </w:p>
    <w:p w:rsidR="001B15A7" w:rsidRDefault="001B15A7" w:rsidP="00493A32">
      <w:pPr>
        <w:pStyle w:val="gemEinzug"/>
        <w:kinsoku w:val="0"/>
        <w:ind w:left="709"/>
        <w:rPr>
          <w:b/>
        </w:rPr>
      </w:pPr>
    </w:p>
    <w:p w:rsidR="001B15A7" w:rsidRPr="00CA3460" w:rsidRDefault="001B15A7" w:rsidP="00493A32">
      <w:pPr>
        <w:pStyle w:val="gemEinzug"/>
        <w:kinsoku w:val="0"/>
        <w:ind w:left="709"/>
        <w:rPr>
          <w:b/>
        </w:rPr>
      </w:pPr>
    </w:p>
    <w:p w:rsidR="00D33E92" w:rsidRPr="00CA3460" w:rsidRDefault="00D33E92" w:rsidP="007B0E3E">
      <w:pPr>
        <w:pStyle w:val="gemEinzug"/>
        <w:ind w:left="708" w:hanging="708"/>
        <w:rPr>
          <w:b/>
        </w:rPr>
      </w:pPr>
      <w:r w:rsidRPr="00CA3460">
        <w:rPr>
          <w:rFonts w:ascii="Wingdings" w:hAnsi="Wingdings"/>
          <w:b/>
        </w:rPr>
        <w:lastRenderedPageBreak/>
        <w:sym w:font="Wingdings" w:char="F0D6"/>
      </w:r>
      <w:r w:rsidRPr="00CA3460">
        <w:rPr>
          <w:b/>
        </w:rPr>
        <w:tab/>
      </w:r>
      <w:r w:rsidR="007759C9" w:rsidRPr="007759C9">
        <w:rPr>
          <w:b/>
          <w:highlight w:val="yellow"/>
        </w:rPr>
        <w:t>GS-A_5569</w:t>
      </w:r>
      <w:r w:rsidR="007759C9">
        <w:rPr>
          <w:b/>
        </w:rPr>
        <w:t xml:space="preserve"> </w:t>
      </w:r>
      <w:r w:rsidRPr="00CA3460">
        <w:rPr>
          <w:b/>
        </w:rPr>
        <w:t>Sicherung der Netzgrenzen</w:t>
      </w:r>
    </w:p>
    <w:p w:rsidR="0071250F" w:rsidRDefault="007B0E3E" w:rsidP="007B0E3E">
      <w:pPr>
        <w:pStyle w:val="gemEinzug"/>
        <w:kinsoku w:val="0"/>
        <w:ind w:left="709"/>
        <w:rPr>
          <w:rFonts w:ascii="Wingdings" w:hAnsi="Wingdings"/>
          <w:b/>
        </w:rPr>
      </w:pPr>
      <w:r w:rsidRPr="00CA3460">
        <w:t xml:space="preserve">Der Anbieter </w:t>
      </w:r>
      <w:r>
        <w:t xml:space="preserve">weiterer Anwendungen mit </w:t>
      </w:r>
      <w:r w:rsidR="00C87123">
        <w:t>Beeinträchtigung der TI</w:t>
      </w:r>
      <w:r w:rsidR="00C87123" w:rsidRPr="00CA3460">
        <w:t xml:space="preserve"> </w:t>
      </w:r>
      <w:r w:rsidR="00D33E92" w:rsidRPr="00CA3460">
        <w:t>MUSS ggf. vorhandene Netzgrenzen derart sichern, dass außerhalb der Netzgrenzen nicht auf die TI zugegriffen werden kann.</w:t>
      </w:r>
    </w:p>
    <w:p w:rsidR="00D33E92" w:rsidRPr="0071250F" w:rsidRDefault="0071250F" w:rsidP="0071250F">
      <w:pPr>
        <w:pStyle w:val="gemStandard"/>
        <w:rPr>
          <w:b/>
        </w:rPr>
      </w:pPr>
      <w:r>
        <w:rPr>
          <w:b/>
        </w:rPr>
        <w:sym w:font="Wingdings" w:char="F0D5"/>
      </w:r>
      <w:r w:rsidR="00D33E92" w:rsidRPr="0071250F">
        <w:rPr>
          <w:b/>
        </w:rPr>
        <w:t xml:space="preserve"> </w:t>
      </w:r>
    </w:p>
    <w:p w:rsidR="00D33E92" w:rsidRPr="00CA3460" w:rsidRDefault="00D33E92" w:rsidP="007B0E3E">
      <w:pPr>
        <w:pStyle w:val="gemEinzug"/>
        <w:ind w:left="708" w:hanging="708"/>
        <w:rPr>
          <w:b/>
        </w:rPr>
      </w:pPr>
      <w:r w:rsidRPr="00CA3460">
        <w:rPr>
          <w:rFonts w:ascii="Wingdings" w:hAnsi="Wingdings"/>
          <w:b/>
        </w:rPr>
        <w:sym w:font="Wingdings" w:char="F0D6"/>
      </w:r>
      <w:r w:rsidRPr="00CA3460">
        <w:rPr>
          <w:b/>
        </w:rPr>
        <w:tab/>
      </w:r>
      <w:r w:rsidR="007759C9" w:rsidRPr="007759C9">
        <w:rPr>
          <w:b/>
          <w:highlight w:val="yellow"/>
        </w:rPr>
        <w:t>GS-A_5570</w:t>
      </w:r>
      <w:r w:rsidR="007759C9">
        <w:rPr>
          <w:b/>
        </w:rPr>
        <w:t xml:space="preserve"> </w:t>
      </w:r>
      <w:r w:rsidRPr="00CA3460">
        <w:rPr>
          <w:b/>
        </w:rPr>
        <w:t>Kein Zugriff auf gekoppelte Netze</w:t>
      </w:r>
    </w:p>
    <w:p w:rsidR="0071250F" w:rsidRDefault="00D33E92" w:rsidP="007B0E3E">
      <w:pPr>
        <w:pStyle w:val="gemEinzug"/>
        <w:kinsoku w:val="0"/>
        <w:ind w:left="709"/>
        <w:rPr>
          <w:rFonts w:ascii="Wingdings" w:hAnsi="Wingdings"/>
          <w:b/>
        </w:rPr>
      </w:pPr>
      <w:r w:rsidRPr="00CA3460">
        <w:t xml:space="preserve">Der Anbieter </w:t>
      </w:r>
      <w:r w:rsidR="00AA771D">
        <w:t xml:space="preserve">weiterer Anwendungen </w:t>
      </w:r>
      <w:r w:rsidR="00C87123">
        <w:t>mit Beeinträchtigung der TI</w:t>
      </w:r>
      <w:r w:rsidR="00C87123" w:rsidRPr="00CA3460">
        <w:t xml:space="preserve"> </w:t>
      </w:r>
      <w:r w:rsidRPr="00CA3460">
        <w:t>MUSS durch technisch-organisatorische Maßnahmen gewährleisten, dass ggf. an die Netzgrenzen des Bestätigungsumfangs gekoppelte Netze nicht von Nutzern der TI erreichbar sind.</w:t>
      </w:r>
    </w:p>
    <w:p w:rsidR="00D33E92" w:rsidRPr="0071250F" w:rsidRDefault="0071250F" w:rsidP="0071250F">
      <w:pPr>
        <w:pStyle w:val="gemStandard"/>
        <w:rPr>
          <w:b/>
        </w:rPr>
      </w:pPr>
      <w:r>
        <w:rPr>
          <w:b/>
        </w:rPr>
        <w:sym w:font="Wingdings" w:char="F0D5"/>
      </w:r>
      <w:r w:rsidR="00D33E92" w:rsidRPr="0071250F">
        <w:rPr>
          <w:b/>
        </w:rPr>
        <w:t xml:space="preserve"> </w:t>
      </w:r>
    </w:p>
    <w:p w:rsidR="00D33E92" w:rsidRPr="00CA3460" w:rsidRDefault="00D33E92" w:rsidP="007B0E3E">
      <w:pPr>
        <w:pStyle w:val="gemEinzug"/>
        <w:ind w:left="708" w:hanging="708"/>
        <w:rPr>
          <w:b/>
        </w:rPr>
      </w:pPr>
      <w:r w:rsidRPr="00CA3460">
        <w:rPr>
          <w:rFonts w:ascii="Wingdings" w:hAnsi="Wingdings"/>
          <w:b/>
        </w:rPr>
        <w:sym w:font="Wingdings" w:char="F0D6"/>
      </w:r>
      <w:r w:rsidRPr="00CA3460">
        <w:rPr>
          <w:b/>
        </w:rPr>
        <w:tab/>
      </w:r>
      <w:r w:rsidR="007759C9" w:rsidRPr="007759C9">
        <w:rPr>
          <w:b/>
          <w:highlight w:val="yellow"/>
        </w:rPr>
        <w:t>GS-A_5571</w:t>
      </w:r>
      <w:r w:rsidR="007759C9">
        <w:rPr>
          <w:b/>
        </w:rPr>
        <w:t xml:space="preserve"> </w:t>
      </w:r>
      <w:r w:rsidRPr="00CA3460">
        <w:rPr>
          <w:b/>
        </w:rPr>
        <w:t>keine Fälschung von IP-Adressen</w:t>
      </w:r>
    </w:p>
    <w:p w:rsidR="0071250F" w:rsidRDefault="00D33E92" w:rsidP="007B0E3E">
      <w:pPr>
        <w:pStyle w:val="gemEinzug"/>
        <w:kinsoku w:val="0"/>
        <w:ind w:left="709"/>
        <w:rPr>
          <w:rFonts w:ascii="Wingdings" w:hAnsi="Wingdings"/>
          <w:b/>
        </w:rPr>
      </w:pPr>
      <w:r w:rsidRPr="00CA3460">
        <w:t xml:space="preserve">Der Anbieter </w:t>
      </w:r>
      <w:r w:rsidR="00AA771D">
        <w:t xml:space="preserve">weiterer Anwendungen </w:t>
      </w:r>
      <w:r w:rsidR="00C87123">
        <w:t>mit Beeinträchtigung der TI</w:t>
      </w:r>
      <w:r w:rsidR="00C87123" w:rsidRPr="00CA3460">
        <w:t xml:space="preserve"> </w:t>
      </w:r>
      <w:r w:rsidRPr="00CA3460">
        <w:t xml:space="preserve">MUSS sicherstellen, dass in allen Netzsegmenten, die zur Verbindung der bestätigten oder zugelassenen Dienste mit dem Netzübergang zur Telematikinfrastruktur genutzt werden, Adressinformationen in IP-Paketen unverändert bleiben und es nicht möglich ist, IP-Pakete mit falschen Adressinformationen einzuschleusen. </w:t>
      </w:r>
    </w:p>
    <w:p w:rsidR="00D33E92" w:rsidRPr="0071250F" w:rsidRDefault="0071250F" w:rsidP="0071250F">
      <w:pPr>
        <w:pStyle w:val="gemStandard"/>
        <w:rPr>
          <w:b/>
        </w:rPr>
      </w:pPr>
      <w:r>
        <w:rPr>
          <w:b/>
        </w:rPr>
        <w:sym w:font="Wingdings" w:char="F0D5"/>
      </w:r>
      <w:r w:rsidR="00D33E92" w:rsidRPr="0071250F">
        <w:rPr>
          <w:b/>
        </w:rPr>
        <w:t xml:space="preserve"> </w:t>
      </w:r>
    </w:p>
    <w:p w:rsidR="00D33E92" w:rsidRPr="00CA3460" w:rsidRDefault="00D33E92" w:rsidP="00D33E92">
      <w:pPr>
        <w:pStyle w:val="gemStandard"/>
      </w:pPr>
      <w:r w:rsidRPr="00CA3460">
        <w:t xml:space="preserve">Hinweis: Die Anforderung </w:t>
      </w:r>
      <w:r w:rsidRPr="00734DA2">
        <w:rPr>
          <w:strike/>
          <w:highlight w:val="yellow"/>
        </w:rPr>
        <w:t>WA-A_2118</w:t>
      </w:r>
      <w:r w:rsidRPr="00734DA2">
        <w:rPr>
          <w:highlight w:val="yellow"/>
        </w:rPr>
        <w:t xml:space="preserve"> </w:t>
      </w:r>
      <w:r w:rsidR="00734DA2" w:rsidRPr="00734DA2">
        <w:rPr>
          <w:highlight w:val="yellow"/>
        </w:rPr>
        <w:t>GS-A_5571</w:t>
      </w:r>
      <w:r w:rsidR="00734DA2">
        <w:t xml:space="preserve"> </w:t>
      </w:r>
      <w:r w:rsidRPr="00CA3460">
        <w:t>soll unter anderem IP-Spoofing verhindern.</w:t>
      </w:r>
    </w:p>
    <w:p w:rsidR="00D33E92" w:rsidRPr="00CA3460" w:rsidRDefault="00D33E92" w:rsidP="007B0E3E">
      <w:pPr>
        <w:pStyle w:val="gemEinzug"/>
        <w:ind w:left="708" w:hanging="708"/>
        <w:rPr>
          <w:b/>
        </w:rPr>
      </w:pPr>
      <w:r w:rsidRPr="00CA3460">
        <w:rPr>
          <w:rFonts w:ascii="Wingdings" w:hAnsi="Wingdings"/>
          <w:b/>
        </w:rPr>
        <w:sym w:font="Wingdings" w:char="F0D6"/>
      </w:r>
      <w:r w:rsidRPr="00CA3460">
        <w:rPr>
          <w:b/>
        </w:rPr>
        <w:tab/>
      </w:r>
      <w:r w:rsidR="00D726B9" w:rsidRPr="00D726B9">
        <w:rPr>
          <w:b/>
          <w:highlight w:val="yellow"/>
        </w:rPr>
        <w:t>GS-A_5572</w:t>
      </w:r>
      <w:r w:rsidR="00D726B9">
        <w:rPr>
          <w:b/>
        </w:rPr>
        <w:t xml:space="preserve"> </w:t>
      </w:r>
      <w:r w:rsidRPr="00CA3460">
        <w:rPr>
          <w:b/>
        </w:rPr>
        <w:t>Sichere Speicherung privater Schlüssel für TI-Identitäten</w:t>
      </w:r>
    </w:p>
    <w:p w:rsidR="0071250F" w:rsidRDefault="00D33E92" w:rsidP="007B0E3E">
      <w:pPr>
        <w:pStyle w:val="gemEinzug"/>
        <w:kinsoku w:val="0"/>
        <w:ind w:left="709"/>
        <w:rPr>
          <w:rFonts w:ascii="Wingdings" w:hAnsi="Wingdings"/>
          <w:b/>
        </w:rPr>
      </w:pPr>
      <w:r w:rsidRPr="00CA3460">
        <w:t xml:space="preserve">Der Anbieter </w:t>
      </w:r>
      <w:r w:rsidR="00AA771D">
        <w:t xml:space="preserve">weiterer Anwendungen </w:t>
      </w:r>
      <w:r w:rsidR="00C87123">
        <w:t>mit Beeinträchtigung der TI</w:t>
      </w:r>
      <w:r w:rsidR="00C87123" w:rsidRPr="00CA3460">
        <w:t xml:space="preserve"> </w:t>
      </w:r>
      <w:r w:rsidRPr="00CA3460">
        <w:t>MUSS die ihm zugeordneten privaten asymmetrische</w:t>
      </w:r>
      <w:r w:rsidR="00536E0D">
        <w:t>n</w:t>
      </w:r>
      <w:r w:rsidRPr="00CA3460">
        <w:t xml:space="preserve"> Schlüssel von Identitäten der Telematikinfrastruktur sicher speichern, so dass der Schlüssel während der Speicherung insbesondere nicht unautorisiert ausgelesen, unautorisiert verändert, unautorisiert ersetzt oder in anderer Weise unautorisiert benutzt werden kann.</w:t>
      </w:r>
    </w:p>
    <w:p w:rsidR="00D33E92" w:rsidRPr="0071250F" w:rsidRDefault="0071250F" w:rsidP="0071250F">
      <w:pPr>
        <w:pStyle w:val="gemStandard"/>
        <w:rPr>
          <w:b/>
        </w:rPr>
      </w:pPr>
      <w:r>
        <w:rPr>
          <w:b/>
        </w:rPr>
        <w:sym w:font="Wingdings" w:char="F0D5"/>
      </w:r>
      <w:r w:rsidR="00556D48" w:rsidRPr="0071250F">
        <w:rPr>
          <w:b/>
        </w:rPr>
        <w:t xml:space="preserve"> </w:t>
      </w:r>
    </w:p>
    <w:p w:rsidR="00D33E92" w:rsidRPr="00CA3460" w:rsidRDefault="00D33E92" w:rsidP="007B0E3E">
      <w:pPr>
        <w:pStyle w:val="gemEinzug"/>
        <w:ind w:left="708" w:hanging="708"/>
        <w:rPr>
          <w:b/>
        </w:rPr>
      </w:pPr>
      <w:r w:rsidRPr="00CA3460">
        <w:rPr>
          <w:rFonts w:ascii="Wingdings" w:hAnsi="Wingdings"/>
          <w:b/>
        </w:rPr>
        <w:sym w:font="Wingdings" w:char="F0D6"/>
      </w:r>
      <w:r w:rsidRPr="00CA3460">
        <w:rPr>
          <w:b/>
        </w:rPr>
        <w:tab/>
      </w:r>
      <w:r w:rsidR="00D726B9" w:rsidRPr="00D726B9">
        <w:rPr>
          <w:b/>
          <w:highlight w:val="yellow"/>
        </w:rPr>
        <w:t>GS-A_5573</w:t>
      </w:r>
      <w:r w:rsidR="00D726B9">
        <w:rPr>
          <w:b/>
        </w:rPr>
        <w:t xml:space="preserve"> </w:t>
      </w:r>
      <w:r w:rsidRPr="00CA3460">
        <w:rPr>
          <w:b/>
        </w:rPr>
        <w:t>Qualität der X.509-Identität des Dienstes der Anwendung</w:t>
      </w:r>
    </w:p>
    <w:p w:rsidR="0071250F" w:rsidRDefault="00D33E92" w:rsidP="007B0E3E">
      <w:pPr>
        <w:pStyle w:val="gemEinzug"/>
        <w:kinsoku w:val="0"/>
        <w:ind w:left="709"/>
        <w:rPr>
          <w:rFonts w:ascii="Wingdings" w:hAnsi="Wingdings"/>
          <w:b/>
        </w:rPr>
      </w:pPr>
      <w:r w:rsidRPr="00CA3460">
        <w:t xml:space="preserve">Der Anbieter </w:t>
      </w:r>
      <w:r w:rsidR="00AA771D">
        <w:t xml:space="preserve">weiterer Anwendungen </w:t>
      </w:r>
      <w:r w:rsidR="00C87123">
        <w:t>mit Beeinträchtigung der TI</w:t>
      </w:r>
      <w:r w:rsidR="00C87123" w:rsidRPr="00CA3460">
        <w:t xml:space="preserve"> </w:t>
      </w:r>
      <w:r w:rsidRPr="00CA3460">
        <w:t xml:space="preserve">MUSS sicherstellen, dass die zum Komponentenzertifikat gehörende X.509-Identität des Dienstes </w:t>
      </w:r>
      <w:r w:rsidR="00536E0D">
        <w:t>der weiteren Anwendung</w:t>
      </w:r>
      <w:r w:rsidRPr="00CA3460">
        <w:t xml:space="preserve"> die Vorgaben für X.509-Identitäten aus [</w:t>
      </w:r>
      <w:proofErr w:type="spellStart"/>
      <w:r w:rsidRPr="00CA3460">
        <w:t>gemSpec_Krypt</w:t>
      </w:r>
      <w:proofErr w:type="spellEnd"/>
      <w:r w:rsidRPr="00CA3460">
        <w:t>] erfüllt.</w:t>
      </w:r>
    </w:p>
    <w:p w:rsidR="00217A7D" w:rsidRPr="0071250F" w:rsidRDefault="0071250F" w:rsidP="0071250F">
      <w:pPr>
        <w:pStyle w:val="gemStandard"/>
      </w:pPr>
      <w:r>
        <w:rPr>
          <w:b/>
        </w:rPr>
        <w:sym w:font="Wingdings" w:char="F0D5"/>
      </w:r>
    </w:p>
    <w:p w:rsidR="00CA1621" w:rsidRPr="00B96119" w:rsidRDefault="00CA1621" w:rsidP="00CA1621">
      <w:pPr>
        <w:pStyle w:val="gemStandard"/>
        <w:ind w:left="708" w:hanging="708"/>
        <w:rPr>
          <w:b/>
        </w:rPr>
      </w:pPr>
      <w:r w:rsidRPr="00B96119">
        <w:rPr>
          <w:rFonts w:ascii="Wingdings" w:hAnsi="Wingdings"/>
          <w:b/>
        </w:rPr>
        <w:sym w:font="Wingdings" w:char="F0D6"/>
      </w:r>
      <w:r w:rsidRPr="00B96119">
        <w:rPr>
          <w:b/>
        </w:rPr>
        <w:tab/>
      </w:r>
      <w:r w:rsidR="0009573B" w:rsidRPr="0009573B">
        <w:rPr>
          <w:b/>
          <w:highlight w:val="yellow"/>
        </w:rPr>
        <w:t>GS-A_5574</w:t>
      </w:r>
      <w:r w:rsidR="0009573B">
        <w:rPr>
          <w:b/>
        </w:rPr>
        <w:t xml:space="preserve"> </w:t>
      </w:r>
      <w:r>
        <w:rPr>
          <w:b/>
        </w:rPr>
        <w:t>Kryptographische Verfahren bei Anbietern mit Beeinträchtigung der TI</w:t>
      </w:r>
    </w:p>
    <w:p w:rsidR="0071250F" w:rsidRDefault="00CA1621" w:rsidP="007B0E3E">
      <w:pPr>
        <w:pStyle w:val="gemEinzug"/>
        <w:kinsoku w:val="0"/>
        <w:ind w:left="709"/>
        <w:rPr>
          <w:rFonts w:ascii="Wingdings" w:hAnsi="Wingdings"/>
          <w:b/>
        </w:rPr>
      </w:pPr>
      <w:r w:rsidRPr="00B96119">
        <w:t xml:space="preserve">Falls der Anbieter </w:t>
      </w:r>
      <w:r>
        <w:t>weiterer Anwendungen mit Beeinträchtigung der TI</w:t>
      </w:r>
      <w:r w:rsidRPr="00CA3460">
        <w:t xml:space="preserve"> </w:t>
      </w:r>
      <w:r w:rsidRPr="00B96119">
        <w:t>kryptographische Verfahren zum Schutz personenbezogener medizinischer Daten verwendet, MÜSSEN die Vorgaben aus [</w:t>
      </w:r>
      <w:proofErr w:type="spellStart"/>
      <w:r w:rsidRPr="00B96119">
        <w:t>gemSpec_Krypt</w:t>
      </w:r>
      <w:proofErr w:type="spellEnd"/>
      <w:r w:rsidRPr="00B96119">
        <w:t>] eingehalten werden.</w:t>
      </w:r>
    </w:p>
    <w:p w:rsidR="00CA1621" w:rsidRPr="0071250F" w:rsidRDefault="0071250F" w:rsidP="0071250F">
      <w:pPr>
        <w:pStyle w:val="gemStandard"/>
      </w:pPr>
      <w:r>
        <w:rPr>
          <w:b/>
        </w:rPr>
        <w:sym w:font="Wingdings" w:char="F0D5"/>
      </w:r>
    </w:p>
    <w:p w:rsidR="00333E9D" w:rsidRDefault="00A5122B" w:rsidP="00333E9D">
      <w:pPr>
        <w:pStyle w:val="gemStandard"/>
      </w:pPr>
      <w:r>
        <w:lastRenderedPageBreak/>
        <w:t>Die folgende</w:t>
      </w:r>
      <w:r w:rsidR="00333E9D" w:rsidRPr="00333E9D">
        <w:t xml:space="preserve"> </w:t>
      </w:r>
      <w:r w:rsidR="008614CE">
        <w:t>Anforderung</w:t>
      </w:r>
      <w:r w:rsidR="00333E9D">
        <w:t xml:space="preserve"> leg</w:t>
      </w:r>
      <w:r w:rsidR="008614CE">
        <w:t>t</w:t>
      </w:r>
      <w:r w:rsidR="00333E9D">
        <w:t xml:space="preserve"> die Auditrechte der gematik für Anbieter weiterer Anwendungen mit Beeinträchtigung der TI fest. Sie entspr</w:t>
      </w:r>
      <w:r w:rsidR="008614CE">
        <w:t>icht</w:t>
      </w:r>
      <w:r w:rsidR="00333E9D">
        <w:t xml:space="preserve"> inhaltlich den vertraglich festgelegten Auditrechten der gematik bei Anbieter</w:t>
      </w:r>
      <w:r w:rsidR="00BD4D60">
        <w:t>n</w:t>
      </w:r>
      <w:r w:rsidR="00333E9D">
        <w:t xml:space="preserve"> von Diensten der TI. </w:t>
      </w:r>
    </w:p>
    <w:p w:rsidR="003B2442" w:rsidRPr="00CA3460" w:rsidRDefault="003B2442" w:rsidP="003B2442">
      <w:pPr>
        <w:pStyle w:val="gemEinzug"/>
        <w:ind w:left="708" w:hanging="708"/>
        <w:rPr>
          <w:b/>
        </w:rPr>
      </w:pPr>
      <w:r w:rsidRPr="00CA3460">
        <w:rPr>
          <w:rFonts w:ascii="Wingdings" w:hAnsi="Wingdings"/>
          <w:b/>
        </w:rPr>
        <w:sym w:font="Wingdings" w:char="F0D6"/>
      </w:r>
      <w:r w:rsidRPr="00CA3460">
        <w:rPr>
          <w:b/>
        </w:rPr>
        <w:tab/>
      </w:r>
      <w:r w:rsidR="004349C4" w:rsidRPr="004349C4">
        <w:rPr>
          <w:b/>
          <w:highlight w:val="yellow"/>
        </w:rPr>
        <w:t>GS-A_5575</w:t>
      </w:r>
      <w:r w:rsidR="004349C4">
        <w:rPr>
          <w:b/>
        </w:rPr>
        <w:t xml:space="preserve"> </w:t>
      </w:r>
      <w:r w:rsidR="003F6E3F">
        <w:rPr>
          <w:b/>
        </w:rPr>
        <w:t>Auditrechte der gematik</w:t>
      </w:r>
    </w:p>
    <w:p w:rsidR="00AD2496" w:rsidRDefault="003B2442" w:rsidP="003B2442">
      <w:pPr>
        <w:pStyle w:val="gemEinzug"/>
        <w:kinsoku w:val="0"/>
        <w:ind w:left="709"/>
      </w:pPr>
      <w:r w:rsidRPr="00CA3460">
        <w:t xml:space="preserve">Der Anbieter </w:t>
      </w:r>
      <w:r>
        <w:t>weiterer Anwendungen mit Beeinträchtigung der TI</w:t>
      </w:r>
      <w:r w:rsidRPr="00CA3460">
        <w:t xml:space="preserve"> MUSS </w:t>
      </w:r>
      <w:r>
        <w:t>zusichern</w:t>
      </w:r>
      <w:r w:rsidRPr="00CA3460">
        <w:t xml:space="preserve">, dass die </w:t>
      </w:r>
      <w:r>
        <w:t xml:space="preserve">gematik </w:t>
      </w:r>
      <w:r w:rsidR="00E87ABC">
        <w:t xml:space="preserve">oder </w:t>
      </w:r>
      <w:r w:rsidR="00D718DD">
        <w:t xml:space="preserve">ein </w:t>
      </w:r>
      <w:r w:rsidR="00BD4D60">
        <w:t xml:space="preserve">von ihr </w:t>
      </w:r>
      <w:r w:rsidR="00D718DD">
        <w:t>zur Geheimhaltung</w:t>
      </w:r>
      <w:r w:rsidR="00BD4D60" w:rsidRPr="00BD4D60">
        <w:t xml:space="preserve"> v</w:t>
      </w:r>
      <w:r w:rsidR="00BD4D60">
        <w:t>erpflichtete</w:t>
      </w:r>
      <w:r w:rsidR="00D718DD">
        <w:t>r</w:t>
      </w:r>
      <w:r w:rsidR="00556D48">
        <w:t xml:space="preserve"> </w:t>
      </w:r>
      <w:r w:rsidR="00BD4D60">
        <w:t>Bevollmächtigte</w:t>
      </w:r>
      <w:r w:rsidR="00D718DD">
        <w:t>r</w:t>
      </w:r>
      <w:r w:rsidR="00BD4D60">
        <w:t xml:space="preserve"> </w:t>
      </w:r>
      <w:r>
        <w:t xml:space="preserve">berechtigt </w:t>
      </w:r>
      <w:r w:rsidR="00D718DD">
        <w:t>sind</w:t>
      </w:r>
      <w:r>
        <w:t xml:space="preserve">, </w:t>
      </w:r>
    </w:p>
    <w:p w:rsidR="008614CE" w:rsidRPr="008614CE" w:rsidRDefault="008614CE" w:rsidP="00AD2496">
      <w:pPr>
        <w:pStyle w:val="gemEinzug"/>
        <w:numPr>
          <w:ilvl w:val="0"/>
          <w:numId w:val="35"/>
        </w:numPr>
        <w:kinsoku w:val="0"/>
        <w:rPr>
          <w:rFonts w:ascii="Wingdings" w:hAnsi="Wingdings"/>
          <w:b/>
        </w:rPr>
      </w:pPr>
      <w:r>
        <w:t>pro Kalenderjahr maximal ein Regelaudit durchzuführen. Hiervon</w:t>
      </w:r>
      <w:r w:rsidR="00556D48">
        <w:t xml:space="preserve"> </w:t>
      </w:r>
      <w:r>
        <w:t>unbenommen</w:t>
      </w:r>
      <w:r w:rsidR="00556D48">
        <w:t xml:space="preserve"> </w:t>
      </w:r>
      <w:r>
        <w:t>ist</w:t>
      </w:r>
      <w:r w:rsidR="00556D48">
        <w:t xml:space="preserve"> </w:t>
      </w:r>
      <w:r>
        <w:t>das</w:t>
      </w:r>
      <w:r w:rsidR="00556D48">
        <w:t xml:space="preserve"> </w:t>
      </w:r>
      <w:r>
        <w:t>Recht</w:t>
      </w:r>
      <w:r w:rsidR="00556D48">
        <w:t xml:space="preserve"> </w:t>
      </w:r>
      <w:r>
        <w:t>der</w:t>
      </w:r>
      <w:r w:rsidR="00556D48">
        <w:t xml:space="preserve"> </w:t>
      </w:r>
      <w:r>
        <w:t>gematik,</w:t>
      </w:r>
      <w:r w:rsidR="00556D48">
        <w:t xml:space="preserve"> </w:t>
      </w:r>
      <w:r>
        <w:t>anla</w:t>
      </w:r>
      <w:r w:rsidR="00707494">
        <w:t>ssbezogene Audits durchzuführen,</w:t>
      </w:r>
    </w:p>
    <w:p w:rsidR="00AD2496" w:rsidRPr="00AD2496" w:rsidRDefault="008614CE" w:rsidP="00AD2496">
      <w:pPr>
        <w:pStyle w:val="gemEinzug"/>
        <w:numPr>
          <w:ilvl w:val="0"/>
          <w:numId w:val="35"/>
        </w:numPr>
        <w:kinsoku w:val="0"/>
        <w:rPr>
          <w:rFonts w:ascii="Wingdings" w:hAnsi="Wingdings"/>
          <w:b/>
        </w:rPr>
      </w:pPr>
      <w:r>
        <w:t xml:space="preserve">im Rahmen eines Audits </w:t>
      </w:r>
      <w:r w:rsidR="003B2442">
        <w:t xml:space="preserve">beim Anbieter </w:t>
      </w:r>
      <w:r w:rsidR="003F6E3F">
        <w:t xml:space="preserve">die konkrete Umsetzung der an </w:t>
      </w:r>
      <w:r w:rsidR="00407D4D">
        <w:t>den Anbieter</w:t>
      </w:r>
      <w:r w:rsidR="003F6E3F">
        <w:t xml:space="preserve"> gestellten Anforderungen der TI zum Datenschutz und der Informationssicherheit zu über</w:t>
      </w:r>
      <w:r w:rsidR="00707494">
        <w:t>prüfen,</w:t>
      </w:r>
      <w:r w:rsidR="003F6E3F">
        <w:t xml:space="preserve"> </w:t>
      </w:r>
    </w:p>
    <w:p w:rsidR="008614CE" w:rsidRPr="008614CE" w:rsidRDefault="008614CE" w:rsidP="008614CE">
      <w:pPr>
        <w:pStyle w:val="gemEinzug"/>
        <w:numPr>
          <w:ilvl w:val="0"/>
          <w:numId w:val="35"/>
        </w:numPr>
        <w:kinsoku w:val="0"/>
        <w:rPr>
          <w:rFonts w:ascii="Wingdings" w:hAnsi="Wingdings"/>
          <w:b/>
        </w:rPr>
      </w:pPr>
      <w:r>
        <w:t xml:space="preserve">im Rahmen eines Audits </w:t>
      </w:r>
      <w:r w:rsidR="00AD2496">
        <w:t>während der üblichen Geschäftszeiten</w:t>
      </w:r>
      <w:r>
        <w:t xml:space="preserve"> </w:t>
      </w:r>
      <w:r w:rsidR="00AD2496">
        <w:t>die Geschäfts</w:t>
      </w:r>
      <w:r w:rsidR="00707494">
        <w:t>räume des Anbieters zu betreten,</w:t>
      </w:r>
    </w:p>
    <w:p w:rsidR="008614CE" w:rsidRPr="008614CE" w:rsidRDefault="008614CE" w:rsidP="008614CE">
      <w:pPr>
        <w:pStyle w:val="gemEinzug"/>
        <w:numPr>
          <w:ilvl w:val="0"/>
          <w:numId w:val="35"/>
        </w:numPr>
        <w:kinsoku w:val="0"/>
        <w:rPr>
          <w:rFonts w:ascii="Wingdings" w:hAnsi="Wingdings"/>
          <w:b/>
        </w:rPr>
      </w:pPr>
      <w:r>
        <w:t xml:space="preserve">im Rahmen eines Audits alle für das Audit benötigten Informationen zur Verfügung gestellt zu bekommen und insbesondere die erforderlichen Zugangs-, Auskunfts- und Einsichtsrechte </w:t>
      </w:r>
      <w:r w:rsidR="00A5122B">
        <w:t xml:space="preserve">zu </w:t>
      </w:r>
      <w:r>
        <w:t>erhalten.</w:t>
      </w:r>
    </w:p>
    <w:p w:rsidR="0071250F" w:rsidRDefault="00A5122B" w:rsidP="00AD2496">
      <w:pPr>
        <w:pStyle w:val="gemEinzug"/>
        <w:kinsoku w:val="0"/>
        <w:ind w:left="709"/>
        <w:rPr>
          <w:rFonts w:ascii="Wingdings" w:hAnsi="Wingdings"/>
          <w:b/>
        </w:rPr>
      </w:pPr>
      <w:r>
        <w:t xml:space="preserve">Dies hat der Anbieter </w:t>
      </w:r>
      <w:r w:rsidRPr="002F4D3C">
        <w:rPr>
          <w:lang w:eastAsia="ja-JP"/>
        </w:rPr>
        <w:t xml:space="preserve">im gleichen Maße </w:t>
      </w:r>
      <w:r>
        <w:rPr>
          <w:lang w:eastAsia="ja-JP"/>
        </w:rPr>
        <w:t>für</w:t>
      </w:r>
      <w:r w:rsidRPr="002F4D3C">
        <w:rPr>
          <w:lang w:eastAsia="ja-JP"/>
        </w:rPr>
        <w:t xml:space="preserve"> </w:t>
      </w:r>
      <w:r>
        <w:rPr>
          <w:lang w:eastAsia="ja-JP"/>
        </w:rPr>
        <w:t>Unterauftragnehmer</w:t>
      </w:r>
      <w:r w:rsidRPr="002F4D3C">
        <w:rPr>
          <w:lang w:eastAsia="ja-JP"/>
        </w:rPr>
        <w:t xml:space="preserve"> </w:t>
      </w:r>
      <w:r>
        <w:rPr>
          <w:lang w:eastAsia="ja-JP"/>
        </w:rPr>
        <w:t xml:space="preserve">zuzusichern. </w:t>
      </w:r>
      <w:r w:rsidR="008614CE">
        <w:t xml:space="preserve">Die Kosten, die dem Anbieter durch diese Mitwirkungspflichten entstehen, trägt der Anbieter selbst. </w:t>
      </w:r>
    </w:p>
    <w:p w:rsidR="003B2442" w:rsidRPr="0071250F" w:rsidRDefault="0071250F" w:rsidP="0071250F">
      <w:pPr>
        <w:pStyle w:val="gemStandard"/>
      </w:pPr>
      <w:r>
        <w:rPr>
          <w:b/>
        </w:rPr>
        <w:sym w:font="Wingdings" w:char="F0D5"/>
      </w:r>
    </w:p>
    <w:p w:rsidR="009A6130" w:rsidRDefault="009A6130" w:rsidP="0071250F">
      <w:pPr>
        <w:pStyle w:val="berschrift3"/>
      </w:pPr>
      <w:bookmarkStart w:id="158" w:name="_Toc503165512"/>
      <w:r>
        <w:t>Modul „Weitere Anwendungen (ohne TI-Beeinträchtigung)“</w:t>
      </w:r>
      <w:bookmarkEnd w:id="158"/>
    </w:p>
    <w:p w:rsidR="009A6130" w:rsidRDefault="007D575D" w:rsidP="009A6130">
      <w:pPr>
        <w:pStyle w:val="gemStandard"/>
      </w:pPr>
      <w:r>
        <w:t>Das</w:t>
      </w:r>
      <w:r w:rsidR="009A6130">
        <w:t xml:space="preserve"> spezifische Modul „Weitere Anwendungen (ohne TI-Beeinträchtigung)“ </w:t>
      </w:r>
      <w:r>
        <w:t>enthält folgende Anforderungen.</w:t>
      </w:r>
    </w:p>
    <w:p w:rsidR="007D575D" w:rsidRPr="00CA3460" w:rsidRDefault="007D575D" w:rsidP="007D575D">
      <w:pPr>
        <w:pStyle w:val="gemStandard"/>
        <w:tabs>
          <w:tab w:val="left" w:pos="567"/>
        </w:tabs>
        <w:ind w:left="567" w:hanging="567"/>
        <w:rPr>
          <w:b/>
        </w:rPr>
      </w:pPr>
      <w:r w:rsidRPr="00CA3460">
        <w:rPr>
          <w:rFonts w:ascii="Wingdings" w:hAnsi="Wingdings"/>
          <w:b/>
        </w:rPr>
        <w:sym w:font="Wingdings" w:char="F0D6"/>
      </w:r>
      <w:r w:rsidRPr="00CA3460">
        <w:rPr>
          <w:b/>
        </w:rPr>
        <w:tab/>
      </w:r>
      <w:r w:rsidR="004349C4" w:rsidRPr="004349C4">
        <w:rPr>
          <w:b/>
          <w:highlight w:val="yellow"/>
        </w:rPr>
        <w:t>GS-A_5576</w:t>
      </w:r>
      <w:r w:rsidR="004349C4">
        <w:rPr>
          <w:b/>
        </w:rPr>
        <w:t xml:space="preserve"> </w:t>
      </w:r>
      <w:r w:rsidRPr="00CA3460">
        <w:rPr>
          <w:b/>
        </w:rPr>
        <w:t>Regelmäßiger Nachweis von D</w:t>
      </w:r>
      <w:r>
        <w:rPr>
          <w:b/>
        </w:rPr>
        <w:t>atenschutz- und Sicherheit</w:t>
      </w:r>
    </w:p>
    <w:p w:rsidR="0071250F" w:rsidRDefault="007D575D" w:rsidP="007D575D">
      <w:pPr>
        <w:pStyle w:val="gemStandard"/>
        <w:ind w:left="567"/>
        <w:rPr>
          <w:rFonts w:ascii="Wingdings" w:hAnsi="Wingdings"/>
          <w:b/>
        </w:rPr>
      </w:pPr>
      <w:r w:rsidRPr="00CA3460">
        <w:t>Der Anbieter</w:t>
      </w:r>
      <w:r w:rsidR="00A63950">
        <w:t xml:space="preserve"> weiterer Anwendungen</w:t>
      </w:r>
      <w:r w:rsidRPr="00CA3460">
        <w:t xml:space="preserve"> </w:t>
      </w:r>
      <w:r w:rsidR="00F47E41">
        <w:t xml:space="preserve">ohne Beeinträchtigung der TI </w:t>
      </w:r>
      <w:r w:rsidRPr="00CA3460">
        <w:t>MUSS der Zulassungsstelle der gematik alle drei Jahre schriftlich mitteilen, dass in allen Anwendungen des Anbieters, die mittels der TI nutzbar sind, die Datenschutz- und Sicherheitsanforderungen des für die Anwendungen geltenden Produktsteckbriefes umgesetzt sind, die Vorschriften zum Datenschutz eingehalten werden und die Anforderungen an die Sicherheit der Anwendungen gewährleistet ist.</w:t>
      </w:r>
    </w:p>
    <w:p w:rsidR="007D575D" w:rsidRPr="0071250F" w:rsidRDefault="0071250F" w:rsidP="007D575D">
      <w:pPr>
        <w:pStyle w:val="gemStandard"/>
        <w:ind w:left="567"/>
        <w:rPr>
          <w:b/>
        </w:rPr>
      </w:pPr>
      <w:r>
        <w:rPr>
          <w:rFonts w:ascii="Wingdings" w:hAnsi="Wingdings"/>
          <w:b/>
        </w:rPr>
        <w:sym w:font="Wingdings" w:char="F0D5"/>
      </w:r>
      <w:r w:rsidR="007D575D" w:rsidRPr="0071250F">
        <w:rPr>
          <w:b/>
        </w:rPr>
        <w:t xml:space="preserve"> </w:t>
      </w:r>
    </w:p>
    <w:p w:rsidR="007D575D" w:rsidRPr="00CA3460" w:rsidRDefault="007D575D" w:rsidP="007D575D">
      <w:pPr>
        <w:pStyle w:val="gemStandard"/>
        <w:tabs>
          <w:tab w:val="left" w:pos="567"/>
        </w:tabs>
        <w:ind w:left="567" w:hanging="567"/>
        <w:rPr>
          <w:b/>
        </w:rPr>
      </w:pPr>
      <w:r w:rsidRPr="00CA3460">
        <w:rPr>
          <w:rFonts w:ascii="Wingdings" w:hAnsi="Wingdings"/>
          <w:b/>
        </w:rPr>
        <w:sym w:font="Wingdings" w:char="F0D6"/>
      </w:r>
      <w:r w:rsidRPr="00CA3460">
        <w:rPr>
          <w:b/>
        </w:rPr>
        <w:tab/>
      </w:r>
      <w:r w:rsidR="004349C4" w:rsidRPr="004349C4">
        <w:rPr>
          <w:b/>
          <w:highlight w:val="yellow"/>
        </w:rPr>
        <w:t>GS-A_5577</w:t>
      </w:r>
      <w:r w:rsidR="004349C4">
        <w:rPr>
          <w:b/>
        </w:rPr>
        <w:t xml:space="preserve"> </w:t>
      </w:r>
      <w:r w:rsidRPr="00CA3460">
        <w:rPr>
          <w:b/>
        </w:rPr>
        <w:t>Erklärung bei Änderu</w:t>
      </w:r>
      <w:r>
        <w:rPr>
          <w:b/>
        </w:rPr>
        <w:t>ngen am Bestätigungsobjekt</w:t>
      </w:r>
    </w:p>
    <w:p w:rsidR="0071250F" w:rsidRDefault="007D575D" w:rsidP="007D575D">
      <w:pPr>
        <w:pStyle w:val="gemStandard"/>
        <w:ind w:left="567"/>
        <w:rPr>
          <w:rFonts w:ascii="Wingdings" w:hAnsi="Wingdings"/>
          <w:b/>
        </w:rPr>
      </w:pPr>
      <w:r w:rsidRPr="00CA3460">
        <w:t xml:space="preserve">Der Anbieter </w:t>
      </w:r>
      <w:r w:rsidR="00F47E41">
        <w:t>weiterer Anwendungen</w:t>
      </w:r>
      <w:r w:rsidR="00F47E41" w:rsidRPr="00CA3460">
        <w:t xml:space="preserve"> </w:t>
      </w:r>
      <w:r w:rsidR="00F47E41">
        <w:t xml:space="preserve">ohne Beeinträchtigung </w:t>
      </w:r>
      <w:r w:rsidR="00501AFC">
        <w:t xml:space="preserve">der TI </w:t>
      </w:r>
      <w:r w:rsidRPr="00CA3460">
        <w:t>MUSS bei Änderungen am Objekt der Bestätigung, die der Zulassungsstelle der gematik angezeigt werden müssen, schriftlich mitteilen, dass durch die Änderungen weiterhin die Vorschriften zum Datenschutz eingehalten werden und die Anforderungen an die Sicherheit gewährleistet sind.</w:t>
      </w:r>
    </w:p>
    <w:p w:rsidR="007D575D" w:rsidRPr="0071250F" w:rsidRDefault="0071250F" w:rsidP="007D575D">
      <w:pPr>
        <w:pStyle w:val="gemStandard"/>
        <w:ind w:left="567"/>
        <w:rPr>
          <w:b/>
        </w:rPr>
      </w:pPr>
      <w:r>
        <w:rPr>
          <w:rFonts w:ascii="Wingdings" w:hAnsi="Wingdings"/>
          <w:b/>
        </w:rPr>
        <w:sym w:font="Wingdings" w:char="F0D5"/>
      </w:r>
      <w:r w:rsidR="007D575D" w:rsidRPr="0071250F">
        <w:rPr>
          <w:b/>
        </w:rPr>
        <w:t xml:space="preserve"> </w:t>
      </w:r>
    </w:p>
    <w:p w:rsidR="00CA1621" w:rsidRPr="00B96119" w:rsidRDefault="00CA1621" w:rsidP="00CA1621">
      <w:pPr>
        <w:pStyle w:val="gemStandard"/>
        <w:tabs>
          <w:tab w:val="left" w:pos="567"/>
        </w:tabs>
        <w:ind w:left="567" w:hanging="567"/>
        <w:rPr>
          <w:b/>
        </w:rPr>
      </w:pPr>
      <w:r w:rsidRPr="00B96119">
        <w:rPr>
          <w:rFonts w:ascii="Wingdings" w:hAnsi="Wingdings"/>
          <w:b/>
        </w:rPr>
        <w:lastRenderedPageBreak/>
        <w:sym w:font="Wingdings" w:char="F0D6"/>
      </w:r>
      <w:r w:rsidRPr="00B96119">
        <w:rPr>
          <w:b/>
        </w:rPr>
        <w:tab/>
      </w:r>
      <w:bookmarkStart w:id="159" w:name="_GoBack"/>
      <w:bookmarkEnd w:id="159"/>
      <w:r w:rsidR="004349C4" w:rsidRPr="004349C4">
        <w:rPr>
          <w:b/>
          <w:highlight w:val="yellow"/>
        </w:rPr>
        <w:t>GS-A_5578</w:t>
      </w:r>
      <w:r w:rsidR="004349C4">
        <w:rPr>
          <w:b/>
        </w:rPr>
        <w:t xml:space="preserve"> </w:t>
      </w:r>
      <w:r>
        <w:rPr>
          <w:b/>
        </w:rPr>
        <w:t xml:space="preserve">Kryptographische Verfahren bei Anbietern </w:t>
      </w:r>
      <w:r w:rsidR="003802F2">
        <w:rPr>
          <w:b/>
        </w:rPr>
        <w:t xml:space="preserve">ohne </w:t>
      </w:r>
      <w:r>
        <w:rPr>
          <w:b/>
        </w:rPr>
        <w:t>Beeinträchtigung der TI</w:t>
      </w:r>
    </w:p>
    <w:p w:rsidR="0071250F" w:rsidRDefault="00CA1621" w:rsidP="00CA1621">
      <w:pPr>
        <w:pStyle w:val="gemStandard"/>
        <w:ind w:left="567"/>
        <w:rPr>
          <w:rFonts w:ascii="Wingdings" w:hAnsi="Wingdings"/>
          <w:b/>
        </w:rPr>
      </w:pPr>
      <w:r w:rsidRPr="00B96119">
        <w:t xml:space="preserve">Falls der Anbieter </w:t>
      </w:r>
      <w:r>
        <w:t>weiterer Anwendungen ohne Beeinträchtigung der TI</w:t>
      </w:r>
      <w:r w:rsidRPr="00CA3460">
        <w:t xml:space="preserve"> </w:t>
      </w:r>
      <w:r w:rsidRPr="00B96119">
        <w:t>kryptographische Verfahren zum Schutz personenbezogener medizinischer Daten verwendet, MÜSSEN die Vorgaben aus [</w:t>
      </w:r>
      <w:proofErr w:type="spellStart"/>
      <w:r w:rsidRPr="00B96119">
        <w:t>gemSpec_Krypt</w:t>
      </w:r>
      <w:proofErr w:type="spellEnd"/>
      <w:r w:rsidRPr="00B96119">
        <w:t>] eingehalten werden.</w:t>
      </w:r>
    </w:p>
    <w:p w:rsidR="00CA1621" w:rsidRPr="0071250F" w:rsidRDefault="0071250F" w:rsidP="00CA1621">
      <w:pPr>
        <w:pStyle w:val="gemStandard"/>
        <w:ind w:left="567"/>
      </w:pPr>
      <w:r>
        <w:rPr>
          <w:rFonts w:ascii="Wingdings" w:hAnsi="Wingdings"/>
          <w:b/>
        </w:rPr>
        <w:sym w:font="Wingdings" w:char="F0D5"/>
      </w:r>
    </w:p>
    <w:p w:rsidR="003E2709" w:rsidRDefault="003E2709" w:rsidP="0071250F">
      <w:pPr>
        <w:pStyle w:val="berschrift2"/>
      </w:pPr>
      <w:bookmarkStart w:id="160" w:name="_Toc503165513"/>
      <w:r>
        <w:t>Modul „Schlüsselverwaltung“</w:t>
      </w:r>
      <w:bookmarkEnd w:id="160"/>
    </w:p>
    <w:p w:rsidR="00454A4D" w:rsidRDefault="00454A4D" w:rsidP="00454A4D">
      <w:pPr>
        <w:pStyle w:val="gemStandard"/>
      </w:pPr>
      <w:r>
        <w:t>Dieses Modul ist nur von Anbietern umzusetzen, die eine Schlüsselverwaltung anbieten</w:t>
      </w:r>
      <w:commentRangeStart w:id="161"/>
      <w:r>
        <w:t>.</w:t>
      </w:r>
      <w:r w:rsidR="00F62F95" w:rsidRPr="00F62F95">
        <w:rPr>
          <w:rStyle w:val="Funotenzeichen"/>
          <w:highlight w:val="yellow"/>
        </w:rPr>
        <w:footnoteReference w:id="2"/>
      </w:r>
      <w:commentRangeEnd w:id="161"/>
      <w:r w:rsidR="00F62F95">
        <w:rPr>
          <w:rStyle w:val="Kommentarzeichen"/>
        </w:rPr>
        <w:commentReference w:id="161"/>
      </w:r>
      <w:r>
        <w:t xml:space="preserve"> </w:t>
      </w:r>
    </w:p>
    <w:p w:rsidR="003E2709" w:rsidRPr="00A74755" w:rsidRDefault="003E2709" w:rsidP="00597CCE">
      <w:pPr>
        <w:pStyle w:val="gemEinzug"/>
        <w:ind w:left="708" w:hanging="708"/>
        <w:rPr>
          <w:rStyle w:val="gemStandardfettZchn"/>
        </w:rPr>
      </w:pPr>
      <w:r w:rsidRPr="00A74755">
        <w:rPr>
          <w:b/>
        </w:rPr>
        <w:sym w:font="Wingdings" w:char="F0D6"/>
      </w:r>
      <w:r w:rsidRPr="00A74755">
        <w:rPr>
          <w:b/>
        </w:rPr>
        <w:tab/>
      </w:r>
      <w:r w:rsidRPr="003E2709">
        <w:rPr>
          <w:rStyle w:val="gemStandardfettZchn"/>
        </w:rPr>
        <w:t>GS-A_3078</w:t>
      </w:r>
      <w:r>
        <w:rPr>
          <w:rStyle w:val="gemStandardfettZchn"/>
        </w:rPr>
        <w:t xml:space="preserve"> </w:t>
      </w:r>
      <w:r w:rsidRPr="003E2709">
        <w:rPr>
          <w:rStyle w:val="gemStandardfettZchn"/>
        </w:rPr>
        <w:t>Anbieter einer Schlüsselverwaltung: verpflichtende Migrationsstrategie bei Schwächung kryptographischer Primitive</w:t>
      </w:r>
    </w:p>
    <w:p w:rsidR="0071250F" w:rsidRDefault="003E2709" w:rsidP="00FE50B9">
      <w:pPr>
        <w:pStyle w:val="gemEinzug"/>
        <w:kinsoku w:val="0"/>
        <w:ind w:left="709"/>
        <w:rPr>
          <w:b/>
        </w:rPr>
      </w:pPr>
      <w:r w:rsidRPr="003E2709">
        <w:t xml:space="preserve">Der Anbieter einer </w:t>
      </w:r>
      <w:r w:rsidRPr="003E2709">
        <w:rPr>
          <w:lang w:eastAsia="ja-JP"/>
        </w:rPr>
        <w:t>Schlüsselverwaltung</w:t>
      </w:r>
      <w:r w:rsidRPr="003E2709">
        <w:t xml:space="preserve"> innerhalb der TI MUSS in seinem Sicherheitskonzept notwendige Umstellungsprozesse bei Schwächung von kryptographischen Primitiven beschreiben und die Wirksamkeit der getroffenen Maßnahmen </w:t>
      </w:r>
      <w:r w:rsidR="00FB73B1">
        <w:t>nachweisen</w:t>
      </w:r>
      <w:r w:rsidRPr="003E2709">
        <w:t xml:space="preserve"> (z.</w:t>
      </w:r>
      <w:r w:rsidR="00707494">
        <w:t> </w:t>
      </w:r>
      <w:r w:rsidRPr="003E2709">
        <w:t>B. durch dokumentierte Notfallübungen, Ablaufprotokolle von abgewickelten Vorfällen).</w:t>
      </w:r>
    </w:p>
    <w:p w:rsidR="003E2709" w:rsidRPr="0071250F" w:rsidRDefault="0071250F" w:rsidP="0071250F">
      <w:pPr>
        <w:pStyle w:val="gemStandard"/>
      </w:pPr>
      <w:r>
        <w:rPr>
          <w:b/>
        </w:rPr>
        <w:sym w:font="Wingdings" w:char="F0D5"/>
      </w:r>
    </w:p>
    <w:p w:rsidR="003E2709" w:rsidRPr="00A74755" w:rsidRDefault="003E2709" w:rsidP="00597CCE">
      <w:pPr>
        <w:pStyle w:val="gemEinzug"/>
        <w:ind w:left="708" w:hanging="708"/>
        <w:rPr>
          <w:rStyle w:val="gemStandardfettZchn"/>
        </w:rPr>
      </w:pPr>
      <w:r w:rsidRPr="00A74755">
        <w:rPr>
          <w:b/>
        </w:rPr>
        <w:sym w:font="Wingdings" w:char="F0D6"/>
      </w:r>
      <w:r w:rsidRPr="00A74755">
        <w:rPr>
          <w:b/>
        </w:rPr>
        <w:tab/>
      </w:r>
      <w:r w:rsidRPr="003E2709">
        <w:rPr>
          <w:rStyle w:val="gemStandardfettZchn"/>
        </w:rPr>
        <w:t>GS-A_3125</w:t>
      </w:r>
      <w:r>
        <w:rPr>
          <w:rStyle w:val="gemStandardfettZchn"/>
        </w:rPr>
        <w:t xml:space="preserve"> </w:t>
      </w:r>
      <w:r w:rsidRPr="003E2709">
        <w:rPr>
          <w:rStyle w:val="gemStandardfettZchn"/>
        </w:rPr>
        <w:t>Schlüsselinstallation und Verteilung: Dokumentation gemäß Minimalitätsprinzip</w:t>
      </w:r>
    </w:p>
    <w:p w:rsidR="0071250F" w:rsidRDefault="003E2709" w:rsidP="00FE50B9">
      <w:pPr>
        <w:pStyle w:val="gemEinzug"/>
        <w:kinsoku w:val="0"/>
        <w:ind w:left="709"/>
        <w:rPr>
          <w:b/>
        </w:rPr>
      </w:pPr>
      <w:r w:rsidRPr="003E2709">
        <w:t xml:space="preserve">Der Anbieter einer Schlüsselverwaltung MUSS in seinem Sicherheitskonzept </w:t>
      </w:r>
      <w:proofErr w:type="gramStart"/>
      <w:r w:rsidRPr="003E2709">
        <w:t>dokumentieren</w:t>
      </w:r>
      <w:proofErr w:type="gramEnd"/>
      <w:r w:rsidRPr="003E2709">
        <w:t>, welcher Schlüssel in welcher Phase seines Lebenszyklus in welcher Systemkomponente transportiert wird. Es MUSS dabei sichergestellt werden, dass die Schlüssel nur an diejenigen Systemkomponenten verteilt werden, in denen ihr Aufenthalt vorgesehen ist und wo sie hinreichend geschützt sind.</w:t>
      </w:r>
    </w:p>
    <w:p w:rsidR="003E2709" w:rsidRPr="0071250F" w:rsidRDefault="0071250F" w:rsidP="0071250F">
      <w:pPr>
        <w:pStyle w:val="gemStandard"/>
      </w:pPr>
      <w:r>
        <w:rPr>
          <w:b/>
        </w:rPr>
        <w:sym w:font="Wingdings" w:char="F0D5"/>
      </w:r>
    </w:p>
    <w:p w:rsidR="003E2709" w:rsidRPr="00A74755" w:rsidRDefault="003E2709" w:rsidP="00597CCE">
      <w:pPr>
        <w:pStyle w:val="gemEinzug"/>
        <w:ind w:left="708" w:hanging="708"/>
        <w:rPr>
          <w:rStyle w:val="gemStandardfettZchn"/>
        </w:rPr>
      </w:pPr>
      <w:r w:rsidRPr="00A74755">
        <w:rPr>
          <w:b/>
        </w:rPr>
        <w:sym w:font="Wingdings" w:char="F0D6"/>
      </w:r>
      <w:r w:rsidRPr="00A74755">
        <w:rPr>
          <w:b/>
        </w:rPr>
        <w:tab/>
      </w:r>
      <w:r w:rsidRPr="003E2709">
        <w:rPr>
          <w:rStyle w:val="gemStandardfettZchn"/>
        </w:rPr>
        <w:t>GS-A_3130</w:t>
      </w:r>
      <w:r>
        <w:rPr>
          <w:rStyle w:val="gemStandardfettZchn"/>
        </w:rPr>
        <w:t xml:space="preserve"> </w:t>
      </w:r>
      <w:r w:rsidRPr="003E2709">
        <w:rPr>
          <w:rStyle w:val="gemStandardfettZchn"/>
        </w:rPr>
        <w:t>Krypto_Schlüssel_Installation: Dokumentation der Schlüsselinstallation gemäß Minimalitätsprinzip</w:t>
      </w:r>
    </w:p>
    <w:p w:rsidR="0071250F" w:rsidRDefault="003E2709" w:rsidP="00FE50B9">
      <w:pPr>
        <w:pStyle w:val="gemEinzug"/>
        <w:kinsoku w:val="0"/>
        <w:ind w:left="709"/>
        <w:rPr>
          <w:b/>
        </w:rPr>
      </w:pPr>
      <w:r w:rsidRPr="003E2709">
        <w:t xml:space="preserve">Der Anbieter einer Schlüsselverwaltung MUSS in seinem Sicherheitskonzept </w:t>
      </w:r>
      <w:proofErr w:type="gramStart"/>
      <w:r w:rsidRPr="003E2709">
        <w:t>dokumentieren</w:t>
      </w:r>
      <w:proofErr w:type="gramEnd"/>
      <w:r w:rsidRPr="003E2709">
        <w:t>, welcher Schlüssel in welcher Systemkomponente installiert wird. Es MUSS dabei sichergestellt werden, dass die Schlüssel in Systemkomponenten installiert werden, in denen ihr Aufenthalt vorgesehen ist und wo sie hinreichend geschützt sind.</w:t>
      </w:r>
    </w:p>
    <w:p w:rsidR="003E2709" w:rsidRPr="0071250F" w:rsidRDefault="0071250F" w:rsidP="0071250F">
      <w:pPr>
        <w:pStyle w:val="gemStandard"/>
      </w:pPr>
      <w:r>
        <w:rPr>
          <w:b/>
        </w:rPr>
        <w:sym w:font="Wingdings" w:char="F0D5"/>
      </w:r>
    </w:p>
    <w:p w:rsidR="003E2709" w:rsidRPr="00A74755" w:rsidRDefault="003E2709" w:rsidP="003E2709">
      <w:pPr>
        <w:pStyle w:val="gemEinzug"/>
        <w:ind w:left="0"/>
        <w:rPr>
          <w:rStyle w:val="gemStandardfettZchn"/>
        </w:rPr>
      </w:pPr>
      <w:r w:rsidRPr="00A74755">
        <w:rPr>
          <w:b/>
        </w:rPr>
        <w:sym w:font="Wingdings" w:char="F0D6"/>
      </w:r>
      <w:r w:rsidRPr="00A74755">
        <w:rPr>
          <w:b/>
        </w:rPr>
        <w:tab/>
      </w:r>
      <w:r w:rsidRPr="003E2709">
        <w:rPr>
          <w:rStyle w:val="gemStandardfettZchn"/>
        </w:rPr>
        <w:t>GS-A_313</w:t>
      </w:r>
      <w:r>
        <w:rPr>
          <w:rStyle w:val="gemStandardfettZchn"/>
        </w:rPr>
        <w:t xml:space="preserve">9 </w:t>
      </w:r>
      <w:r w:rsidRPr="003E2709">
        <w:rPr>
          <w:rStyle w:val="gemStandardfettZchn"/>
        </w:rPr>
        <w:t>Krypto_Schlüssel: Dienst Schlüsselableitung</w:t>
      </w:r>
    </w:p>
    <w:p w:rsidR="0071250F" w:rsidRDefault="003E2709" w:rsidP="00FE50B9">
      <w:pPr>
        <w:pStyle w:val="gemEinzug"/>
        <w:kinsoku w:val="0"/>
        <w:ind w:left="709"/>
        <w:rPr>
          <w:b/>
        </w:rPr>
      </w:pPr>
      <w:r w:rsidRPr="003E2709">
        <w:lastRenderedPageBreak/>
        <w:t>Der Anbieter einer Schlüsselverwaltung MUSS sicherstellen, dass der Ableitungsprozess unumkehrb</w:t>
      </w:r>
      <w:r w:rsidR="00FB73B1">
        <w:t>ar und nicht vorhersehbar ist (D</w:t>
      </w:r>
      <w:r w:rsidRPr="003E2709">
        <w:t xml:space="preserve">ie Kompromittierung eines abgeleiteten Schlüssels </w:t>
      </w:r>
      <w:r w:rsidR="00FB73B1">
        <w:t>DARF NICHT zu einer Kompromittierung des</w:t>
      </w:r>
      <w:r w:rsidRPr="003E2709">
        <w:t xml:space="preserve"> Ableitungsschlüssel</w:t>
      </w:r>
      <w:r w:rsidR="00FB73B1">
        <w:t>s</w:t>
      </w:r>
      <w:r w:rsidRPr="003E2709">
        <w:t xml:space="preserve"> oder andere</w:t>
      </w:r>
      <w:r w:rsidR="00FB73B1">
        <w:t>r</w:t>
      </w:r>
      <w:r w:rsidRPr="003E2709">
        <w:t xml:space="preserve"> abgeleitete</w:t>
      </w:r>
      <w:r w:rsidR="00FB73B1">
        <w:t>r</w:t>
      </w:r>
      <w:r w:rsidRPr="003E2709">
        <w:t xml:space="preserve"> Schlüssel </w:t>
      </w:r>
      <w:r w:rsidR="00FB73B1">
        <w:t>führen.</w:t>
      </w:r>
      <w:r w:rsidRPr="003E2709">
        <w:t>).</w:t>
      </w:r>
    </w:p>
    <w:p w:rsidR="003E2709" w:rsidRPr="0071250F" w:rsidRDefault="0071250F" w:rsidP="0071250F">
      <w:pPr>
        <w:pStyle w:val="gemStandard"/>
      </w:pPr>
      <w:r>
        <w:rPr>
          <w:b/>
        </w:rPr>
        <w:sym w:font="Wingdings" w:char="F0D5"/>
      </w:r>
    </w:p>
    <w:p w:rsidR="003E2709" w:rsidRPr="00A74755" w:rsidRDefault="003E2709" w:rsidP="00597CCE">
      <w:pPr>
        <w:pStyle w:val="gemEinzug"/>
        <w:ind w:left="708" w:hanging="708"/>
        <w:rPr>
          <w:rStyle w:val="gemStandardfettZchn"/>
        </w:rPr>
      </w:pPr>
      <w:r w:rsidRPr="00A74755">
        <w:rPr>
          <w:b/>
        </w:rPr>
        <w:sym w:font="Wingdings" w:char="F0D6"/>
      </w:r>
      <w:r w:rsidRPr="00A74755">
        <w:rPr>
          <w:b/>
        </w:rPr>
        <w:tab/>
      </w:r>
      <w:r w:rsidRPr="003E2709">
        <w:rPr>
          <w:rStyle w:val="gemStandardfettZchn"/>
        </w:rPr>
        <w:t>GS-A_3141</w:t>
      </w:r>
      <w:r>
        <w:rPr>
          <w:rStyle w:val="gemStandardfettZchn"/>
        </w:rPr>
        <w:t xml:space="preserve"> </w:t>
      </w:r>
      <w:r w:rsidRPr="003E2709">
        <w:rPr>
          <w:rStyle w:val="gemStandardfettZchn"/>
        </w:rPr>
        <w:t>Krypto_Schlüssel_Ableitung: Maßnahmen bei Bekanntwerden von Schwächen in der Schlüsselableitungsfunktion</w:t>
      </w:r>
    </w:p>
    <w:p w:rsidR="0071250F" w:rsidRDefault="003E2709" w:rsidP="00FE50B9">
      <w:pPr>
        <w:pStyle w:val="gemEinzug"/>
        <w:kinsoku w:val="0"/>
        <w:ind w:left="709"/>
        <w:rPr>
          <w:b/>
        </w:rPr>
      </w:pPr>
      <w:r w:rsidRPr="003E2709">
        <w:t>Der Anbieter einer Schlüsselverwaltung MUSS im Falle des Einsatzes einer Schlüsselableitung (nach [ISO11770]) in seinem Sicherheitskonzept Maßnahmen für das Bekanntwerden von Schwächen des kryptographischen Verfahrens, welche die Grundlage der Schlüsselableitung ist, darlegen.</w:t>
      </w:r>
    </w:p>
    <w:p w:rsidR="003E2709" w:rsidRPr="0071250F" w:rsidRDefault="0071250F" w:rsidP="0071250F">
      <w:pPr>
        <w:pStyle w:val="gemStandard"/>
      </w:pPr>
      <w:r>
        <w:rPr>
          <w:b/>
        </w:rPr>
        <w:sym w:font="Wingdings" w:char="F0D5"/>
      </w:r>
    </w:p>
    <w:p w:rsidR="003E2709" w:rsidRPr="00A74755" w:rsidRDefault="003E2709" w:rsidP="00597CCE">
      <w:pPr>
        <w:pStyle w:val="gemEinzug"/>
        <w:ind w:left="708" w:hanging="708"/>
        <w:rPr>
          <w:rStyle w:val="gemStandardfettZchn"/>
        </w:rPr>
      </w:pPr>
      <w:r w:rsidRPr="00A74755">
        <w:rPr>
          <w:b/>
        </w:rPr>
        <w:sym w:font="Wingdings" w:char="F0D6"/>
      </w:r>
      <w:r w:rsidRPr="00A74755">
        <w:rPr>
          <w:b/>
        </w:rPr>
        <w:tab/>
      </w:r>
      <w:r w:rsidRPr="003E2709">
        <w:rPr>
          <w:rStyle w:val="gemStandardfettZchn"/>
        </w:rPr>
        <w:t>GS-A_3149</w:t>
      </w:r>
      <w:r>
        <w:rPr>
          <w:rStyle w:val="gemStandardfettZchn"/>
        </w:rPr>
        <w:t xml:space="preserve"> </w:t>
      </w:r>
      <w:r w:rsidRPr="003E2709">
        <w:rPr>
          <w:rStyle w:val="gemStandardfettZchn"/>
        </w:rPr>
        <w:t>Krypto_Schlüssel_Archivierung: Dokumentation der Schlüssel</w:t>
      </w:r>
      <w:r w:rsidR="00F87C18">
        <w:rPr>
          <w:rStyle w:val="gemStandardfettZchn"/>
        </w:rPr>
        <w:t>-</w:t>
      </w:r>
      <w:r w:rsidRPr="003E2709">
        <w:rPr>
          <w:rStyle w:val="gemStandardfettZchn"/>
        </w:rPr>
        <w:t>archivierung gemäß Minimalitätsprinzip</w:t>
      </w:r>
    </w:p>
    <w:p w:rsidR="0071250F" w:rsidRDefault="003E2709" w:rsidP="00FE50B9">
      <w:pPr>
        <w:pStyle w:val="gemEinzug"/>
        <w:kinsoku w:val="0"/>
        <w:ind w:left="709"/>
        <w:rPr>
          <w:b/>
        </w:rPr>
      </w:pPr>
      <w:r w:rsidRPr="003E2709">
        <w:t>Der Anbieter einer Schlüsselverwaltung MUSS, falls er kryptographische Schlüssel archiviert, in seinem spezifischen Sicherheitskonzept beschreiben, welcher Schlüssel in welcher Phase in welcher Systemkomponente archiviert wird. Er MUSS sicherstellen, dass die Schlüssel nur an diejenigen Systemkomponenten verteilt werden, in denen ihr Aufenthalt vorgesehen ist und wo sie hinreichend geschützt sind.</w:t>
      </w:r>
    </w:p>
    <w:p w:rsidR="003E2709" w:rsidRPr="0071250F" w:rsidRDefault="0071250F" w:rsidP="0071250F">
      <w:pPr>
        <w:pStyle w:val="gemStandard"/>
      </w:pPr>
      <w:r>
        <w:rPr>
          <w:b/>
        </w:rPr>
        <w:sym w:font="Wingdings" w:char="F0D5"/>
      </w:r>
    </w:p>
    <w:p w:rsidR="003E2709" w:rsidRDefault="003E2709" w:rsidP="0071250F">
      <w:pPr>
        <w:pStyle w:val="berschrift2"/>
      </w:pPr>
      <w:bookmarkStart w:id="162" w:name="_Toc503165514"/>
      <w:r>
        <w:t>Modul „Kartenherausgabe“</w:t>
      </w:r>
      <w:bookmarkEnd w:id="162"/>
    </w:p>
    <w:p w:rsidR="003E2709" w:rsidRDefault="00454A4D" w:rsidP="003E2709">
      <w:pPr>
        <w:pStyle w:val="gemStandard"/>
      </w:pPr>
      <w:r>
        <w:t xml:space="preserve">Dieses Modul ist von Anbietern umzusetzen, die Karten herausgeben. </w:t>
      </w:r>
      <w:r w:rsidR="003E2709">
        <w:t>Die Anforderungen des Moduls sind in [gemSpec_PINPUK_</w:t>
      </w:r>
      <w:r w:rsidR="00536E0D">
        <w:t>T</w:t>
      </w:r>
      <w:r w:rsidR="008F70AF">
        <w:t>I</w:t>
      </w:r>
      <w:r w:rsidR="00536E0D">
        <w:t>, gemSpec_</w:t>
      </w:r>
      <w:r w:rsidR="003E2709">
        <w:t>CAN_TI]</w:t>
      </w:r>
      <w:r w:rsidR="00AE387F">
        <w:t xml:space="preserve"> </w:t>
      </w:r>
      <w:r>
        <w:t>beschrieben</w:t>
      </w:r>
      <w:r w:rsidR="003E2709">
        <w:t>.</w:t>
      </w:r>
    </w:p>
    <w:p w:rsidR="0071250F" w:rsidRDefault="0071250F" w:rsidP="0071250F">
      <w:pPr>
        <w:pStyle w:val="berschrift1"/>
        <w:sectPr w:rsidR="0071250F" w:rsidSect="007B74C1">
          <w:pgSz w:w="11906" w:h="16838" w:code="9"/>
          <w:pgMar w:top="1916" w:right="1418" w:bottom="1134" w:left="1701" w:header="539" w:footer="437" w:gutter="0"/>
          <w:cols w:space="708"/>
          <w:docGrid w:linePitch="360"/>
        </w:sectPr>
      </w:pPr>
      <w:bookmarkStart w:id="163" w:name="_Toc126455659"/>
      <w:bookmarkStart w:id="164" w:name="_Toc126575084"/>
      <w:bookmarkStart w:id="165" w:name="_Toc126575344"/>
      <w:bookmarkStart w:id="166" w:name="_Toc175538681"/>
      <w:bookmarkStart w:id="167" w:name="_Toc175543335"/>
      <w:bookmarkStart w:id="168" w:name="_Toc175547595"/>
      <w:bookmarkEnd w:id="57"/>
    </w:p>
    <w:p w:rsidR="0098496E" w:rsidRPr="008B4C32" w:rsidRDefault="0098496E" w:rsidP="0071250F">
      <w:pPr>
        <w:pStyle w:val="berschrift1"/>
      </w:pPr>
      <w:bookmarkStart w:id="169" w:name="_Toc503165515"/>
      <w:r w:rsidRPr="008B4C32">
        <w:lastRenderedPageBreak/>
        <w:t xml:space="preserve">Anhang </w:t>
      </w:r>
      <w:bookmarkEnd w:id="163"/>
      <w:bookmarkEnd w:id="164"/>
      <w:bookmarkEnd w:id="165"/>
      <w:bookmarkEnd w:id="166"/>
      <w:bookmarkEnd w:id="167"/>
      <w:bookmarkEnd w:id="168"/>
      <w:r w:rsidR="00DB7B23" w:rsidRPr="008B4C32">
        <w:t>A</w:t>
      </w:r>
      <w:r w:rsidR="00932F44">
        <w:t xml:space="preserve"> –</w:t>
      </w:r>
      <w:r w:rsidR="00AE6B8F" w:rsidRPr="008B4C32">
        <w:t xml:space="preserve"> Verzeichnisse</w:t>
      </w:r>
      <w:bookmarkEnd w:id="169"/>
    </w:p>
    <w:p w:rsidR="0098496E" w:rsidRPr="008B4C32" w:rsidRDefault="0098496E" w:rsidP="0071250F">
      <w:pPr>
        <w:pStyle w:val="berschrift2"/>
      </w:pPr>
      <w:bookmarkStart w:id="170" w:name="ANFANG_ABKZG"/>
      <w:bookmarkStart w:id="171" w:name="ENDE_KAP3"/>
      <w:bookmarkStart w:id="172" w:name="_Toc434807561"/>
      <w:bookmarkStart w:id="173" w:name="_Toc434987729"/>
      <w:bookmarkStart w:id="174" w:name="_Toc436799862"/>
      <w:bookmarkStart w:id="175" w:name="_Toc520260033"/>
      <w:bookmarkStart w:id="176" w:name="_Toc126455660"/>
      <w:bookmarkStart w:id="177" w:name="_Toc126575085"/>
      <w:bookmarkStart w:id="178" w:name="_Toc126575345"/>
      <w:bookmarkStart w:id="179" w:name="_Toc175538682"/>
      <w:bookmarkStart w:id="180" w:name="_Toc175543336"/>
      <w:bookmarkStart w:id="181" w:name="_Toc175547596"/>
      <w:bookmarkStart w:id="182" w:name="_Toc503165516"/>
      <w:bookmarkEnd w:id="170"/>
      <w:bookmarkEnd w:id="171"/>
      <w:r w:rsidRPr="008B4C32">
        <w:t>A1 – Abkürzungen</w:t>
      </w:r>
      <w:bookmarkEnd w:id="172"/>
      <w:bookmarkEnd w:id="173"/>
      <w:bookmarkEnd w:id="174"/>
      <w:bookmarkEnd w:id="175"/>
      <w:bookmarkEnd w:id="176"/>
      <w:bookmarkEnd w:id="177"/>
      <w:bookmarkEnd w:id="178"/>
      <w:bookmarkEnd w:id="179"/>
      <w:bookmarkEnd w:id="180"/>
      <w:bookmarkEnd w:id="181"/>
      <w:bookmarkEnd w:id="18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7178"/>
      </w:tblGrid>
      <w:tr w:rsidR="0098496E" w:rsidRPr="00540031" w:rsidTr="00714731">
        <w:trPr>
          <w:cantSplit/>
          <w:trHeight w:val="307"/>
          <w:tblHeader/>
        </w:trPr>
        <w:tc>
          <w:tcPr>
            <w:tcW w:w="1701" w:type="dxa"/>
            <w:shd w:val="clear" w:color="auto" w:fill="E0E0E0"/>
          </w:tcPr>
          <w:p w:rsidR="0098496E" w:rsidRPr="00540031" w:rsidRDefault="0098496E" w:rsidP="0098496E">
            <w:pPr>
              <w:pStyle w:val="gemtab11ptAbstand"/>
              <w:rPr>
                <w:b/>
                <w:sz w:val="20"/>
              </w:rPr>
            </w:pPr>
            <w:bookmarkStart w:id="183" w:name="ANFANG_DEFS"/>
            <w:bookmarkStart w:id="184" w:name="ENDE_ABKZG"/>
            <w:bookmarkStart w:id="185" w:name="_Toc434807562"/>
            <w:bookmarkStart w:id="186" w:name="_Toc434987730"/>
            <w:bookmarkStart w:id="187" w:name="_Toc436799863"/>
            <w:bookmarkStart w:id="188" w:name="_Toc520260034"/>
            <w:bookmarkEnd w:id="183"/>
            <w:bookmarkEnd w:id="184"/>
            <w:r w:rsidRPr="00540031">
              <w:rPr>
                <w:b/>
                <w:sz w:val="20"/>
              </w:rPr>
              <w:t>Kürzel</w:t>
            </w:r>
          </w:p>
        </w:tc>
        <w:tc>
          <w:tcPr>
            <w:tcW w:w="7178" w:type="dxa"/>
            <w:shd w:val="clear" w:color="auto" w:fill="E0E0E0"/>
          </w:tcPr>
          <w:p w:rsidR="0098496E" w:rsidRPr="00540031" w:rsidRDefault="0098496E" w:rsidP="0098496E">
            <w:pPr>
              <w:pStyle w:val="gemtab11ptAbstand"/>
              <w:rPr>
                <w:b/>
                <w:sz w:val="20"/>
              </w:rPr>
            </w:pPr>
            <w:r w:rsidRPr="00540031">
              <w:rPr>
                <w:b/>
                <w:sz w:val="20"/>
              </w:rPr>
              <w:t>Erläuterung</w:t>
            </w:r>
          </w:p>
        </w:tc>
      </w:tr>
      <w:tr w:rsidR="00B0637F" w:rsidRPr="00540031" w:rsidTr="00714731">
        <w:trPr>
          <w:cantSplit/>
          <w:trHeight w:val="319"/>
        </w:trPr>
        <w:tc>
          <w:tcPr>
            <w:tcW w:w="1701" w:type="dxa"/>
            <w:shd w:val="clear" w:color="auto" w:fill="auto"/>
          </w:tcPr>
          <w:p w:rsidR="00B0637F" w:rsidRPr="002F3BBF" w:rsidRDefault="0008031F" w:rsidP="002B7A8B">
            <w:pPr>
              <w:pStyle w:val="gemtab11ptAbstand"/>
              <w:rPr>
                <w:sz w:val="20"/>
              </w:rPr>
            </w:pPr>
            <w:r w:rsidRPr="002F3BBF">
              <w:rPr>
                <w:sz w:val="20"/>
              </w:rPr>
              <w:t>aAdG</w:t>
            </w:r>
          </w:p>
        </w:tc>
        <w:tc>
          <w:tcPr>
            <w:tcW w:w="7178" w:type="dxa"/>
            <w:shd w:val="clear" w:color="auto" w:fill="auto"/>
          </w:tcPr>
          <w:p w:rsidR="00B0637F" w:rsidRPr="002F3BBF" w:rsidRDefault="0008031F" w:rsidP="002B7A8B">
            <w:pPr>
              <w:pStyle w:val="gemtab11ptAbstand"/>
              <w:rPr>
                <w:sz w:val="20"/>
              </w:rPr>
            </w:pPr>
            <w:r w:rsidRPr="002F3BBF">
              <w:rPr>
                <w:sz w:val="20"/>
              </w:rPr>
              <w:t>Andere Anwendungen des Gesundheitswesens</w:t>
            </w:r>
          </w:p>
        </w:tc>
      </w:tr>
      <w:tr w:rsidR="0008031F" w:rsidRPr="00540031" w:rsidTr="00714731">
        <w:trPr>
          <w:cantSplit/>
          <w:trHeight w:val="319"/>
        </w:trPr>
        <w:tc>
          <w:tcPr>
            <w:tcW w:w="1701" w:type="dxa"/>
            <w:shd w:val="clear" w:color="auto" w:fill="auto"/>
          </w:tcPr>
          <w:p w:rsidR="0008031F" w:rsidRPr="002F3BBF" w:rsidRDefault="0008031F" w:rsidP="007B74C1">
            <w:pPr>
              <w:pStyle w:val="gemtab11ptAbstand"/>
              <w:rPr>
                <w:sz w:val="20"/>
              </w:rPr>
            </w:pPr>
            <w:r w:rsidRPr="002F3BBF">
              <w:rPr>
                <w:sz w:val="20"/>
              </w:rPr>
              <w:t>aAdG-NetG</w:t>
            </w:r>
          </w:p>
        </w:tc>
        <w:tc>
          <w:tcPr>
            <w:tcW w:w="7178" w:type="dxa"/>
            <w:shd w:val="clear" w:color="auto" w:fill="auto"/>
          </w:tcPr>
          <w:p w:rsidR="0008031F" w:rsidRPr="002F3BBF" w:rsidRDefault="0008031F" w:rsidP="007B74C1">
            <w:pPr>
              <w:pStyle w:val="gemtab11ptAbstand"/>
              <w:rPr>
                <w:sz w:val="20"/>
              </w:rPr>
            </w:pPr>
            <w:r w:rsidRPr="002F3BBF">
              <w:rPr>
                <w:sz w:val="20"/>
              </w:rPr>
              <w:t>Andere Anwendungen des Gesundheitswesens ohne Zugriff auf Dienste der TI in angeschlossenen Netzen des Gesundheitswesens</w:t>
            </w:r>
          </w:p>
        </w:tc>
      </w:tr>
      <w:tr w:rsidR="0008031F" w:rsidRPr="00540031" w:rsidTr="00714731">
        <w:trPr>
          <w:cantSplit/>
          <w:trHeight w:val="319"/>
        </w:trPr>
        <w:tc>
          <w:tcPr>
            <w:tcW w:w="1701" w:type="dxa"/>
            <w:shd w:val="clear" w:color="auto" w:fill="auto"/>
          </w:tcPr>
          <w:p w:rsidR="0008031F" w:rsidRPr="002F3BBF" w:rsidRDefault="0008031F" w:rsidP="007B74C1">
            <w:pPr>
              <w:pStyle w:val="gemtab11ptAbstand"/>
              <w:rPr>
                <w:sz w:val="20"/>
              </w:rPr>
            </w:pPr>
            <w:r w:rsidRPr="002F3BBF">
              <w:rPr>
                <w:sz w:val="20"/>
              </w:rPr>
              <w:t>aAdG-NetG-TI</w:t>
            </w:r>
          </w:p>
        </w:tc>
        <w:tc>
          <w:tcPr>
            <w:tcW w:w="7178" w:type="dxa"/>
            <w:shd w:val="clear" w:color="auto" w:fill="auto"/>
          </w:tcPr>
          <w:p w:rsidR="0008031F" w:rsidRPr="002F3BBF" w:rsidRDefault="0008031F" w:rsidP="007B74C1">
            <w:pPr>
              <w:pStyle w:val="gemtab11ptAbstand"/>
              <w:rPr>
                <w:sz w:val="20"/>
              </w:rPr>
            </w:pPr>
            <w:r w:rsidRPr="002F3BBF">
              <w:rPr>
                <w:sz w:val="20"/>
              </w:rPr>
              <w:t>Andere Anwendungen des Gesundheitswesens mit Zugriff auf Dienste der TI aus angeschlossenen Netzen des Gesundheitswesens</w:t>
            </w:r>
          </w:p>
        </w:tc>
      </w:tr>
      <w:tr w:rsidR="005356CD" w:rsidRPr="00540031" w:rsidTr="00714731">
        <w:trPr>
          <w:cantSplit/>
          <w:trHeight w:val="319"/>
        </w:trPr>
        <w:tc>
          <w:tcPr>
            <w:tcW w:w="1701" w:type="dxa"/>
            <w:shd w:val="clear" w:color="auto" w:fill="auto"/>
          </w:tcPr>
          <w:p w:rsidR="005356CD" w:rsidRPr="002F3BBF" w:rsidRDefault="005356CD" w:rsidP="007B74C1">
            <w:pPr>
              <w:pStyle w:val="gemtab11ptAbstand"/>
              <w:rPr>
                <w:sz w:val="20"/>
              </w:rPr>
            </w:pPr>
            <w:r w:rsidRPr="002F3BBF">
              <w:rPr>
                <w:sz w:val="20"/>
              </w:rPr>
              <w:t>BIA</w:t>
            </w:r>
          </w:p>
        </w:tc>
        <w:tc>
          <w:tcPr>
            <w:tcW w:w="7178" w:type="dxa"/>
            <w:shd w:val="clear" w:color="auto" w:fill="auto"/>
          </w:tcPr>
          <w:p w:rsidR="005356CD" w:rsidRPr="002F3BBF" w:rsidRDefault="005356CD" w:rsidP="007B74C1">
            <w:pPr>
              <w:pStyle w:val="gemtab11ptAbstand"/>
              <w:rPr>
                <w:sz w:val="20"/>
              </w:rPr>
            </w:pPr>
            <w:r w:rsidRPr="002F3BBF">
              <w:rPr>
                <w:sz w:val="20"/>
              </w:rPr>
              <w:t>Business Impact Analyse</w:t>
            </w:r>
          </w:p>
        </w:tc>
      </w:tr>
      <w:tr w:rsidR="0008031F" w:rsidRPr="00540031" w:rsidTr="00714731">
        <w:trPr>
          <w:cantSplit/>
          <w:trHeight w:val="319"/>
        </w:trPr>
        <w:tc>
          <w:tcPr>
            <w:tcW w:w="1701" w:type="dxa"/>
            <w:shd w:val="clear" w:color="auto" w:fill="auto"/>
          </w:tcPr>
          <w:p w:rsidR="0008031F" w:rsidRPr="002F3BBF" w:rsidRDefault="0008031F" w:rsidP="007B74C1">
            <w:pPr>
              <w:pStyle w:val="gemtab11ptAbstand"/>
              <w:rPr>
                <w:sz w:val="20"/>
              </w:rPr>
            </w:pPr>
            <w:r w:rsidRPr="002F3BBF">
              <w:rPr>
                <w:sz w:val="20"/>
              </w:rPr>
              <w:t>DS</w:t>
            </w:r>
          </w:p>
        </w:tc>
        <w:tc>
          <w:tcPr>
            <w:tcW w:w="7178" w:type="dxa"/>
            <w:shd w:val="clear" w:color="auto" w:fill="auto"/>
          </w:tcPr>
          <w:p w:rsidR="0008031F" w:rsidRPr="002F3BBF" w:rsidRDefault="0008031F" w:rsidP="007B74C1">
            <w:pPr>
              <w:pStyle w:val="gemtab11ptAbstand"/>
              <w:rPr>
                <w:sz w:val="20"/>
              </w:rPr>
            </w:pPr>
            <w:r w:rsidRPr="002F3BBF">
              <w:rPr>
                <w:sz w:val="20"/>
              </w:rPr>
              <w:t>Datenschutz</w:t>
            </w:r>
          </w:p>
        </w:tc>
      </w:tr>
      <w:tr w:rsidR="00B0637F" w:rsidRPr="00540031" w:rsidTr="00714731">
        <w:trPr>
          <w:cantSplit/>
          <w:trHeight w:val="319"/>
        </w:trPr>
        <w:tc>
          <w:tcPr>
            <w:tcW w:w="1701" w:type="dxa"/>
            <w:shd w:val="clear" w:color="auto" w:fill="auto"/>
          </w:tcPr>
          <w:p w:rsidR="00B0637F" w:rsidRPr="002F3BBF" w:rsidRDefault="00B0637F" w:rsidP="002B7A8B">
            <w:pPr>
              <w:pStyle w:val="gemtab11ptAbstand"/>
              <w:rPr>
                <w:sz w:val="20"/>
              </w:rPr>
            </w:pPr>
            <w:r w:rsidRPr="002F3BBF">
              <w:rPr>
                <w:sz w:val="20"/>
              </w:rPr>
              <w:t>DSMS</w:t>
            </w:r>
          </w:p>
        </w:tc>
        <w:tc>
          <w:tcPr>
            <w:tcW w:w="7178" w:type="dxa"/>
            <w:shd w:val="clear" w:color="auto" w:fill="auto"/>
          </w:tcPr>
          <w:p w:rsidR="00B0637F" w:rsidRPr="002F3BBF" w:rsidRDefault="00B0637F" w:rsidP="002B7A8B">
            <w:pPr>
              <w:pStyle w:val="gemtab11ptAbstand"/>
              <w:rPr>
                <w:sz w:val="20"/>
              </w:rPr>
            </w:pPr>
            <w:r w:rsidRPr="002F3BBF">
              <w:rPr>
                <w:sz w:val="20"/>
              </w:rPr>
              <w:t>Datenschutzmanagementsystem</w:t>
            </w:r>
          </w:p>
        </w:tc>
      </w:tr>
      <w:tr w:rsidR="00C73BCB" w:rsidRPr="00540031" w:rsidTr="00714731">
        <w:trPr>
          <w:cantSplit/>
          <w:trHeight w:val="319"/>
        </w:trPr>
        <w:tc>
          <w:tcPr>
            <w:tcW w:w="1701" w:type="dxa"/>
            <w:shd w:val="clear" w:color="auto" w:fill="auto"/>
          </w:tcPr>
          <w:p w:rsidR="00C73BCB" w:rsidRPr="002F3BBF" w:rsidRDefault="00C73BCB" w:rsidP="002B7A8B">
            <w:pPr>
              <w:pStyle w:val="gemtab11ptAbstand"/>
              <w:rPr>
                <w:sz w:val="20"/>
              </w:rPr>
            </w:pPr>
            <w:r w:rsidRPr="002F3BBF">
              <w:rPr>
                <w:sz w:val="20"/>
              </w:rPr>
              <w:t>eGK</w:t>
            </w:r>
          </w:p>
        </w:tc>
        <w:tc>
          <w:tcPr>
            <w:tcW w:w="7178" w:type="dxa"/>
            <w:shd w:val="clear" w:color="auto" w:fill="auto"/>
          </w:tcPr>
          <w:p w:rsidR="00C73BCB" w:rsidRPr="002F3BBF" w:rsidRDefault="00C73BCB" w:rsidP="002B7A8B">
            <w:pPr>
              <w:pStyle w:val="gemtab11ptAbstand"/>
              <w:rPr>
                <w:sz w:val="20"/>
              </w:rPr>
            </w:pPr>
            <w:r w:rsidRPr="002F3BBF">
              <w:rPr>
                <w:sz w:val="20"/>
              </w:rPr>
              <w:t>elektronische Gesundheitskarte</w:t>
            </w:r>
          </w:p>
        </w:tc>
      </w:tr>
      <w:tr w:rsidR="003F65F5" w:rsidRPr="00540031" w:rsidTr="00714731">
        <w:trPr>
          <w:cantSplit/>
          <w:trHeight w:val="319"/>
        </w:trPr>
        <w:tc>
          <w:tcPr>
            <w:tcW w:w="1701" w:type="dxa"/>
            <w:shd w:val="clear" w:color="auto" w:fill="auto"/>
          </w:tcPr>
          <w:p w:rsidR="003F65F5" w:rsidRPr="002F3BBF" w:rsidRDefault="003F65F5" w:rsidP="002B7A8B">
            <w:pPr>
              <w:pStyle w:val="gemtab11ptAbstand"/>
              <w:rPr>
                <w:sz w:val="20"/>
              </w:rPr>
            </w:pPr>
            <w:r w:rsidRPr="002F3BBF">
              <w:rPr>
                <w:sz w:val="20"/>
              </w:rPr>
              <w:t>EU</w:t>
            </w:r>
          </w:p>
        </w:tc>
        <w:tc>
          <w:tcPr>
            <w:tcW w:w="7178" w:type="dxa"/>
            <w:shd w:val="clear" w:color="auto" w:fill="auto"/>
          </w:tcPr>
          <w:p w:rsidR="003F65F5" w:rsidRPr="002F3BBF" w:rsidRDefault="003F65F5" w:rsidP="002B7A8B">
            <w:pPr>
              <w:pStyle w:val="gemtab11ptAbstand"/>
              <w:rPr>
                <w:sz w:val="20"/>
              </w:rPr>
            </w:pPr>
            <w:r w:rsidRPr="002F3BBF">
              <w:rPr>
                <w:sz w:val="20"/>
              </w:rPr>
              <w:t>Europäische Union</w:t>
            </w:r>
          </w:p>
        </w:tc>
      </w:tr>
      <w:tr w:rsidR="003F65F5" w:rsidRPr="00540031" w:rsidTr="00714731">
        <w:trPr>
          <w:cantSplit/>
          <w:trHeight w:val="319"/>
        </w:trPr>
        <w:tc>
          <w:tcPr>
            <w:tcW w:w="1701" w:type="dxa"/>
            <w:shd w:val="clear" w:color="auto" w:fill="auto"/>
          </w:tcPr>
          <w:p w:rsidR="003F65F5" w:rsidRPr="002F3BBF" w:rsidRDefault="003F65F5" w:rsidP="002B7A8B">
            <w:pPr>
              <w:pStyle w:val="gemtab11ptAbstand"/>
              <w:rPr>
                <w:sz w:val="20"/>
              </w:rPr>
            </w:pPr>
            <w:r w:rsidRPr="002F3BBF">
              <w:rPr>
                <w:sz w:val="20"/>
              </w:rPr>
              <w:t>EWR</w:t>
            </w:r>
          </w:p>
        </w:tc>
        <w:tc>
          <w:tcPr>
            <w:tcW w:w="7178" w:type="dxa"/>
            <w:shd w:val="clear" w:color="auto" w:fill="auto"/>
          </w:tcPr>
          <w:p w:rsidR="003F65F5" w:rsidRPr="002F3BBF" w:rsidRDefault="003F65F5" w:rsidP="002B7A8B">
            <w:pPr>
              <w:pStyle w:val="gemtab11ptAbstand"/>
              <w:rPr>
                <w:sz w:val="20"/>
              </w:rPr>
            </w:pPr>
            <w:r w:rsidRPr="002F3BBF">
              <w:rPr>
                <w:sz w:val="20"/>
              </w:rPr>
              <w:t xml:space="preserve">Europäischer Wirtschaftsraum </w:t>
            </w:r>
          </w:p>
        </w:tc>
      </w:tr>
      <w:tr w:rsidR="00B0637F" w:rsidRPr="00540031" w:rsidTr="00714731">
        <w:trPr>
          <w:cantSplit/>
          <w:trHeight w:val="319"/>
        </w:trPr>
        <w:tc>
          <w:tcPr>
            <w:tcW w:w="1701" w:type="dxa"/>
            <w:shd w:val="clear" w:color="auto" w:fill="auto"/>
          </w:tcPr>
          <w:p w:rsidR="00B0637F" w:rsidRPr="002F3BBF" w:rsidRDefault="00B0637F" w:rsidP="002B7A8B">
            <w:pPr>
              <w:pStyle w:val="gemtab11ptAbstand"/>
              <w:rPr>
                <w:sz w:val="20"/>
              </w:rPr>
            </w:pPr>
            <w:r w:rsidRPr="002F3BBF">
              <w:rPr>
                <w:sz w:val="20"/>
              </w:rPr>
              <w:t>IS</w:t>
            </w:r>
          </w:p>
        </w:tc>
        <w:tc>
          <w:tcPr>
            <w:tcW w:w="7178" w:type="dxa"/>
            <w:shd w:val="clear" w:color="auto" w:fill="auto"/>
          </w:tcPr>
          <w:p w:rsidR="00B0637F" w:rsidRPr="002F3BBF" w:rsidRDefault="00B0637F" w:rsidP="002B7A8B">
            <w:pPr>
              <w:pStyle w:val="gemtab11ptAbstand"/>
              <w:rPr>
                <w:sz w:val="20"/>
              </w:rPr>
            </w:pPr>
            <w:r w:rsidRPr="002F3BBF">
              <w:rPr>
                <w:sz w:val="20"/>
              </w:rPr>
              <w:t>Informationssicherheit</w:t>
            </w:r>
          </w:p>
        </w:tc>
      </w:tr>
      <w:tr w:rsidR="00B0637F" w:rsidRPr="00540031" w:rsidTr="00714731">
        <w:trPr>
          <w:cantSplit/>
          <w:trHeight w:val="319"/>
        </w:trPr>
        <w:tc>
          <w:tcPr>
            <w:tcW w:w="1701" w:type="dxa"/>
            <w:shd w:val="clear" w:color="auto" w:fill="auto"/>
          </w:tcPr>
          <w:p w:rsidR="00B0637F" w:rsidRPr="002F3BBF" w:rsidRDefault="00B0637F" w:rsidP="002B7A8B">
            <w:pPr>
              <w:pStyle w:val="gemtab11ptAbstand"/>
              <w:rPr>
                <w:sz w:val="20"/>
              </w:rPr>
            </w:pPr>
            <w:r w:rsidRPr="002F3BBF">
              <w:rPr>
                <w:sz w:val="20"/>
              </w:rPr>
              <w:t>ISMS</w:t>
            </w:r>
          </w:p>
        </w:tc>
        <w:tc>
          <w:tcPr>
            <w:tcW w:w="7178" w:type="dxa"/>
            <w:shd w:val="clear" w:color="auto" w:fill="auto"/>
          </w:tcPr>
          <w:p w:rsidR="00B0637F" w:rsidRPr="002F3BBF" w:rsidRDefault="00B0637F" w:rsidP="002B7A8B">
            <w:pPr>
              <w:pStyle w:val="gemtab11ptAbstand"/>
              <w:rPr>
                <w:sz w:val="20"/>
              </w:rPr>
            </w:pPr>
            <w:r w:rsidRPr="002F3BBF">
              <w:rPr>
                <w:sz w:val="20"/>
              </w:rPr>
              <w:t>Informationssicherheitsmanagementsystem</w:t>
            </w:r>
          </w:p>
        </w:tc>
      </w:tr>
      <w:tr w:rsidR="004650BC" w:rsidRPr="00540031" w:rsidTr="00714731">
        <w:trPr>
          <w:cantSplit/>
          <w:trHeight w:val="319"/>
        </w:trPr>
        <w:tc>
          <w:tcPr>
            <w:tcW w:w="1701" w:type="dxa"/>
            <w:shd w:val="clear" w:color="auto" w:fill="auto"/>
          </w:tcPr>
          <w:p w:rsidR="004650BC" w:rsidRPr="002F3BBF" w:rsidRDefault="004650BC" w:rsidP="002B7A8B">
            <w:pPr>
              <w:pStyle w:val="gemtab11ptAbstand"/>
              <w:rPr>
                <w:sz w:val="20"/>
              </w:rPr>
            </w:pPr>
            <w:r w:rsidRPr="002F3BBF">
              <w:rPr>
                <w:sz w:val="20"/>
              </w:rPr>
              <w:t>kDSM</w:t>
            </w:r>
          </w:p>
        </w:tc>
        <w:tc>
          <w:tcPr>
            <w:tcW w:w="7178" w:type="dxa"/>
            <w:shd w:val="clear" w:color="auto" w:fill="auto"/>
          </w:tcPr>
          <w:p w:rsidR="004650BC" w:rsidRPr="002F3BBF" w:rsidRDefault="004650BC" w:rsidP="002B7A8B">
            <w:pPr>
              <w:pStyle w:val="gemtab11ptAbstand"/>
              <w:rPr>
                <w:sz w:val="20"/>
              </w:rPr>
            </w:pPr>
            <w:r w:rsidRPr="002F3BBF">
              <w:rPr>
                <w:sz w:val="20"/>
              </w:rPr>
              <w:t>koordinierendes Datenschutzmanagementsystem</w:t>
            </w:r>
          </w:p>
        </w:tc>
      </w:tr>
      <w:tr w:rsidR="0098496E" w:rsidRPr="00540031" w:rsidTr="00714731">
        <w:trPr>
          <w:cantSplit/>
          <w:trHeight w:val="319"/>
        </w:trPr>
        <w:tc>
          <w:tcPr>
            <w:tcW w:w="1701" w:type="dxa"/>
            <w:shd w:val="clear" w:color="auto" w:fill="auto"/>
          </w:tcPr>
          <w:p w:rsidR="0098496E" w:rsidRPr="002F3BBF" w:rsidRDefault="00B0637F" w:rsidP="0098496E">
            <w:pPr>
              <w:pStyle w:val="gemtab11ptAbstand"/>
              <w:rPr>
                <w:sz w:val="20"/>
              </w:rPr>
            </w:pPr>
            <w:r w:rsidRPr="002F3BBF">
              <w:rPr>
                <w:sz w:val="20"/>
              </w:rPr>
              <w:t>RU</w:t>
            </w:r>
          </w:p>
        </w:tc>
        <w:tc>
          <w:tcPr>
            <w:tcW w:w="7178" w:type="dxa"/>
            <w:shd w:val="clear" w:color="auto" w:fill="auto"/>
          </w:tcPr>
          <w:p w:rsidR="0098496E" w:rsidRPr="002F3BBF" w:rsidRDefault="00B0637F" w:rsidP="0098496E">
            <w:pPr>
              <w:pStyle w:val="gemtab11ptAbstand"/>
              <w:rPr>
                <w:sz w:val="20"/>
              </w:rPr>
            </w:pPr>
            <w:r w:rsidRPr="002F3BBF">
              <w:rPr>
                <w:sz w:val="20"/>
              </w:rPr>
              <w:t>Referenzumgebung</w:t>
            </w:r>
          </w:p>
        </w:tc>
      </w:tr>
      <w:tr w:rsidR="00F4179A" w:rsidRPr="00540031" w:rsidTr="00714731">
        <w:trPr>
          <w:cantSplit/>
          <w:trHeight w:val="319"/>
        </w:trPr>
        <w:tc>
          <w:tcPr>
            <w:tcW w:w="1701" w:type="dxa"/>
            <w:shd w:val="clear" w:color="auto" w:fill="auto"/>
          </w:tcPr>
          <w:p w:rsidR="00F4179A" w:rsidRPr="002F3BBF" w:rsidRDefault="00F4179A" w:rsidP="0098496E">
            <w:pPr>
              <w:pStyle w:val="gemtab11ptAbstand"/>
              <w:rPr>
                <w:sz w:val="20"/>
              </w:rPr>
            </w:pPr>
            <w:r w:rsidRPr="002F3BBF">
              <w:rPr>
                <w:sz w:val="20"/>
              </w:rPr>
              <w:t>SGB</w:t>
            </w:r>
          </w:p>
        </w:tc>
        <w:tc>
          <w:tcPr>
            <w:tcW w:w="7178" w:type="dxa"/>
            <w:shd w:val="clear" w:color="auto" w:fill="auto"/>
          </w:tcPr>
          <w:p w:rsidR="00F4179A" w:rsidRPr="002F3BBF" w:rsidRDefault="00F4179A" w:rsidP="0098496E">
            <w:pPr>
              <w:pStyle w:val="gemtab11ptAbstand"/>
              <w:rPr>
                <w:sz w:val="20"/>
              </w:rPr>
            </w:pPr>
            <w:r w:rsidRPr="002F3BBF">
              <w:rPr>
                <w:sz w:val="20"/>
              </w:rPr>
              <w:t>Sozialgesetzbuch</w:t>
            </w:r>
          </w:p>
        </w:tc>
      </w:tr>
      <w:tr w:rsidR="001B15A7" w:rsidRPr="00540031" w:rsidTr="00714731">
        <w:trPr>
          <w:cantSplit/>
          <w:trHeight w:val="319"/>
        </w:trPr>
        <w:tc>
          <w:tcPr>
            <w:tcW w:w="1701" w:type="dxa"/>
            <w:shd w:val="clear" w:color="auto" w:fill="auto"/>
          </w:tcPr>
          <w:p w:rsidR="001B15A7" w:rsidRPr="002F3BBF" w:rsidRDefault="001B15A7" w:rsidP="00547531">
            <w:pPr>
              <w:pStyle w:val="gemtab11ptAbstand"/>
              <w:rPr>
                <w:sz w:val="20"/>
              </w:rPr>
            </w:pPr>
            <w:r w:rsidRPr="002F3BBF">
              <w:rPr>
                <w:sz w:val="20"/>
              </w:rPr>
              <w:t>SG-BNet</w:t>
            </w:r>
          </w:p>
        </w:tc>
        <w:tc>
          <w:tcPr>
            <w:tcW w:w="7178" w:type="dxa"/>
            <w:shd w:val="clear" w:color="auto" w:fill="auto"/>
          </w:tcPr>
          <w:p w:rsidR="001B15A7" w:rsidRPr="002F3BBF" w:rsidRDefault="001B15A7" w:rsidP="0098496E">
            <w:pPr>
              <w:pStyle w:val="gemtab11ptAbstand"/>
              <w:rPr>
                <w:sz w:val="20"/>
              </w:rPr>
            </w:pPr>
            <w:r w:rsidRPr="002F3BBF">
              <w:rPr>
                <w:sz w:val="20"/>
              </w:rPr>
              <w:t>Sicherheitsgateway Bestandsnetze</w:t>
            </w:r>
          </w:p>
        </w:tc>
      </w:tr>
      <w:tr w:rsidR="00C73BCB" w:rsidRPr="00540031" w:rsidTr="00714731">
        <w:trPr>
          <w:cantSplit/>
          <w:trHeight w:val="319"/>
        </w:trPr>
        <w:tc>
          <w:tcPr>
            <w:tcW w:w="1701" w:type="dxa"/>
            <w:shd w:val="clear" w:color="auto" w:fill="auto"/>
          </w:tcPr>
          <w:p w:rsidR="00C73BCB" w:rsidRPr="002F3BBF" w:rsidRDefault="00547531" w:rsidP="00547531">
            <w:pPr>
              <w:pStyle w:val="gemtab11ptAbstand"/>
              <w:rPr>
                <w:sz w:val="20"/>
              </w:rPr>
            </w:pPr>
            <w:r w:rsidRPr="002F3BBF">
              <w:rPr>
                <w:sz w:val="20"/>
              </w:rPr>
              <w:t>sÜv</w:t>
            </w:r>
          </w:p>
        </w:tc>
        <w:tc>
          <w:tcPr>
            <w:tcW w:w="7178" w:type="dxa"/>
            <w:shd w:val="clear" w:color="auto" w:fill="auto"/>
          </w:tcPr>
          <w:p w:rsidR="00C73BCB" w:rsidRPr="002F3BBF" w:rsidRDefault="00C73BCB" w:rsidP="0098496E">
            <w:pPr>
              <w:pStyle w:val="gemtab11ptAbstand"/>
              <w:rPr>
                <w:sz w:val="20"/>
              </w:rPr>
            </w:pPr>
            <w:r w:rsidRPr="002F3BBF">
              <w:rPr>
                <w:sz w:val="20"/>
              </w:rPr>
              <w:t>sicheres Übermittlungsverfahren</w:t>
            </w:r>
          </w:p>
        </w:tc>
      </w:tr>
      <w:tr w:rsidR="00B0637F" w:rsidRPr="00540031" w:rsidTr="00714731">
        <w:trPr>
          <w:cantSplit/>
          <w:trHeight w:val="319"/>
        </w:trPr>
        <w:tc>
          <w:tcPr>
            <w:tcW w:w="1701" w:type="dxa"/>
            <w:shd w:val="clear" w:color="auto" w:fill="auto"/>
          </w:tcPr>
          <w:p w:rsidR="00B0637F" w:rsidRPr="002F3BBF" w:rsidRDefault="00B0637F" w:rsidP="0098496E">
            <w:pPr>
              <w:pStyle w:val="gemtab11ptAbstand"/>
              <w:rPr>
                <w:sz w:val="20"/>
              </w:rPr>
            </w:pPr>
            <w:r w:rsidRPr="002F3BBF">
              <w:rPr>
                <w:sz w:val="20"/>
              </w:rPr>
              <w:t>TI</w:t>
            </w:r>
          </w:p>
        </w:tc>
        <w:tc>
          <w:tcPr>
            <w:tcW w:w="7178" w:type="dxa"/>
            <w:shd w:val="clear" w:color="auto" w:fill="auto"/>
          </w:tcPr>
          <w:p w:rsidR="00B0637F" w:rsidRPr="002F3BBF" w:rsidRDefault="00B0637F" w:rsidP="0098496E">
            <w:pPr>
              <w:pStyle w:val="gemtab11ptAbstand"/>
              <w:rPr>
                <w:sz w:val="20"/>
              </w:rPr>
            </w:pPr>
            <w:r w:rsidRPr="002F3BBF">
              <w:rPr>
                <w:sz w:val="20"/>
              </w:rPr>
              <w:t>Telematikinfrastruktur</w:t>
            </w:r>
          </w:p>
        </w:tc>
      </w:tr>
      <w:tr w:rsidR="0098496E" w:rsidRPr="00540031" w:rsidTr="00714731">
        <w:trPr>
          <w:cantSplit/>
          <w:trHeight w:val="319"/>
        </w:trPr>
        <w:tc>
          <w:tcPr>
            <w:tcW w:w="1701" w:type="dxa"/>
            <w:shd w:val="clear" w:color="auto" w:fill="auto"/>
          </w:tcPr>
          <w:p w:rsidR="0098496E" w:rsidRPr="002F3BBF" w:rsidRDefault="00B0637F" w:rsidP="0098496E">
            <w:pPr>
              <w:pStyle w:val="gemtab11ptAbstand"/>
              <w:rPr>
                <w:sz w:val="20"/>
              </w:rPr>
            </w:pPr>
            <w:r w:rsidRPr="002F3BBF">
              <w:rPr>
                <w:sz w:val="20"/>
              </w:rPr>
              <w:t>TU</w:t>
            </w:r>
          </w:p>
        </w:tc>
        <w:tc>
          <w:tcPr>
            <w:tcW w:w="7178" w:type="dxa"/>
            <w:shd w:val="clear" w:color="auto" w:fill="auto"/>
          </w:tcPr>
          <w:p w:rsidR="0098496E" w:rsidRPr="002F3BBF" w:rsidRDefault="00B0637F" w:rsidP="0098496E">
            <w:pPr>
              <w:pStyle w:val="gemtab11ptAbstand"/>
              <w:rPr>
                <w:sz w:val="20"/>
              </w:rPr>
            </w:pPr>
            <w:r w:rsidRPr="002F3BBF">
              <w:rPr>
                <w:sz w:val="20"/>
              </w:rPr>
              <w:t>Testumgebung</w:t>
            </w:r>
          </w:p>
        </w:tc>
      </w:tr>
    </w:tbl>
    <w:p w:rsidR="0098496E" w:rsidRPr="008B4C32" w:rsidRDefault="0098496E" w:rsidP="0071250F">
      <w:pPr>
        <w:pStyle w:val="berschrift2"/>
      </w:pPr>
      <w:bookmarkStart w:id="189" w:name="_Toc126455662"/>
      <w:bookmarkStart w:id="190" w:name="_Toc126575087"/>
      <w:bookmarkStart w:id="191" w:name="_Toc126575347"/>
      <w:bookmarkStart w:id="192" w:name="_Toc175538684"/>
      <w:bookmarkStart w:id="193" w:name="_Toc175543338"/>
      <w:bookmarkStart w:id="194" w:name="_Toc175547598"/>
      <w:bookmarkStart w:id="195" w:name="_Toc503165517"/>
      <w:bookmarkStart w:id="196" w:name="_Toc520260035"/>
      <w:bookmarkEnd w:id="185"/>
      <w:bookmarkEnd w:id="186"/>
      <w:bookmarkEnd w:id="187"/>
      <w:bookmarkEnd w:id="188"/>
      <w:r w:rsidRPr="008B4C32">
        <w:t>A</w:t>
      </w:r>
      <w:r w:rsidR="00CF37E7">
        <w:t>2</w:t>
      </w:r>
      <w:r w:rsidRPr="008B4C32">
        <w:t xml:space="preserve"> – Abbildungsverzeichnis</w:t>
      </w:r>
      <w:bookmarkEnd w:id="189"/>
      <w:bookmarkEnd w:id="190"/>
      <w:bookmarkEnd w:id="191"/>
      <w:bookmarkEnd w:id="192"/>
      <w:bookmarkEnd w:id="193"/>
      <w:bookmarkEnd w:id="194"/>
      <w:bookmarkEnd w:id="195"/>
    </w:p>
    <w:p w:rsidR="001B15A7" w:rsidRDefault="00442A79">
      <w:pPr>
        <w:pStyle w:val="Abbildungsverzeichnis"/>
        <w:tabs>
          <w:tab w:val="right" w:leader="dot" w:pos="8777"/>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w:anchor="_Toc496518431" w:history="1">
        <w:r w:rsidR="001B15A7" w:rsidRPr="002D7E39">
          <w:rPr>
            <w:rStyle w:val="Hyperlink"/>
            <w:noProof/>
          </w:rPr>
          <w:t>Abbildung 1 – Anforderungen, Module und Anbieter</w:t>
        </w:r>
        <w:r w:rsidR="001B15A7">
          <w:rPr>
            <w:noProof/>
            <w:webHidden/>
          </w:rPr>
          <w:tab/>
        </w:r>
        <w:r w:rsidR="001B15A7">
          <w:rPr>
            <w:noProof/>
            <w:webHidden/>
          </w:rPr>
          <w:fldChar w:fldCharType="begin"/>
        </w:r>
        <w:r w:rsidR="001B15A7">
          <w:rPr>
            <w:noProof/>
            <w:webHidden/>
          </w:rPr>
          <w:instrText xml:space="preserve"> PAGEREF _Toc496518431 \h </w:instrText>
        </w:r>
        <w:r w:rsidR="001B15A7">
          <w:rPr>
            <w:noProof/>
            <w:webHidden/>
          </w:rPr>
        </w:r>
        <w:r w:rsidR="001B15A7">
          <w:rPr>
            <w:noProof/>
            <w:webHidden/>
          </w:rPr>
          <w:fldChar w:fldCharType="separate"/>
        </w:r>
        <w:r w:rsidR="002F3BBF">
          <w:rPr>
            <w:noProof/>
            <w:webHidden/>
          </w:rPr>
          <w:t>5</w:t>
        </w:r>
        <w:r w:rsidR="001B15A7">
          <w:rPr>
            <w:noProof/>
            <w:webHidden/>
          </w:rPr>
          <w:fldChar w:fldCharType="end"/>
        </w:r>
      </w:hyperlink>
    </w:p>
    <w:p w:rsidR="001B15A7" w:rsidRDefault="002E6160">
      <w:pPr>
        <w:pStyle w:val="Abbildungsverzeichnis"/>
        <w:tabs>
          <w:tab w:val="right" w:leader="dot" w:pos="8777"/>
        </w:tabs>
        <w:rPr>
          <w:rFonts w:asciiTheme="minorHAnsi" w:eastAsiaTheme="minorEastAsia" w:hAnsiTheme="minorHAnsi" w:cstheme="minorBidi"/>
          <w:noProof/>
          <w:szCs w:val="22"/>
        </w:rPr>
      </w:pPr>
      <w:hyperlink w:anchor="_Toc496518432" w:history="1">
        <w:r w:rsidR="001B15A7" w:rsidRPr="002D7E39">
          <w:rPr>
            <w:rStyle w:val="Hyperlink"/>
            <w:noProof/>
          </w:rPr>
          <w:t>Abbildung 2 – Modulübersicht für Anbietermodule</w:t>
        </w:r>
        <w:r w:rsidR="001B15A7">
          <w:rPr>
            <w:noProof/>
            <w:webHidden/>
          </w:rPr>
          <w:tab/>
        </w:r>
        <w:r w:rsidR="001B15A7">
          <w:rPr>
            <w:noProof/>
            <w:webHidden/>
          </w:rPr>
          <w:fldChar w:fldCharType="begin"/>
        </w:r>
        <w:r w:rsidR="001B15A7">
          <w:rPr>
            <w:noProof/>
            <w:webHidden/>
          </w:rPr>
          <w:instrText xml:space="preserve"> PAGEREF _Toc496518432 \h </w:instrText>
        </w:r>
        <w:r w:rsidR="001B15A7">
          <w:rPr>
            <w:noProof/>
            <w:webHidden/>
          </w:rPr>
        </w:r>
        <w:r w:rsidR="001B15A7">
          <w:rPr>
            <w:noProof/>
            <w:webHidden/>
          </w:rPr>
          <w:fldChar w:fldCharType="separate"/>
        </w:r>
        <w:r w:rsidR="002F3BBF">
          <w:rPr>
            <w:noProof/>
            <w:webHidden/>
          </w:rPr>
          <w:t>5</w:t>
        </w:r>
        <w:r w:rsidR="001B15A7">
          <w:rPr>
            <w:noProof/>
            <w:webHidden/>
          </w:rPr>
          <w:fldChar w:fldCharType="end"/>
        </w:r>
      </w:hyperlink>
    </w:p>
    <w:p w:rsidR="001B15A7" w:rsidRDefault="002E6160">
      <w:pPr>
        <w:pStyle w:val="Abbildungsverzeichnis"/>
        <w:tabs>
          <w:tab w:val="right" w:leader="dot" w:pos="8777"/>
        </w:tabs>
        <w:rPr>
          <w:rFonts w:asciiTheme="minorHAnsi" w:eastAsiaTheme="minorEastAsia" w:hAnsiTheme="minorHAnsi" w:cstheme="minorBidi"/>
          <w:noProof/>
          <w:szCs w:val="22"/>
        </w:rPr>
      </w:pPr>
      <w:hyperlink w:anchor="_Toc496518433" w:history="1">
        <w:r w:rsidR="001B15A7" w:rsidRPr="002D7E39">
          <w:rPr>
            <w:rStyle w:val="Hyperlink"/>
            <w:noProof/>
          </w:rPr>
          <w:t>Abbildung 3 – Zuordnung der Module der Informationssicherheit</w:t>
        </w:r>
        <w:r w:rsidR="001B15A7">
          <w:rPr>
            <w:noProof/>
            <w:webHidden/>
          </w:rPr>
          <w:tab/>
        </w:r>
        <w:r w:rsidR="001B15A7">
          <w:rPr>
            <w:noProof/>
            <w:webHidden/>
          </w:rPr>
          <w:fldChar w:fldCharType="begin"/>
        </w:r>
        <w:r w:rsidR="001B15A7">
          <w:rPr>
            <w:noProof/>
            <w:webHidden/>
          </w:rPr>
          <w:instrText xml:space="preserve"> PAGEREF _Toc496518433 \h </w:instrText>
        </w:r>
        <w:r w:rsidR="001B15A7">
          <w:rPr>
            <w:noProof/>
            <w:webHidden/>
          </w:rPr>
        </w:r>
        <w:r w:rsidR="001B15A7">
          <w:rPr>
            <w:noProof/>
            <w:webHidden/>
          </w:rPr>
          <w:fldChar w:fldCharType="separate"/>
        </w:r>
        <w:r w:rsidR="002F3BBF">
          <w:rPr>
            <w:noProof/>
            <w:webHidden/>
          </w:rPr>
          <w:t>5</w:t>
        </w:r>
        <w:r w:rsidR="001B15A7">
          <w:rPr>
            <w:noProof/>
            <w:webHidden/>
          </w:rPr>
          <w:fldChar w:fldCharType="end"/>
        </w:r>
      </w:hyperlink>
    </w:p>
    <w:p w:rsidR="001B15A7" w:rsidRDefault="002E6160">
      <w:pPr>
        <w:pStyle w:val="Abbildungsverzeichnis"/>
        <w:tabs>
          <w:tab w:val="right" w:leader="dot" w:pos="8777"/>
        </w:tabs>
        <w:rPr>
          <w:rFonts w:asciiTheme="minorHAnsi" w:eastAsiaTheme="minorEastAsia" w:hAnsiTheme="minorHAnsi" w:cstheme="minorBidi"/>
          <w:noProof/>
          <w:szCs w:val="22"/>
        </w:rPr>
      </w:pPr>
      <w:hyperlink w:anchor="_Toc496518434" w:history="1">
        <w:r w:rsidR="001B15A7" w:rsidRPr="002D7E39">
          <w:rPr>
            <w:rStyle w:val="Hyperlink"/>
            <w:noProof/>
          </w:rPr>
          <w:t>Abbildung 4 – Zuordnung der Module zum Datenschutz</w:t>
        </w:r>
        <w:r w:rsidR="001B15A7">
          <w:rPr>
            <w:noProof/>
            <w:webHidden/>
          </w:rPr>
          <w:tab/>
        </w:r>
        <w:r w:rsidR="001B15A7">
          <w:rPr>
            <w:noProof/>
            <w:webHidden/>
          </w:rPr>
          <w:fldChar w:fldCharType="begin"/>
        </w:r>
        <w:r w:rsidR="001B15A7">
          <w:rPr>
            <w:noProof/>
            <w:webHidden/>
          </w:rPr>
          <w:instrText xml:space="preserve"> PAGEREF _Toc496518434 \h </w:instrText>
        </w:r>
        <w:r w:rsidR="001B15A7">
          <w:rPr>
            <w:noProof/>
            <w:webHidden/>
          </w:rPr>
        </w:r>
        <w:r w:rsidR="001B15A7">
          <w:rPr>
            <w:noProof/>
            <w:webHidden/>
          </w:rPr>
          <w:fldChar w:fldCharType="separate"/>
        </w:r>
        <w:r w:rsidR="002F3BBF">
          <w:rPr>
            <w:noProof/>
            <w:webHidden/>
          </w:rPr>
          <w:t>5</w:t>
        </w:r>
        <w:r w:rsidR="001B15A7">
          <w:rPr>
            <w:noProof/>
            <w:webHidden/>
          </w:rPr>
          <w:fldChar w:fldCharType="end"/>
        </w:r>
      </w:hyperlink>
    </w:p>
    <w:p w:rsidR="001B15A7" w:rsidRDefault="002E6160">
      <w:pPr>
        <w:pStyle w:val="Abbildungsverzeichnis"/>
        <w:tabs>
          <w:tab w:val="right" w:leader="dot" w:pos="8777"/>
        </w:tabs>
        <w:rPr>
          <w:rFonts w:asciiTheme="minorHAnsi" w:eastAsiaTheme="minorEastAsia" w:hAnsiTheme="minorHAnsi" w:cstheme="minorBidi"/>
          <w:noProof/>
          <w:szCs w:val="22"/>
        </w:rPr>
      </w:pPr>
      <w:hyperlink w:anchor="_Toc496518435" w:history="1">
        <w:r w:rsidR="001B15A7" w:rsidRPr="002D7E39">
          <w:rPr>
            <w:rStyle w:val="Hyperlink"/>
            <w:noProof/>
          </w:rPr>
          <w:t>Abbildung 5 – Module für weitere Anwendungen</w:t>
        </w:r>
        <w:r w:rsidR="001B15A7">
          <w:rPr>
            <w:noProof/>
            <w:webHidden/>
          </w:rPr>
          <w:tab/>
        </w:r>
        <w:r w:rsidR="001B15A7">
          <w:rPr>
            <w:noProof/>
            <w:webHidden/>
          </w:rPr>
          <w:fldChar w:fldCharType="begin"/>
        </w:r>
        <w:r w:rsidR="001B15A7">
          <w:rPr>
            <w:noProof/>
            <w:webHidden/>
          </w:rPr>
          <w:instrText xml:space="preserve"> PAGEREF _Toc496518435 \h </w:instrText>
        </w:r>
        <w:r w:rsidR="001B15A7">
          <w:rPr>
            <w:noProof/>
            <w:webHidden/>
          </w:rPr>
        </w:r>
        <w:r w:rsidR="001B15A7">
          <w:rPr>
            <w:noProof/>
            <w:webHidden/>
          </w:rPr>
          <w:fldChar w:fldCharType="separate"/>
        </w:r>
        <w:r w:rsidR="002F3BBF">
          <w:rPr>
            <w:noProof/>
            <w:webHidden/>
          </w:rPr>
          <w:t>5</w:t>
        </w:r>
        <w:r w:rsidR="001B15A7">
          <w:rPr>
            <w:noProof/>
            <w:webHidden/>
          </w:rPr>
          <w:fldChar w:fldCharType="end"/>
        </w:r>
      </w:hyperlink>
    </w:p>
    <w:p w:rsidR="001B15A7" w:rsidRDefault="002E6160">
      <w:pPr>
        <w:pStyle w:val="Abbildungsverzeichnis"/>
        <w:tabs>
          <w:tab w:val="right" w:leader="dot" w:pos="8777"/>
        </w:tabs>
        <w:rPr>
          <w:rFonts w:asciiTheme="minorHAnsi" w:eastAsiaTheme="minorEastAsia" w:hAnsiTheme="minorHAnsi" w:cstheme="minorBidi"/>
          <w:noProof/>
          <w:szCs w:val="22"/>
        </w:rPr>
      </w:pPr>
      <w:hyperlink w:anchor="_Toc496518436" w:history="1">
        <w:r w:rsidR="001B15A7" w:rsidRPr="002D7E39">
          <w:rPr>
            <w:rStyle w:val="Hyperlink"/>
            <w:noProof/>
          </w:rPr>
          <w:t>Abbildung 6 – Modulübersicht für Anbietermodule</w:t>
        </w:r>
        <w:r w:rsidR="001B15A7">
          <w:rPr>
            <w:noProof/>
            <w:webHidden/>
          </w:rPr>
          <w:tab/>
        </w:r>
        <w:r w:rsidR="001B15A7">
          <w:rPr>
            <w:noProof/>
            <w:webHidden/>
          </w:rPr>
          <w:fldChar w:fldCharType="begin"/>
        </w:r>
        <w:r w:rsidR="001B15A7">
          <w:rPr>
            <w:noProof/>
            <w:webHidden/>
          </w:rPr>
          <w:instrText xml:space="preserve"> PAGEREF _Toc496518436 \h </w:instrText>
        </w:r>
        <w:r w:rsidR="001B15A7">
          <w:rPr>
            <w:noProof/>
            <w:webHidden/>
          </w:rPr>
        </w:r>
        <w:r w:rsidR="001B15A7">
          <w:rPr>
            <w:noProof/>
            <w:webHidden/>
          </w:rPr>
          <w:fldChar w:fldCharType="separate"/>
        </w:r>
        <w:r w:rsidR="002F3BBF">
          <w:rPr>
            <w:noProof/>
            <w:webHidden/>
          </w:rPr>
          <w:t>5</w:t>
        </w:r>
        <w:r w:rsidR="001B15A7">
          <w:rPr>
            <w:noProof/>
            <w:webHidden/>
          </w:rPr>
          <w:fldChar w:fldCharType="end"/>
        </w:r>
      </w:hyperlink>
    </w:p>
    <w:p w:rsidR="0098496E" w:rsidRPr="0095746E" w:rsidRDefault="002E6160" w:rsidP="00556D48">
      <w:pPr>
        <w:pStyle w:val="Abbildungsverzeichnis"/>
        <w:tabs>
          <w:tab w:val="right" w:leader="dot" w:pos="8777"/>
        </w:tabs>
      </w:pPr>
      <w:hyperlink w:anchor="_Toc496518437" w:history="1">
        <w:r w:rsidR="001B15A7" w:rsidRPr="002D7E39">
          <w:rPr>
            <w:rStyle w:val="Hyperlink"/>
            <w:noProof/>
          </w:rPr>
          <w:t>Abbildung 7 – Auswirkungen des § 274 SGB V auf die Modulzuordnung (grau = entfällt)</w:t>
        </w:r>
        <w:r w:rsidR="001B15A7">
          <w:rPr>
            <w:noProof/>
            <w:webHidden/>
          </w:rPr>
          <w:tab/>
        </w:r>
        <w:r w:rsidR="001B15A7">
          <w:rPr>
            <w:noProof/>
            <w:webHidden/>
          </w:rPr>
          <w:fldChar w:fldCharType="begin"/>
        </w:r>
        <w:r w:rsidR="001B15A7">
          <w:rPr>
            <w:noProof/>
            <w:webHidden/>
          </w:rPr>
          <w:instrText xml:space="preserve"> PAGEREF _Toc496518437 \h </w:instrText>
        </w:r>
        <w:r w:rsidR="001B15A7">
          <w:rPr>
            <w:noProof/>
            <w:webHidden/>
          </w:rPr>
        </w:r>
        <w:r w:rsidR="001B15A7">
          <w:rPr>
            <w:noProof/>
            <w:webHidden/>
          </w:rPr>
          <w:fldChar w:fldCharType="separate"/>
        </w:r>
        <w:r w:rsidR="002F3BBF">
          <w:rPr>
            <w:noProof/>
            <w:webHidden/>
          </w:rPr>
          <w:t>5</w:t>
        </w:r>
        <w:r w:rsidR="001B15A7">
          <w:rPr>
            <w:noProof/>
            <w:webHidden/>
          </w:rPr>
          <w:fldChar w:fldCharType="end"/>
        </w:r>
      </w:hyperlink>
      <w:r w:rsidR="00442A79">
        <w:rPr>
          <w:b/>
          <w:bCs/>
          <w:noProof/>
        </w:rPr>
        <w:fldChar w:fldCharType="end"/>
      </w:r>
    </w:p>
    <w:p w:rsidR="0098496E" w:rsidRPr="0095746E" w:rsidRDefault="0098496E" w:rsidP="0071250F">
      <w:pPr>
        <w:pStyle w:val="berschrift2"/>
      </w:pPr>
      <w:bookmarkStart w:id="197" w:name="_Toc126455663"/>
      <w:bookmarkStart w:id="198" w:name="_Toc126575088"/>
      <w:bookmarkStart w:id="199" w:name="_Toc126575348"/>
      <w:bookmarkStart w:id="200" w:name="_Toc175538685"/>
      <w:bookmarkStart w:id="201" w:name="_Toc175543339"/>
      <w:bookmarkStart w:id="202" w:name="_Toc175547599"/>
      <w:bookmarkStart w:id="203" w:name="_Toc503165518"/>
      <w:r w:rsidRPr="0095746E">
        <w:lastRenderedPageBreak/>
        <w:t>A</w:t>
      </w:r>
      <w:r w:rsidR="00CF37E7">
        <w:t>3</w:t>
      </w:r>
      <w:r w:rsidRPr="0095746E">
        <w:t xml:space="preserve"> – Tabellen</w:t>
      </w:r>
      <w:bookmarkEnd w:id="196"/>
      <w:r w:rsidRPr="0095746E">
        <w:t>verzeichnis</w:t>
      </w:r>
      <w:bookmarkEnd w:id="197"/>
      <w:bookmarkEnd w:id="198"/>
      <w:bookmarkEnd w:id="199"/>
      <w:bookmarkEnd w:id="200"/>
      <w:bookmarkEnd w:id="201"/>
      <w:bookmarkEnd w:id="202"/>
      <w:bookmarkEnd w:id="203"/>
    </w:p>
    <w:bookmarkStart w:id="204" w:name="ANFANG_REFDOKS"/>
    <w:bookmarkStart w:id="205" w:name="ENDE_ABBTABS"/>
    <w:bookmarkStart w:id="206" w:name="_Toc520260036"/>
    <w:bookmarkStart w:id="207" w:name="_Toc126455664"/>
    <w:bookmarkStart w:id="208" w:name="_Toc126575089"/>
    <w:bookmarkStart w:id="209" w:name="_Toc126575349"/>
    <w:bookmarkStart w:id="210" w:name="_Toc175538686"/>
    <w:bookmarkStart w:id="211" w:name="_Toc175543340"/>
    <w:bookmarkStart w:id="212" w:name="_Toc175547600"/>
    <w:bookmarkEnd w:id="204"/>
    <w:bookmarkEnd w:id="205"/>
    <w:p w:rsidR="001B15A7" w:rsidRDefault="00CB1D7F">
      <w:pPr>
        <w:pStyle w:val="Abbildungsverzeichnis"/>
        <w:tabs>
          <w:tab w:val="right" w:leader="dot" w:pos="8777"/>
        </w:tabs>
        <w:rPr>
          <w:rFonts w:asciiTheme="minorHAnsi" w:eastAsiaTheme="minorEastAsia" w:hAnsiTheme="minorHAnsi" w:cstheme="minorBidi"/>
          <w:noProof/>
          <w:szCs w:val="22"/>
        </w:rPr>
      </w:pPr>
      <w:r>
        <w:rPr>
          <w:szCs w:val="22"/>
        </w:rPr>
        <w:fldChar w:fldCharType="begin"/>
      </w:r>
      <w:r>
        <w:rPr>
          <w:szCs w:val="22"/>
        </w:rPr>
        <w:instrText xml:space="preserve"> TOC \h \z \c "Tabelle" </w:instrText>
      </w:r>
      <w:r>
        <w:rPr>
          <w:szCs w:val="22"/>
        </w:rPr>
        <w:fldChar w:fldCharType="separate"/>
      </w:r>
      <w:hyperlink w:anchor="_Toc496518438" w:history="1">
        <w:r w:rsidR="001B15A7" w:rsidRPr="00B51B00">
          <w:rPr>
            <w:rStyle w:val="Hyperlink"/>
            <w:noProof/>
          </w:rPr>
          <w:t>Tabelle 1: Nicht zugeordnete Anforderungen bei Anwendbarkeit des SGB X</w:t>
        </w:r>
        <w:r w:rsidR="001B15A7">
          <w:rPr>
            <w:noProof/>
            <w:webHidden/>
          </w:rPr>
          <w:tab/>
        </w:r>
        <w:r w:rsidR="001B15A7">
          <w:rPr>
            <w:noProof/>
            <w:webHidden/>
          </w:rPr>
          <w:fldChar w:fldCharType="begin"/>
        </w:r>
        <w:r w:rsidR="001B15A7">
          <w:rPr>
            <w:noProof/>
            <w:webHidden/>
          </w:rPr>
          <w:instrText xml:space="preserve"> PAGEREF _Toc496518438 \h </w:instrText>
        </w:r>
        <w:r w:rsidR="001B15A7">
          <w:rPr>
            <w:noProof/>
            <w:webHidden/>
          </w:rPr>
        </w:r>
        <w:r w:rsidR="001B15A7">
          <w:rPr>
            <w:noProof/>
            <w:webHidden/>
          </w:rPr>
          <w:fldChar w:fldCharType="separate"/>
        </w:r>
        <w:r w:rsidR="002F3BBF">
          <w:rPr>
            <w:noProof/>
            <w:webHidden/>
          </w:rPr>
          <w:t>5</w:t>
        </w:r>
        <w:r w:rsidR="001B15A7">
          <w:rPr>
            <w:noProof/>
            <w:webHidden/>
          </w:rPr>
          <w:fldChar w:fldCharType="end"/>
        </w:r>
      </w:hyperlink>
    </w:p>
    <w:p w:rsidR="001B15A7" w:rsidRDefault="002E6160">
      <w:pPr>
        <w:pStyle w:val="Abbildungsverzeichnis"/>
        <w:tabs>
          <w:tab w:val="right" w:leader="dot" w:pos="8777"/>
        </w:tabs>
        <w:rPr>
          <w:rFonts w:asciiTheme="minorHAnsi" w:eastAsiaTheme="minorEastAsia" w:hAnsiTheme="minorHAnsi" w:cstheme="minorBidi"/>
          <w:noProof/>
          <w:szCs w:val="22"/>
        </w:rPr>
      </w:pPr>
      <w:hyperlink w:anchor="_Toc496518439" w:history="1">
        <w:r w:rsidR="001B15A7" w:rsidRPr="00B51B00">
          <w:rPr>
            <w:rStyle w:val="Hyperlink"/>
            <w:noProof/>
          </w:rPr>
          <w:t>Tabelle 2 – Modulzuordnung bzgl. der Spezifikationshoheit der gematik</w:t>
        </w:r>
        <w:r w:rsidR="001B15A7">
          <w:rPr>
            <w:noProof/>
            <w:webHidden/>
          </w:rPr>
          <w:tab/>
        </w:r>
        <w:r w:rsidR="001B15A7">
          <w:rPr>
            <w:noProof/>
            <w:webHidden/>
          </w:rPr>
          <w:fldChar w:fldCharType="begin"/>
        </w:r>
        <w:r w:rsidR="001B15A7">
          <w:rPr>
            <w:noProof/>
            <w:webHidden/>
          </w:rPr>
          <w:instrText xml:space="preserve"> PAGEREF _Toc496518439 \h </w:instrText>
        </w:r>
        <w:r w:rsidR="001B15A7">
          <w:rPr>
            <w:noProof/>
            <w:webHidden/>
          </w:rPr>
        </w:r>
        <w:r w:rsidR="001B15A7">
          <w:rPr>
            <w:noProof/>
            <w:webHidden/>
          </w:rPr>
          <w:fldChar w:fldCharType="separate"/>
        </w:r>
        <w:r w:rsidR="002F3BBF">
          <w:rPr>
            <w:noProof/>
            <w:webHidden/>
          </w:rPr>
          <w:t>5</w:t>
        </w:r>
        <w:r w:rsidR="001B15A7">
          <w:rPr>
            <w:noProof/>
            <w:webHidden/>
          </w:rPr>
          <w:fldChar w:fldCharType="end"/>
        </w:r>
      </w:hyperlink>
    </w:p>
    <w:p w:rsidR="00BE475D" w:rsidRPr="00EE667D" w:rsidRDefault="002E6160" w:rsidP="00556D48">
      <w:pPr>
        <w:pStyle w:val="Abbildungsverzeichnis"/>
        <w:tabs>
          <w:tab w:val="right" w:leader="dot" w:pos="8777"/>
        </w:tabs>
        <w:rPr>
          <w:szCs w:val="22"/>
        </w:rPr>
      </w:pPr>
      <w:hyperlink w:anchor="_Toc496518440" w:history="1">
        <w:r w:rsidR="001B15A7" w:rsidRPr="00B51B00">
          <w:rPr>
            <w:rStyle w:val="Hyperlink"/>
            <w:noProof/>
          </w:rPr>
          <w:t>Tabelle 3 – Modulzuordnung bzgl. der Möglichkeit, die TI zu beeinträchtigen</w:t>
        </w:r>
        <w:r w:rsidR="001B15A7">
          <w:rPr>
            <w:noProof/>
            <w:webHidden/>
          </w:rPr>
          <w:tab/>
        </w:r>
        <w:r w:rsidR="001B15A7">
          <w:rPr>
            <w:noProof/>
            <w:webHidden/>
          </w:rPr>
          <w:fldChar w:fldCharType="begin"/>
        </w:r>
        <w:r w:rsidR="001B15A7">
          <w:rPr>
            <w:noProof/>
            <w:webHidden/>
          </w:rPr>
          <w:instrText xml:space="preserve"> PAGEREF _Toc496518440 \h </w:instrText>
        </w:r>
        <w:r w:rsidR="001B15A7">
          <w:rPr>
            <w:noProof/>
            <w:webHidden/>
          </w:rPr>
        </w:r>
        <w:r w:rsidR="001B15A7">
          <w:rPr>
            <w:noProof/>
            <w:webHidden/>
          </w:rPr>
          <w:fldChar w:fldCharType="separate"/>
        </w:r>
        <w:r w:rsidR="002F3BBF">
          <w:rPr>
            <w:noProof/>
            <w:webHidden/>
          </w:rPr>
          <w:t>5</w:t>
        </w:r>
        <w:r w:rsidR="001B15A7">
          <w:rPr>
            <w:noProof/>
            <w:webHidden/>
          </w:rPr>
          <w:fldChar w:fldCharType="end"/>
        </w:r>
      </w:hyperlink>
      <w:r w:rsidR="00CB1D7F">
        <w:rPr>
          <w:szCs w:val="22"/>
        </w:rPr>
        <w:fldChar w:fldCharType="end"/>
      </w:r>
      <w:r w:rsidR="00CB1D7F">
        <w:rPr>
          <w:szCs w:val="22"/>
        </w:rPr>
        <w:t xml:space="preserve"> </w:t>
      </w:r>
    </w:p>
    <w:p w:rsidR="00BE475D" w:rsidRPr="008B4C32" w:rsidRDefault="00BE475D" w:rsidP="0071250F">
      <w:pPr>
        <w:pStyle w:val="berschrift2"/>
      </w:pPr>
      <w:bookmarkStart w:id="213" w:name="_Toc244580834"/>
      <w:bookmarkStart w:id="214" w:name="_Toc503165519"/>
      <w:bookmarkEnd w:id="206"/>
      <w:bookmarkEnd w:id="207"/>
      <w:bookmarkEnd w:id="208"/>
      <w:bookmarkEnd w:id="209"/>
      <w:bookmarkEnd w:id="210"/>
      <w:bookmarkEnd w:id="211"/>
      <w:bookmarkEnd w:id="212"/>
      <w:r w:rsidRPr="00262F15">
        <w:t>A</w:t>
      </w:r>
      <w:r w:rsidR="00CF37E7">
        <w:t>4</w:t>
      </w:r>
      <w:r w:rsidRPr="00262F15">
        <w:t xml:space="preserve"> </w:t>
      </w:r>
      <w:r w:rsidR="00932F44">
        <w:t>–</w:t>
      </w:r>
      <w:r w:rsidRPr="00262F15">
        <w:t xml:space="preserve"> Referenzi</w:t>
      </w:r>
      <w:r w:rsidRPr="008B4C32">
        <w:t>erte Dokumente</w:t>
      </w:r>
      <w:bookmarkEnd w:id="213"/>
      <w:bookmarkEnd w:id="214"/>
    </w:p>
    <w:p w:rsidR="00BE475D" w:rsidRPr="008B4C32" w:rsidRDefault="00BE475D" w:rsidP="0071250F">
      <w:pPr>
        <w:pStyle w:val="berschrift3"/>
      </w:pPr>
      <w:bookmarkStart w:id="215" w:name="_Toc244580835"/>
      <w:bookmarkStart w:id="216" w:name="_Toc503165520"/>
      <w:r w:rsidRPr="008B4C32">
        <w:t>A</w:t>
      </w:r>
      <w:r w:rsidR="00CF37E7">
        <w:t>4</w:t>
      </w:r>
      <w:r w:rsidRPr="008B4C32">
        <w:t>.1 – Dokumente der gematik</w:t>
      </w:r>
      <w:bookmarkEnd w:id="215"/>
      <w:bookmarkEnd w:id="216"/>
    </w:p>
    <w:p w:rsidR="00BE475D" w:rsidRPr="00EE667D" w:rsidRDefault="00BE475D" w:rsidP="00BE475D">
      <w:pPr>
        <w:pStyle w:val="gemStandard"/>
        <w:rPr>
          <w:szCs w:val="22"/>
        </w:rPr>
      </w:pPr>
      <w:r w:rsidRPr="00EE667D">
        <w:rPr>
          <w:szCs w:val="22"/>
        </w:rPr>
        <w:t xml:space="preserve">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rsidR="005F6FAF">
        <w:rPr>
          <w:szCs w:val="22"/>
        </w:rPr>
        <w:t xml:space="preserve">sind in </w:t>
      </w:r>
      <w:r w:rsidRPr="00EE667D">
        <w:rPr>
          <w:szCs w:val="22"/>
        </w:rPr>
        <w:t xml:space="preserve">der aktuellsten, </w:t>
      </w:r>
      <w:r w:rsidR="00CB1D7F">
        <w:rPr>
          <w:szCs w:val="22"/>
        </w:rPr>
        <w:t>von</w:t>
      </w:r>
      <w:r w:rsidRPr="00EE667D">
        <w:rPr>
          <w:szCs w:val="22"/>
        </w:rPr>
        <w:t xml:space="preserve"> der gematik veröffentlichten Dokumentenlandkarte</w:t>
      </w:r>
      <w:r w:rsidR="005F6FAF">
        <w:rPr>
          <w:szCs w:val="22"/>
        </w:rPr>
        <w:t xml:space="preserve"> enthalten</w:t>
      </w:r>
      <w:r w:rsidRPr="00EE667D">
        <w:rPr>
          <w:szCs w:val="22"/>
        </w:rPr>
        <w:t>, in der die vorliegende Version aufgeführt wird.</w:t>
      </w:r>
    </w:p>
    <w:p w:rsidR="00BE475D" w:rsidRPr="00901AC6" w:rsidRDefault="00BE475D" w:rsidP="00BE475D">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6485"/>
      </w:tblGrid>
      <w:tr w:rsidR="00BE475D" w:rsidRPr="00540031" w:rsidTr="00714731">
        <w:trPr>
          <w:cantSplit/>
          <w:tblHeader/>
        </w:trPr>
        <w:tc>
          <w:tcPr>
            <w:tcW w:w="2518" w:type="dxa"/>
            <w:shd w:val="clear" w:color="auto" w:fill="E0E0E0"/>
          </w:tcPr>
          <w:p w:rsidR="00BE475D" w:rsidRPr="00540031" w:rsidRDefault="00BE475D" w:rsidP="00BE475D">
            <w:pPr>
              <w:pStyle w:val="gemtab11ptAbstand"/>
              <w:rPr>
                <w:b/>
                <w:sz w:val="20"/>
              </w:rPr>
            </w:pPr>
            <w:r w:rsidRPr="00540031">
              <w:rPr>
                <w:b/>
                <w:sz w:val="20"/>
              </w:rPr>
              <w:t>[Quelle]</w:t>
            </w:r>
          </w:p>
        </w:tc>
        <w:tc>
          <w:tcPr>
            <w:tcW w:w="6485" w:type="dxa"/>
            <w:shd w:val="clear" w:color="auto" w:fill="E0E0E0"/>
          </w:tcPr>
          <w:p w:rsidR="00BE475D" w:rsidRPr="00540031" w:rsidRDefault="00BE475D" w:rsidP="00BE475D">
            <w:pPr>
              <w:pStyle w:val="gemtab11ptAbstand"/>
              <w:rPr>
                <w:b/>
                <w:sz w:val="20"/>
              </w:rPr>
            </w:pPr>
            <w:r w:rsidRPr="00540031">
              <w:rPr>
                <w:b/>
                <w:sz w:val="20"/>
              </w:rPr>
              <w:t>Herausgeber: Titel</w:t>
            </w:r>
          </w:p>
        </w:tc>
      </w:tr>
      <w:tr w:rsidR="00BE475D" w:rsidRPr="00540031" w:rsidTr="00714731">
        <w:trPr>
          <w:cantSplit/>
        </w:trPr>
        <w:tc>
          <w:tcPr>
            <w:tcW w:w="2518" w:type="dxa"/>
            <w:shd w:val="clear" w:color="auto" w:fill="auto"/>
          </w:tcPr>
          <w:p w:rsidR="00BE475D" w:rsidRPr="002F3BBF" w:rsidRDefault="00BE475D" w:rsidP="00BE475D">
            <w:pPr>
              <w:pStyle w:val="gemtab11ptAbstand"/>
              <w:rPr>
                <w:sz w:val="20"/>
              </w:rPr>
            </w:pPr>
            <w:r w:rsidRPr="002F3BBF">
              <w:rPr>
                <w:sz w:val="20"/>
              </w:rPr>
              <w:t>[gemGlossar]</w:t>
            </w:r>
          </w:p>
        </w:tc>
        <w:tc>
          <w:tcPr>
            <w:tcW w:w="6485" w:type="dxa"/>
            <w:shd w:val="clear" w:color="auto" w:fill="auto"/>
          </w:tcPr>
          <w:p w:rsidR="00BE475D" w:rsidRPr="002F3BBF" w:rsidRDefault="00BE475D" w:rsidP="00D02533">
            <w:pPr>
              <w:autoSpaceDE w:val="0"/>
              <w:autoSpaceDN w:val="0"/>
              <w:adjustRightInd w:val="0"/>
              <w:spacing w:after="0"/>
              <w:jc w:val="left"/>
              <w:rPr>
                <w:rFonts w:eastAsia="Times New Roman"/>
                <w:sz w:val="20"/>
                <w:szCs w:val="20"/>
              </w:rPr>
            </w:pPr>
            <w:r w:rsidRPr="002F3BBF">
              <w:rPr>
                <w:rFonts w:eastAsia="Times New Roman"/>
                <w:sz w:val="20"/>
                <w:szCs w:val="20"/>
              </w:rPr>
              <w:t>gematik: Ei</w:t>
            </w:r>
            <w:r w:rsidR="00D02533" w:rsidRPr="002F3BBF">
              <w:rPr>
                <w:rFonts w:eastAsia="Times New Roman"/>
                <w:sz w:val="20"/>
                <w:szCs w:val="20"/>
              </w:rPr>
              <w:t xml:space="preserve">nführung der Gesundheitskarte - </w:t>
            </w:r>
            <w:r w:rsidRPr="002F3BBF">
              <w:rPr>
                <w:rFonts w:eastAsia="Times New Roman"/>
                <w:sz w:val="20"/>
                <w:szCs w:val="20"/>
              </w:rPr>
              <w:t>Glossar</w:t>
            </w:r>
          </w:p>
        </w:tc>
      </w:tr>
      <w:tr w:rsidR="000C4555" w:rsidRPr="00540031" w:rsidTr="00714731">
        <w:trPr>
          <w:cantSplit/>
        </w:trPr>
        <w:tc>
          <w:tcPr>
            <w:tcW w:w="2518" w:type="dxa"/>
            <w:shd w:val="clear" w:color="auto" w:fill="auto"/>
          </w:tcPr>
          <w:p w:rsidR="000C4555" w:rsidRPr="002F3BBF" w:rsidRDefault="000C4555" w:rsidP="001E14FA">
            <w:pPr>
              <w:pStyle w:val="gemtab11ptAbstand"/>
              <w:rPr>
                <w:sz w:val="20"/>
              </w:rPr>
            </w:pPr>
            <w:r w:rsidRPr="002F3BBF">
              <w:rPr>
                <w:sz w:val="20"/>
              </w:rPr>
              <w:t>[gemKPT_Arch_TIP]</w:t>
            </w:r>
          </w:p>
        </w:tc>
        <w:tc>
          <w:tcPr>
            <w:tcW w:w="6485" w:type="dxa"/>
            <w:shd w:val="clear" w:color="auto" w:fill="auto"/>
          </w:tcPr>
          <w:p w:rsidR="000C4555" w:rsidRPr="002F3BBF" w:rsidRDefault="000C4555" w:rsidP="001E14FA">
            <w:pPr>
              <w:pStyle w:val="gemtab11ptAbstand"/>
              <w:rPr>
                <w:sz w:val="20"/>
              </w:rPr>
            </w:pPr>
            <w:r w:rsidRPr="002F3BBF">
              <w:rPr>
                <w:sz w:val="20"/>
              </w:rPr>
              <w:t>gematik: Konzept Architektur der TI-Plattform</w:t>
            </w:r>
          </w:p>
        </w:tc>
      </w:tr>
      <w:tr w:rsidR="00606E1A" w:rsidRPr="00540031" w:rsidTr="00714731">
        <w:trPr>
          <w:cantSplit/>
        </w:trPr>
        <w:tc>
          <w:tcPr>
            <w:tcW w:w="2518" w:type="dxa"/>
            <w:shd w:val="clear" w:color="auto" w:fill="auto"/>
          </w:tcPr>
          <w:p w:rsidR="00606E1A" w:rsidRPr="002F3BBF" w:rsidRDefault="00606E1A" w:rsidP="007B74C1">
            <w:pPr>
              <w:pStyle w:val="gemtab11ptAbstand"/>
              <w:rPr>
                <w:sz w:val="20"/>
              </w:rPr>
            </w:pPr>
            <w:r w:rsidRPr="002F3BBF">
              <w:rPr>
                <w:sz w:val="20"/>
              </w:rPr>
              <w:t>[gemRL_Betr_TI]</w:t>
            </w:r>
          </w:p>
        </w:tc>
        <w:tc>
          <w:tcPr>
            <w:tcW w:w="6485" w:type="dxa"/>
            <w:shd w:val="clear" w:color="auto" w:fill="auto"/>
          </w:tcPr>
          <w:p w:rsidR="00606E1A" w:rsidRPr="002F3BBF" w:rsidRDefault="00606E1A" w:rsidP="00606E1A">
            <w:pPr>
              <w:pStyle w:val="gemtab11ptAbstand"/>
              <w:rPr>
                <w:sz w:val="20"/>
              </w:rPr>
            </w:pPr>
            <w:r w:rsidRPr="002F3BBF">
              <w:rPr>
                <w:sz w:val="20"/>
              </w:rPr>
              <w:t>gematik: Übergreifende Richtlinien zum Betrieb der TI</w:t>
            </w:r>
          </w:p>
        </w:tc>
      </w:tr>
      <w:tr w:rsidR="0008031F" w:rsidRPr="00540031" w:rsidTr="00714731">
        <w:trPr>
          <w:cantSplit/>
        </w:trPr>
        <w:tc>
          <w:tcPr>
            <w:tcW w:w="2518" w:type="dxa"/>
            <w:shd w:val="clear" w:color="auto" w:fill="auto"/>
          </w:tcPr>
          <w:p w:rsidR="0008031F" w:rsidRPr="002F3BBF" w:rsidRDefault="0008031F" w:rsidP="007B74C1">
            <w:pPr>
              <w:pStyle w:val="gemtab11ptAbstand"/>
              <w:rPr>
                <w:sz w:val="20"/>
              </w:rPr>
            </w:pPr>
            <w:r w:rsidRPr="002F3BBF">
              <w:rPr>
                <w:sz w:val="20"/>
              </w:rPr>
              <w:t>[gemRL_NvTIwA]</w:t>
            </w:r>
          </w:p>
        </w:tc>
        <w:tc>
          <w:tcPr>
            <w:tcW w:w="6485" w:type="dxa"/>
            <w:shd w:val="clear" w:color="auto" w:fill="auto"/>
          </w:tcPr>
          <w:p w:rsidR="0008031F" w:rsidRPr="002F3BBF" w:rsidRDefault="0008031F" w:rsidP="00B37A8C">
            <w:pPr>
              <w:pStyle w:val="gemtab11ptAbstand"/>
              <w:rPr>
                <w:sz w:val="20"/>
              </w:rPr>
            </w:pPr>
            <w:r w:rsidRPr="002F3BBF">
              <w:rPr>
                <w:sz w:val="20"/>
              </w:rPr>
              <w:t xml:space="preserve">gematik: Richtlinie </w:t>
            </w:r>
            <w:r w:rsidR="00B37A8C" w:rsidRPr="002F3BBF">
              <w:rPr>
                <w:sz w:val="20"/>
              </w:rPr>
              <w:t xml:space="preserve">– </w:t>
            </w:r>
            <w:r w:rsidRPr="002F3BBF">
              <w:rPr>
                <w:sz w:val="20"/>
              </w:rPr>
              <w:t>Nutzungsvoraussetzungen der TI für weitere Anwendungen des Gesundheitswesens sowie für die Gesundheitsforschung</w:t>
            </w:r>
          </w:p>
        </w:tc>
      </w:tr>
      <w:tr w:rsidR="00950CFF" w:rsidRPr="00540031" w:rsidTr="00714731">
        <w:trPr>
          <w:cantSplit/>
        </w:trPr>
        <w:tc>
          <w:tcPr>
            <w:tcW w:w="2518" w:type="dxa"/>
            <w:shd w:val="clear" w:color="auto" w:fill="auto"/>
          </w:tcPr>
          <w:p w:rsidR="00950CFF" w:rsidRPr="002F3BBF" w:rsidRDefault="00950CFF" w:rsidP="00950CFF">
            <w:pPr>
              <w:pStyle w:val="gemtab11ptAbstand"/>
              <w:rPr>
                <w:sz w:val="20"/>
              </w:rPr>
            </w:pPr>
            <w:r w:rsidRPr="002F3BBF">
              <w:rPr>
                <w:sz w:val="20"/>
              </w:rPr>
              <w:t>[gemSpec_CAN_TI]</w:t>
            </w:r>
          </w:p>
        </w:tc>
        <w:tc>
          <w:tcPr>
            <w:tcW w:w="6485" w:type="dxa"/>
            <w:shd w:val="clear" w:color="auto" w:fill="auto"/>
          </w:tcPr>
          <w:p w:rsidR="00950CFF" w:rsidRPr="002F3BBF" w:rsidRDefault="00950CFF" w:rsidP="007B74C1">
            <w:pPr>
              <w:pStyle w:val="gemtab11ptAbstand"/>
              <w:rPr>
                <w:sz w:val="20"/>
              </w:rPr>
            </w:pPr>
            <w:r w:rsidRPr="002F3BBF">
              <w:rPr>
                <w:sz w:val="20"/>
              </w:rPr>
              <w:t>gematik: Übergreifende Spezifikation CAN-Policy</w:t>
            </w:r>
          </w:p>
        </w:tc>
      </w:tr>
      <w:tr w:rsidR="000C4555" w:rsidRPr="00540031" w:rsidTr="00714731">
        <w:trPr>
          <w:cantSplit/>
        </w:trPr>
        <w:tc>
          <w:tcPr>
            <w:tcW w:w="2518" w:type="dxa"/>
            <w:shd w:val="clear" w:color="auto" w:fill="auto"/>
          </w:tcPr>
          <w:p w:rsidR="000C4555" w:rsidRPr="002F3BBF" w:rsidRDefault="000C4555" w:rsidP="0008031F">
            <w:pPr>
              <w:pStyle w:val="gemtab11ptAbstand"/>
              <w:rPr>
                <w:sz w:val="20"/>
              </w:rPr>
            </w:pPr>
            <w:r w:rsidRPr="002F3BBF">
              <w:rPr>
                <w:sz w:val="20"/>
              </w:rPr>
              <w:t>[gemSpec_Hersteller_</w:t>
            </w:r>
            <w:r w:rsidR="0008031F" w:rsidRPr="002F3BBF">
              <w:rPr>
                <w:sz w:val="20"/>
              </w:rPr>
              <w:t>S</w:t>
            </w:r>
            <w:r w:rsidRPr="002F3BBF">
              <w:rPr>
                <w:sz w:val="20"/>
              </w:rPr>
              <w:t>I]</w:t>
            </w:r>
          </w:p>
        </w:tc>
        <w:tc>
          <w:tcPr>
            <w:tcW w:w="6485" w:type="dxa"/>
            <w:shd w:val="clear" w:color="auto" w:fill="auto"/>
          </w:tcPr>
          <w:p w:rsidR="000C4555" w:rsidRPr="002F3BBF" w:rsidRDefault="000C4555" w:rsidP="000C4555">
            <w:pPr>
              <w:pStyle w:val="gemtab11ptAbstand"/>
              <w:rPr>
                <w:sz w:val="20"/>
              </w:rPr>
            </w:pPr>
            <w:r w:rsidRPr="002F3BBF">
              <w:rPr>
                <w:sz w:val="20"/>
              </w:rPr>
              <w:t>gematik: Spezifikation Datenschutz- und Sicherheitsanforderungen an Hersteller</w:t>
            </w:r>
          </w:p>
        </w:tc>
      </w:tr>
      <w:tr w:rsidR="006B0524" w:rsidRPr="00540031" w:rsidTr="00714731">
        <w:trPr>
          <w:cantSplit/>
        </w:trPr>
        <w:tc>
          <w:tcPr>
            <w:tcW w:w="2518" w:type="dxa"/>
            <w:shd w:val="clear" w:color="auto" w:fill="auto"/>
          </w:tcPr>
          <w:p w:rsidR="006B0524" w:rsidRPr="002F3BBF" w:rsidRDefault="006B0524" w:rsidP="007B74C1">
            <w:pPr>
              <w:pStyle w:val="gemtab11ptAbstand"/>
              <w:rPr>
                <w:sz w:val="20"/>
              </w:rPr>
            </w:pPr>
            <w:r w:rsidRPr="002F3BBF">
              <w:rPr>
                <w:sz w:val="20"/>
              </w:rPr>
              <w:t>[gemSpec_Krypt]</w:t>
            </w:r>
          </w:p>
        </w:tc>
        <w:tc>
          <w:tcPr>
            <w:tcW w:w="6485" w:type="dxa"/>
            <w:shd w:val="clear" w:color="auto" w:fill="auto"/>
          </w:tcPr>
          <w:p w:rsidR="006B0524" w:rsidRPr="002F3BBF" w:rsidRDefault="006B0524" w:rsidP="007B74C1">
            <w:pPr>
              <w:pStyle w:val="gemtab11ptAbstand"/>
              <w:rPr>
                <w:sz w:val="20"/>
              </w:rPr>
            </w:pPr>
            <w:r w:rsidRPr="002F3BBF">
              <w:rPr>
                <w:sz w:val="20"/>
              </w:rPr>
              <w:t xml:space="preserve">gematik: Verwendung kryptographischer Algorithmen in der </w:t>
            </w:r>
          </w:p>
          <w:p w:rsidR="006B0524" w:rsidRPr="002F3BBF" w:rsidRDefault="006B0524" w:rsidP="007B74C1">
            <w:pPr>
              <w:pStyle w:val="gemtab11ptAbstand"/>
              <w:rPr>
                <w:sz w:val="20"/>
              </w:rPr>
            </w:pPr>
            <w:r w:rsidRPr="002F3BBF">
              <w:rPr>
                <w:sz w:val="20"/>
              </w:rPr>
              <w:t>Telematikinfrastruktur</w:t>
            </w:r>
          </w:p>
        </w:tc>
      </w:tr>
      <w:tr w:rsidR="00BE475D" w:rsidRPr="00540031" w:rsidTr="00714731">
        <w:trPr>
          <w:cantSplit/>
        </w:trPr>
        <w:tc>
          <w:tcPr>
            <w:tcW w:w="2518" w:type="dxa"/>
            <w:shd w:val="clear" w:color="auto" w:fill="auto"/>
          </w:tcPr>
          <w:p w:rsidR="00BE475D" w:rsidRPr="002F3BBF" w:rsidRDefault="000C4555" w:rsidP="006B0524">
            <w:pPr>
              <w:pStyle w:val="gemtab11ptAbstand"/>
              <w:rPr>
                <w:sz w:val="20"/>
              </w:rPr>
            </w:pPr>
            <w:r w:rsidRPr="002F3BBF">
              <w:rPr>
                <w:sz w:val="20"/>
              </w:rPr>
              <w:t>[gemSpec_</w:t>
            </w:r>
            <w:r w:rsidR="006B0524" w:rsidRPr="002F3BBF">
              <w:rPr>
                <w:sz w:val="20"/>
              </w:rPr>
              <w:t>PINPUK_TI</w:t>
            </w:r>
            <w:r w:rsidRPr="002F3BBF">
              <w:rPr>
                <w:sz w:val="20"/>
              </w:rPr>
              <w:t>]</w:t>
            </w:r>
          </w:p>
        </w:tc>
        <w:tc>
          <w:tcPr>
            <w:tcW w:w="6485" w:type="dxa"/>
            <w:shd w:val="clear" w:color="auto" w:fill="auto"/>
          </w:tcPr>
          <w:p w:rsidR="00BE475D" w:rsidRPr="002F3BBF" w:rsidRDefault="000C4555" w:rsidP="000C4555">
            <w:pPr>
              <w:pStyle w:val="gemtab11ptAbstand"/>
              <w:rPr>
                <w:sz w:val="20"/>
              </w:rPr>
            </w:pPr>
            <w:r w:rsidRPr="002F3BBF">
              <w:rPr>
                <w:sz w:val="20"/>
              </w:rPr>
              <w:t xml:space="preserve">gematik: </w:t>
            </w:r>
            <w:r w:rsidR="006B0524" w:rsidRPr="002F3BBF">
              <w:rPr>
                <w:sz w:val="20"/>
              </w:rPr>
              <w:t>Übergreifende Spezifikation PIN/PUK-Policy für Smartcards der Telematikinfrastruktur</w:t>
            </w:r>
          </w:p>
        </w:tc>
      </w:tr>
    </w:tbl>
    <w:p w:rsidR="00556D48" w:rsidRDefault="00556D48" w:rsidP="00BE475D">
      <w:pPr>
        <w:pStyle w:val="gemStandard"/>
        <w:sectPr w:rsidR="00556D48" w:rsidSect="007B74C1">
          <w:pgSz w:w="11906" w:h="16838" w:code="9"/>
          <w:pgMar w:top="1916" w:right="1418" w:bottom="1134" w:left="1701" w:header="539" w:footer="437" w:gutter="0"/>
          <w:cols w:space="708"/>
          <w:docGrid w:linePitch="360"/>
        </w:sectPr>
      </w:pPr>
    </w:p>
    <w:p w:rsidR="00BE475D" w:rsidRPr="00901AC6" w:rsidRDefault="00BE475D" w:rsidP="0071250F">
      <w:pPr>
        <w:pStyle w:val="berschrift3"/>
      </w:pPr>
      <w:bookmarkStart w:id="217" w:name="_Toc244580836"/>
      <w:bookmarkStart w:id="218" w:name="_Toc503165521"/>
      <w:r w:rsidRPr="008B4C32">
        <w:lastRenderedPageBreak/>
        <w:t>A</w:t>
      </w:r>
      <w:r w:rsidR="00CF37E7">
        <w:t>4</w:t>
      </w:r>
      <w:r w:rsidRPr="008B4C32">
        <w:t>.2 – Weitere Dokumente</w:t>
      </w:r>
      <w:bookmarkEnd w:id="217"/>
      <w:bookmarkEnd w:id="2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7220"/>
      </w:tblGrid>
      <w:tr w:rsidR="00BE475D" w:rsidRPr="00540031" w:rsidTr="00926F6A">
        <w:trPr>
          <w:cantSplit/>
          <w:tblHeader/>
        </w:trPr>
        <w:tc>
          <w:tcPr>
            <w:tcW w:w="1783" w:type="dxa"/>
            <w:shd w:val="clear" w:color="auto" w:fill="E0E0E0"/>
          </w:tcPr>
          <w:p w:rsidR="00BE475D" w:rsidRPr="00540031" w:rsidRDefault="00BE475D" w:rsidP="00BE475D">
            <w:pPr>
              <w:pStyle w:val="gemtab11ptAbstand"/>
              <w:rPr>
                <w:b/>
                <w:sz w:val="20"/>
              </w:rPr>
            </w:pPr>
            <w:r w:rsidRPr="00540031">
              <w:rPr>
                <w:b/>
                <w:sz w:val="20"/>
              </w:rPr>
              <w:t>[Quelle]</w:t>
            </w:r>
          </w:p>
        </w:tc>
        <w:tc>
          <w:tcPr>
            <w:tcW w:w="7220" w:type="dxa"/>
            <w:shd w:val="clear" w:color="auto" w:fill="E0E0E0"/>
          </w:tcPr>
          <w:p w:rsidR="00BE475D" w:rsidRPr="00540031" w:rsidRDefault="00BE475D" w:rsidP="00BE475D">
            <w:pPr>
              <w:pStyle w:val="gemtab11ptAbstand"/>
              <w:rPr>
                <w:b/>
                <w:sz w:val="20"/>
              </w:rPr>
            </w:pPr>
            <w:r w:rsidRPr="00540031">
              <w:rPr>
                <w:b/>
                <w:sz w:val="20"/>
              </w:rPr>
              <w:t>Herausgeber (Erscheinungsdatum): Titel</w:t>
            </w:r>
          </w:p>
        </w:tc>
      </w:tr>
      <w:tr w:rsidR="00BE475D" w:rsidRPr="002E6160" w:rsidTr="00926F6A">
        <w:trPr>
          <w:cantSplit/>
        </w:trPr>
        <w:tc>
          <w:tcPr>
            <w:tcW w:w="1783" w:type="dxa"/>
            <w:shd w:val="clear" w:color="auto" w:fill="auto"/>
          </w:tcPr>
          <w:p w:rsidR="00BE475D" w:rsidRPr="00540031" w:rsidRDefault="00926F6A" w:rsidP="00BE475D">
            <w:pPr>
              <w:pStyle w:val="gemtab11ptAbstand"/>
              <w:rPr>
                <w:sz w:val="20"/>
              </w:rPr>
            </w:pPr>
            <w:r w:rsidRPr="00926F6A">
              <w:rPr>
                <w:sz w:val="20"/>
              </w:rPr>
              <w:t>[ISO11770]</w:t>
            </w:r>
          </w:p>
        </w:tc>
        <w:tc>
          <w:tcPr>
            <w:tcW w:w="7220" w:type="dxa"/>
            <w:shd w:val="clear" w:color="auto" w:fill="auto"/>
          </w:tcPr>
          <w:p w:rsidR="00926F6A" w:rsidRPr="00FF044E" w:rsidRDefault="00926F6A" w:rsidP="00926F6A">
            <w:pPr>
              <w:pStyle w:val="gemtab11ptAbstand"/>
              <w:rPr>
                <w:rFonts w:eastAsia="Times New Roman" w:cs="Arial"/>
                <w:sz w:val="20"/>
                <w:lang w:val="en-GB"/>
              </w:rPr>
            </w:pPr>
            <w:r w:rsidRPr="00FF044E">
              <w:rPr>
                <w:rFonts w:eastAsia="Times New Roman" w:cs="Arial"/>
                <w:sz w:val="20"/>
                <w:lang w:val="en-GB"/>
              </w:rPr>
              <w:t>ISO/IEC 11770: 1996</w:t>
            </w:r>
          </w:p>
          <w:p w:rsidR="00926F6A" w:rsidRPr="00FF044E" w:rsidRDefault="00926F6A" w:rsidP="00926F6A">
            <w:pPr>
              <w:pStyle w:val="gemtab11ptAbstand"/>
              <w:rPr>
                <w:rFonts w:eastAsia="Times New Roman" w:cs="Arial"/>
                <w:sz w:val="20"/>
                <w:lang w:val="en-GB"/>
              </w:rPr>
            </w:pPr>
            <w:r w:rsidRPr="00FF044E">
              <w:rPr>
                <w:rFonts w:eastAsia="Times New Roman" w:cs="Arial"/>
                <w:sz w:val="20"/>
                <w:lang w:val="en-GB"/>
              </w:rPr>
              <w:t>Information technology – Security techniques – Key management</w:t>
            </w:r>
          </w:p>
          <w:p w:rsidR="00BE475D" w:rsidRPr="00926F6A" w:rsidRDefault="00926F6A" w:rsidP="00926F6A">
            <w:pPr>
              <w:pStyle w:val="gemtab11ptAbstand"/>
              <w:rPr>
                <w:sz w:val="20"/>
                <w:lang w:val="en-US"/>
              </w:rPr>
            </w:pPr>
            <w:r w:rsidRPr="00FF044E">
              <w:rPr>
                <w:rFonts w:eastAsia="Times New Roman" w:cs="Arial"/>
                <w:sz w:val="20"/>
                <w:lang w:val="en-GB"/>
              </w:rPr>
              <w:t>Part 3: Mechanisms using asymmetric techniques</w:t>
            </w:r>
          </w:p>
        </w:tc>
      </w:tr>
      <w:tr w:rsidR="00926F6A" w:rsidRPr="002E6160" w:rsidTr="00926F6A">
        <w:trPr>
          <w:cantSplit/>
        </w:trPr>
        <w:tc>
          <w:tcPr>
            <w:tcW w:w="1783" w:type="dxa"/>
            <w:shd w:val="clear" w:color="auto" w:fill="auto"/>
          </w:tcPr>
          <w:p w:rsidR="00926F6A" w:rsidRPr="00FF044E" w:rsidRDefault="00926F6A" w:rsidP="00B53175">
            <w:pPr>
              <w:pStyle w:val="gemtab11ptAbstand"/>
              <w:rPr>
                <w:sz w:val="20"/>
              </w:rPr>
            </w:pPr>
            <w:r w:rsidRPr="00FF044E">
              <w:rPr>
                <w:sz w:val="20"/>
              </w:rPr>
              <w:t>[RFC2119]</w:t>
            </w:r>
          </w:p>
        </w:tc>
        <w:tc>
          <w:tcPr>
            <w:tcW w:w="7220" w:type="dxa"/>
            <w:shd w:val="clear" w:color="auto" w:fill="auto"/>
          </w:tcPr>
          <w:p w:rsidR="00926F6A" w:rsidRPr="00FF044E" w:rsidRDefault="00926F6A" w:rsidP="00B53175">
            <w:pPr>
              <w:pStyle w:val="gemtab11ptAbstand"/>
              <w:rPr>
                <w:rFonts w:eastAsia="Times New Roman" w:cs="Arial"/>
                <w:color w:val="000000"/>
                <w:sz w:val="20"/>
                <w:lang w:val="en-GB"/>
              </w:rPr>
            </w:pPr>
            <w:r w:rsidRPr="00FF044E">
              <w:rPr>
                <w:rFonts w:eastAsia="Times New Roman" w:cs="Arial"/>
                <w:color w:val="000000"/>
                <w:sz w:val="20"/>
                <w:lang w:val="en-GB"/>
              </w:rPr>
              <w:t>RFC 2119 (</w:t>
            </w:r>
            <w:proofErr w:type="spellStart"/>
            <w:r w:rsidRPr="00FF044E">
              <w:rPr>
                <w:rFonts w:eastAsia="Times New Roman" w:cs="Arial"/>
                <w:color w:val="000000"/>
                <w:sz w:val="20"/>
                <w:lang w:val="en-GB"/>
              </w:rPr>
              <w:t>März</w:t>
            </w:r>
            <w:proofErr w:type="spellEnd"/>
            <w:r w:rsidRPr="00FF044E">
              <w:rPr>
                <w:rFonts w:eastAsia="Times New Roman" w:cs="Arial"/>
                <w:color w:val="000000"/>
                <w:sz w:val="20"/>
                <w:lang w:val="en-GB"/>
              </w:rPr>
              <w:t xml:space="preserve"> 1997): Key words for use in RFCs to Indicate</w:t>
            </w:r>
          </w:p>
          <w:p w:rsidR="00926F6A" w:rsidRPr="00FF044E" w:rsidRDefault="00926F6A" w:rsidP="00556D48">
            <w:pPr>
              <w:pStyle w:val="gemtab11ptAbstand"/>
              <w:rPr>
                <w:sz w:val="20"/>
                <w:lang w:val="en-GB"/>
              </w:rPr>
            </w:pPr>
            <w:r w:rsidRPr="00FF044E">
              <w:rPr>
                <w:rFonts w:eastAsia="Times New Roman" w:cs="Arial"/>
                <w:color w:val="000000"/>
                <w:sz w:val="20"/>
                <w:lang w:val="en-GB"/>
              </w:rPr>
              <w:t xml:space="preserve">Requirement Levels S. </w:t>
            </w:r>
            <w:proofErr w:type="spellStart"/>
            <w:r w:rsidRPr="00FF044E">
              <w:rPr>
                <w:rFonts w:eastAsia="Times New Roman" w:cs="Arial"/>
                <w:color w:val="000000"/>
                <w:sz w:val="20"/>
                <w:lang w:val="en-GB"/>
              </w:rPr>
              <w:t>Bradner</w:t>
            </w:r>
            <w:proofErr w:type="spellEnd"/>
            <w:r w:rsidRPr="00FF044E">
              <w:rPr>
                <w:rFonts w:eastAsia="Times New Roman" w:cs="Arial"/>
                <w:color w:val="000000"/>
                <w:sz w:val="20"/>
                <w:lang w:val="en-GB"/>
              </w:rPr>
              <w:t>,</w:t>
            </w:r>
            <w:r w:rsidR="00556D48">
              <w:rPr>
                <w:rFonts w:eastAsia="Times New Roman" w:cs="Arial"/>
                <w:color w:val="000000"/>
                <w:sz w:val="20"/>
                <w:lang w:val="en-GB"/>
              </w:rPr>
              <w:t xml:space="preserve"> </w:t>
            </w:r>
            <w:r w:rsidRPr="00FF044E">
              <w:rPr>
                <w:rFonts w:eastAsia="Times New Roman" w:cs="Arial"/>
                <w:color w:val="0000FF"/>
                <w:sz w:val="20"/>
                <w:lang w:val="en-GB"/>
              </w:rPr>
              <w:t>http://tools.ietf.org/html/rfc2109</w:t>
            </w:r>
          </w:p>
        </w:tc>
      </w:tr>
    </w:tbl>
    <w:p w:rsidR="00BE475D" w:rsidRPr="00926F6A" w:rsidRDefault="00BE475D" w:rsidP="00BE475D">
      <w:pPr>
        <w:pStyle w:val="gemStandard"/>
        <w:rPr>
          <w:lang w:val="en-US"/>
        </w:rPr>
      </w:pPr>
    </w:p>
    <w:p w:rsidR="0071250F" w:rsidRPr="002E6160" w:rsidRDefault="0071250F" w:rsidP="0071250F">
      <w:pPr>
        <w:pStyle w:val="berschrift1"/>
        <w:rPr>
          <w:lang w:val="en-US"/>
        </w:rPr>
        <w:sectPr w:rsidR="0071250F" w:rsidRPr="002E6160" w:rsidSect="007B74C1">
          <w:pgSz w:w="11906" w:h="16838" w:code="9"/>
          <w:pgMar w:top="1916" w:right="1418" w:bottom="1134" w:left="1701" w:header="539" w:footer="437" w:gutter="0"/>
          <w:cols w:space="708"/>
          <w:docGrid w:linePitch="360"/>
        </w:sectPr>
      </w:pPr>
    </w:p>
    <w:p w:rsidR="004419FD" w:rsidRDefault="004419FD" w:rsidP="0071250F">
      <w:pPr>
        <w:pStyle w:val="berschrift1"/>
      </w:pPr>
      <w:bookmarkStart w:id="219" w:name="_Toc503165522"/>
      <w:r>
        <w:lastRenderedPageBreak/>
        <w:t xml:space="preserve">Anhang B – </w:t>
      </w:r>
      <w:r w:rsidRPr="004419FD">
        <w:t>Modularisierungskonzept</w:t>
      </w:r>
      <w:bookmarkEnd w:id="219"/>
    </w:p>
    <w:p w:rsidR="005A0A18" w:rsidRDefault="005A0A18" w:rsidP="004419FD">
      <w:pPr>
        <w:pStyle w:val="gemStandard"/>
      </w:pPr>
      <w:r>
        <w:t xml:space="preserve">Kapitel </w:t>
      </w:r>
      <w:r>
        <w:fldChar w:fldCharType="begin"/>
      </w:r>
      <w:r>
        <w:instrText xml:space="preserve"> REF _Ref463977071 \r \h </w:instrText>
      </w:r>
      <w:r>
        <w:fldChar w:fldCharType="separate"/>
      </w:r>
      <w:r w:rsidR="002F3BBF">
        <w:t>3</w:t>
      </w:r>
      <w:r>
        <w:fldChar w:fldCharType="end"/>
      </w:r>
      <w:r>
        <w:t xml:space="preserve"> und </w:t>
      </w:r>
      <w:r>
        <w:fldChar w:fldCharType="begin"/>
      </w:r>
      <w:r>
        <w:instrText xml:space="preserve"> REF _Ref463977081 \r \h </w:instrText>
      </w:r>
      <w:r>
        <w:fldChar w:fldCharType="separate"/>
      </w:r>
      <w:r w:rsidR="002F3BBF">
        <w:t>4</w:t>
      </w:r>
      <w:r>
        <w:fldChar w:fldCharType="end"/>
      </w:r>
      <w:r>
        <w:t xml:space="preserve"> </w:t>
      </w:r>
      <w:r w:rsidR="008E4B1F">
        <w:t>ordne</w:t>
      </w:r>
      <w:r w:rsidR="00447249">
        <w:t>n</w:t>
      </w:r>
      <w:r w:rsidR="002663A2">
        <w:t xml:space="preserve"> die anbieter</w:t>
      </w:r>
      <w:r>
        <w:t>übergreifenden Module</w:t>
      </w:r>
      <w:r w:rsidRPr="00583E05">
        <w:t xml:space="preserve"> </w:t>
      </w:r>
      <w:r w:rsidR="008E4B1F">
        <w:t>den</w:t>
      </w:r>
      <w:r>
        <w:t xml:space="preserve"> Anbieter</w:t>
      </w:r>
      <w:r w:rsidR="008E4B1F">
        <w:t>n</w:t>
      </w:r>
      <w:r w:rsidR="003E4A2C">
        <w:t xml:space="preserve"> von Diensten der TI, </w:t>
      </w:r>
      <w:r w:rsidR="003802F2">
        <w:t>Anbieter von Fachdiensten VSDM gemäß § 291 Abs. 2b SGB V sowie Anbieter weiterer Anwendungen gemäß § 291a Abs. 7 Satz 3 SGB V</w:t>
      </w:r>
      <w:r>
        <w:t xml:space="preserve"> zu. In diesem Anhang </w:t>
      </w:r>
      <w:r w:rsidR="008E4B1F">
        <w:t xml:space="preserve">wird dargestellt, nach welchem Schema die Module angeordnet sind und nach welchen </w:t>
      </w:r>
      <w:r>
        <w:t xml:space="preserve">Kriterien </w:t>
      </w:r>
      <w:r w:rsidR="008E4B1F">
        <w:t>die</w:t>
      </w:r>
      <w:r>
        <w:t xml:space="preserve"> Zuordnung </w:t>
      </w:r>
      <w:r w:rsidR="00447249">
        <w:t xml:space="preserve">der Module </w:t>
      </w:r>
      <w:r w:rsidR="008E4B1F">
        <w:t xml:space="preserve">zu </w:t>
      </w:r>
      <w:r w:rsidR="00447249">
        <w:t xml:space="preserve">den </w:t>
      </w:r>
      <w:r w:rsidR="008E4B1F">
        <w:t>Anbietern erfolgt</w:t>
      </w:r>
      <w:r>
        <w:t xml:space="preserve">. </w:t>
      </w:r>
    </w:p>
    <w:p w:rsidR="004419FD" w:rsidRDefault="00265EEA" w:rsidP="0071250F">
      <w:pPr>
        <w:pStyle w:val="berschrift2"/>
      </w:pPr>
      <w:bookmarkStart w:id="220" w:name="_Toc503165523"/>
      <w:r>
        <w:t xml:space="preserve">B1 </w:t>
      </w:r>
      <w:r w:rsidRPr="008B4C32">
        <w:t>–</w:t>
      </w:r>
      <w:r>
        <w:t xml:space="preserve"> </w:t>
      </w:r>
      <w:r w:rsidR="008E4B1F">
        <w:t>Anordnung der Module</w:t>
      </w:r>
      <w:bookmarkEnd w:id="220"/>
    </w:p>
    <w:p w:rsidR="008E4B1F" w:rsidRDefault="008E4B1F" w:rsidP="008E4B1F">
      <w:pPr>
        <w:pStyle w:val="gemStandard"/>
      </w:pPr>
      <w:r>
        <w:t xml:space="preserve">Die Module zur Informationssicherheit und zum Datenschutz sind jeweils in Säulen angeordnet, die auf einem Basis-Modul („Basis-IS“ für Informationssicherheit, „Basis-DS“ für Datenschutz) aufsetzen. </w:t>
      </w:r>
    </w:p>
    <w:p w:rsidR="008E4B1F" w:rsidRDefault="00225D73" w:rsidP="008E4B1F">
      <w:pPr>
        <w:pStyle w:val="gemStandard"/>
        <w:keepNext/>
        <w:jc w:val="center"/>
      </w:pPr>
      <w:r>
        <w:rPr>
          <w:noProof/>
        </w:rPr>
        <w:drawing>
          <wp:inline distT="0" distB="0" distL="0" distR="0" wp14:anchorId="48E49B22" wp14:editId="05204158">
            <wp:extent cx="3358662" cy="3206638"/>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7749" cy="3205766"/>
                    </a:xfrm>
                    <a:prstGeom prst="rect">
                      <a:avLst/>
                    </a:prstGeom>
                    <a:noFill/>
                  </pic:spPr>
                </pic:pic>
              </a:graphicData>
            </a:graphic>
          </wp:inline>
        </w:drawing>
      </w:r>
      <w:r w:rsidR="008E4B1F" w:rsidRPr="00516612">
        <w:t xml:space="preserve"> </w:t>
      </w:r>
    </w:p>
    <w:p w:rsidR="008E4B1F" w:rsidRPr="00C22CF3" w:rsidRDefault="008E4B1F" w:rsidP="0071250F">
      <w:pPr>
        <w:pStyle w:val="Beschriftung"/>
        <w:jc w:val="center"/>
      </w:pPr>
      <w:bookmarkStart w:id="221" w:name="_Toc496518436"/>
      <w:r>
        <w:t xml:space="preserve">Abbildung </w:t>
      </w:r>
      <w:fldSimple w:instr=" SEQ Abbildung \* ARABIC ">
        <w:r w:rsidR="002F3BBF">
          <w:rPr>
            <w:noProof/>
          </w:rPr>
          <w:t>6</w:t>
        </w:r>
      </w:fldSimple>
      <w:r>
        <w:t xml:space="preserve"> – Modulübersicht für Anbietermodule</w:t>
      </w:r>
      <w:bookmarkEnd w:id="221"/>
    </w:p>
    <w:p w:rsidR="008E4B1F" w:rsidRDefault="008E4B1F" w:rsidP="008E4B1F">
      <w:pPr>
        <w:pStyle w:val="gemStandard"/>
      </w:pPr>
      <w:r>
        <w:t>Wird einem Anbieter ein Modul einer Säule zugeordnet, so gelten für ihn auch alle darunter liegenden Module der Säule. Wird einem Anbieter beispielsweise das Modul „Erweitertes ISMS“ zugeordnet, so gelten für ihn auch die darunter liegenden Module „Basis-ISMS“ und „Basis-IS“.</w:t>
      </w:r>
    </w:p>
    <w:p w:rsidR="008E4B1F" w:rsidRDefault="00225D73" w:rsidP="008E4B1F">
      <w:pPr>
        <w:pStyle w:val="gemStandard"/>
      </w:pPr>
      <w:r>
        <w:t>F</w:t>
      </w:r>
      <w:r w:rsidR="008E4B1F">
        <w:t xml:space="preserve">ür </w:t>
      </w:r>
      <w:r w:rsidR="00414FDE">
        <w:t xml:space="preserve">die </w:t>
      </w:r>
      <w:r w:rsidR="008E4B1F">
        <w:t>Informationssicherheit gibt es eine Säule zur Etablierung eines Informationssicherheits</w:t>
      </w:r>
      <w:r>
        <w:t>managementsystems</w:t>
      </w:r>
      <w:r w:rsidR="008E4B1F">
        <w:t xml:space="preserve"> und eine Säule zum Reporting an die gematik. </w:t>
      </w:r>
      <w:r>
        <w:t xml:space="preserve">Für den Datenschutz gibt es nur die Säule zum Reporting. </w:t>
      </w:r>
      <w:r w:rsidR="008E4B1F">
        <w:t xml:space="preserve">Die Basis-Module enthalten </w:t>
      </w:r>
      <w:r>
        <w:t xml:space="preserve">jeweils </w:t>
      </w:r>
      <w:r w:rsidR="008E4B1F">
        <w:t xml:space="preserve">die </w:t>
      </w:r>
      <w:r w:rsidR="00A679D3">
        <w:t>M</w:t>
      </w:r>
      <w:r w:rsidR="008E4B1F">
        <w:t>inimal</w:t>
      </w:r>
      <w:r w:rsidR="00A679D3">
        <w:t>a</w:t>
      </w:r>
      <w:r w:rsidR="008E4B1F">
        <w:t xml:space="preserve">nforderungen zum Managementsystem und </w:t>
      </w:r>
      <w:r w:rsidR="002663A2">
        <w:t>zu Meldepflichten</w:t>
      </w:r>
      <w:r w:rsidR="008E4B1F">
        <w:t>.</w:t>
      </w:r>
    </w:p>
    <w:p w:rsidR="004419FD" w:rsidRDefault="00265EEA" w:rsidP="0071250F">
      <w:pPr>
        <w:pStyle w:val="berschrift2"/>
      </w:pPr>
      <w:bookmarkStart w:id="222" w:name="_Toc503165524"/>
      <w:r>
        <w:lastRenderedPageBreak/>
        <w:t xml:space="preserve">B2 </w:t>
      </w:r>
      <w:r w:rsidRPr="008B4C32">
        <w:t>–</w:t>
      </w:r>
      <w:r>
        <w:t xml:space="preserve"> </w:t>
      </w:r>
      <w:r w:rsidR="004419FD">
        <w:t>Kriterien der Modulzuordnung</w:t>
      </w:r>
      <w:bookmarkEnd w:id="222"/>
    </w:p>
    <w:p w:rsidR="009E755F" w:rsidRDefault="002663A2" w:rsidP="009E755F">
      <w:pPr>
        <w:pStyle w:val="gemStandard"/>
      </w:pPr>
      <w:r>
        <w:t>Die Zuordnung der anbieter</w:t>
      </w:r>
      <w:r w:rsidR="009E755F">
        <w:t xml:space="preserve">übergreifenden Module zur Informationssicherheit und des Datenschutzes </w:t>
      </w:r>
      <w:r w:rsidR="005415FC">
        <w:t xml:space="preserve">in </w:t>
      </w:r>
      <w:r w:rsidR="005415FC">
        <w:fldChar w:fldCharType="begin"/>
      </w:r>
      <w:r w:rsidR="005415FC">
        <w:instrText xml:space="preserve"> REF _Ref474426613 \h </w:instrText>
      </w:r>
      <w:r w:rsidR="005415FC">
        <w:fldChar w:fldCharType="separate"/>
      </w:r>
      <w:r w:rsidR="002F3BBF">
        <w:t xml:space="preserve">Abbildung </w:t>
      </w:r>
      <w:r w:rsidR="002F3BBF">
        <w:rPr>
          <w:noProof/>
        </w:rPr>
        <w:t>3</w:t>
      </w:r>
      <w:r w:rsidR="005415FC">
        <w:fldChar w:fldCharType="end"/>
      </w:r>
      <w:r w:rsidR="005415FC">
        <w:t xml:space="preserve"> und </w:t>
      </w:r>
      <w:r w:rsidR="005415FC">
        <w:fldChar w:fldCharType="begin"/>
      </w:r>
      <w:r w:rsidR="005415FC">
        <w:instrText xml:space="preserve"> REF _Ref474427745 \h </w:instrText>
      </w:r>
      <w:r w:rsidR="005415FC">
        <w:fldChar w:fldCharType="separate"/>
      </w:r>
      <w:r w:rsidR="002F3BBF">
        <w:t xml:space="preserve">Abbildung </w:t>
      </w:r>
      <w:r w:rsidR="002F3BBF">
        <w:rPr>
          <w:noProof/>
        </w:rPr>
        <w:t>4</w:t>
      </w:r>
      <w:r w:rsidR="005415FC">
        <w:fldChar w:fldCharType="end"/>
      </w:r>
      <w:r w:rsidR="005415FC">
        <w:t xml:space="preserve"> </w:t>
      </w:r>
      <w:r w:rsidR="009E755F">
        <w:t xml:space="preserve">erfolgt anhand der beiden folgenden Kriterien. </w:t>
      </w:r>
    </w:p>
    <w:p w:rsidR="004419FD" w:rsidRDefault="004419FD" w:rsidP="004419FD">
      <w:pPr>
        <w:pStyle w:val="gemStandard"/>
        <w:numPr>
          <w:ilvl w:val="0"/>
          <w:numId w:val="15"/>
        </w:numPr>
      </w:pPr>
      <w:r w:rsidRPr="00E301D3">
        <w:rPr>
          <w:b/>
        </w:rPr>
        <w:t>Spezifikationshoheit der gematik</w:t>
      </w:r>
      <w:r>
        <w:t>, d.</w:t>
      </w:r>
      <w:r w:rsidR="00414FDE">
        <w:t> </w:t>
      </w:r>
      <w:r>
        <w:t>h.</w:t>
      </w:r>
      <w:r w:rsidR="00414FDE">
        <w:t>,</w:t>
      </w:r>
      <w:r>
        <w:t xml:space="preserve"> ist die gematik </w:t>
      </w:r>
      <w:r w:rsidR="002663A2">
        <w:t xml:space="preserve">gesetzlich </w:t>
      </w:r>
      <w:r>
        <w:t>verantwortlich für die Spezifikation?</w:t>
      </w:r>
    </w:p>
    <w:p w:rsidR="004419FD" w:rsidRDefault="004419FD" w:rsidP="004419FD">
      <w:pPr>
        <w:pStyle w:val="gemStandard"/>
        <w:numPr>
          <w:ilvl w:val="0"/>
          <w:numId w:val="15"/>
        </w:numPr>
      </w:pPr>
      <w:r w:rsidRPr="00E301D3">
        <w:rPr>
          <w:b/>
        </w:rPr>
        <w:t>Beeinträchtigung de</w:t>
      </w:r>
      <w:r>
        <w:rPr>
          <w:b/>
        </w:rPr>
        <w:t>s Datenschutzes oder de</w:t>
      </w:r>
      <w:r w:rsidRPr="00E301D3">
        <w:rPr>
          <w:b/>
        </w:rPr>
        <w:t>r Sicherheit der TI</w:t>
      </w:r>
      <w:r>
        <w:t>, d.</w:t>
      </w:r>
      <w:r w:rsidR="00414FDE">
        <w:t> </w:t>
      </w:r>
      <w:r>
        <w:t>h.</w:t>
      </w:r>
      <w:r w:rsidR="00414FDE">
        <w:t>,</w:t>
      </w:r>
      <w:r>
        <w:t xml:space="preserve"> kann der </w:t>
      </w:r>
      <w:r w:rsidR="003E4A2C">
        <w:t xml:space="preserve">Verlust der Sicherheit oder des Datenschutzes des </w:t>
      </w:r>
      <w:r>
        <w:t>Dienst</w:t>
      </w:r>
      <w:r w:rsidR="003E4A2C">
        <w:t>es</w:t>
      </w:r>
      <w:r>
        <w:t xml:space="preserve"> den Datenschutz oder die Sicherheit der TI beeinträchtigen?</w:t>
      </w:r>
    </w:p>
    <w:p w:rsidR="009E755F" w:rsidRDefault="009E755F" w:rsidP="009E755F">
      <w:pPr>
        <w:pStyle w:val="gemStandard"/>
      </w:pPr>
      <w:r>
        <w:t xml:space="preserve">Es werden einem Anbieter alle </w:t>
      </w:r>
      <w:r w:rsidR="002663A2">
        <w:t>a</w:t>
      </w:r>
      <w:r>
        <w:t xml:space="preserve">nbieterübergreifenden Module zur Informationssicherheit und zum Datenschutz zugeordnet, die sich für ihn aus </w:t>
      </w:r>
      <w:r w:rsidR="005415FC">
        <w:t>diesen beiden Kriterien</w:t>
      </w:r>
      <w:r>
        <w:t xml:space="preserve"> ergeben.</w:t>
      </w:r>
      <w:r w:rsidR="00556D48">
        <w:t xml:space="preserve"> </w:t>
      </w:r>
    </w:p>
    <w:p w:rsidR="004419FD" w:rsidRDefault="00265EEA" w:rsidP="0071250F">
      <w:pPr>
        <w:pStyle w:val="berschrift3"/>
      </w:pPr>
      <w:bookmarkStart w:id="223" w:name="_Toc503165525"/>
      <w:r>
        <w:t xml:space="preserve">B2.1 </w:t>
      </w:r>
      <w:r w:rsidRPr="008B4C32">
        <w:t>–</w:t>
      </w:r>
      <w:r>
        <w:t xml:space="preserve"> </w:t>
      </w:r>
      <w:r w:rsidR="00BC5B58">
        <w:t xml:space="preserve">Kriterium: </w:t>
      </w:r>
      <w:r w:rsidR="004419FD">
        <w:t>Spezifikationshoheit der gematik</w:t>
      </w:r>
      <w:bookmarkEnd w:id="223"/>
    </w:p>
    <w:p w:rsidR="0068313E" w:rsidRDefault="008E4B1F" w:rsidP="004419FD">
      <w:pPr>
        <w:pStyle w:val="gemStandard"/>
      </w:pPr>
      <w:r>
        <w:t xml:space="preserve">Die Spezifikationshoheit der gematik unterscheidet sich </w:t>
      </w:r>
      <w:r w:rsidR="002A6FF4">
        <w:t xml:space="preserve">bei </w:t>
      </w:r>
      <w:r>
        <w:t>Dienste</w:t>
      </w:r>
      <w:r w:rsidR="002A6FF4">
        <w:t>n</w:t>
      </w:r>
      <w:r>
        <w:t xml:space="preserve"> der TI</w:t>
      </w:r>
      <w:r w:rsidR="002A6FF4">
        <w:t>, den Fachdiensten VSDM</w:t>
      </w:r>
      <w:r>
        <w:t xml:space="preserve"> </w:t>
      </w:r>
      <w:r w:rsidR="002A6FF4">
        <w:t>und</w:t>
      </w:r>
      <w:r w:rsidR="00CE0C51">
        <w:t xml:space="preserve"> weitere</w:t>
      </w:r>
      <w:r w:rsidR="002A6FF4">
        <w:t>n</w:t>
      </w:r>
      <w:r>
        <w:t xml:space="preserve"> Anwendungen nach § 291a Abs. 7 S.3 SGB V.</w:t>
      </w:r>
      <w:r w:rsidR="009754AD">
        <w:t xml:space="preserve"> </w:t>
      </w:r>
      <w:r w:rsidR="0068313E">
        <w:fldChar w:fldCharType="begin"/>
      </w:r>
      <w:r w:rsidR="0068313E">
        <w:instrText xml:space="preserve"> REF _Ref490223093 \h </w:instrText>
      </w:r>
      <w:r w:rsidR="0068313E">
        <w:fldChar w:fldCharType="separate"/>
      </w:r>
      <w:r w:rsidR="002F3BBF">
        <w:t xml:space="preserve">Tabelle </w:t>
      </w:r>
      <w:r w:rsidR="002F3BBF">
        <w:rPr>
          <w:noProof/>
        </w:rPr>
        <w:t>2</w:t>
      </w:r>
      <w:r w:rsidR="0068313E">
        <w:fldChar w:fldCharType="end"/>
      </w:r>
      <w:r w:rsidR="004419FD">
        <w:t xml:space="preserve"> zeigt die Zuordnung der Module der Informationssicherheit und des Date</w:t>
      </w:r>
      <w:r w:rsidR="009754AD">
        <w:t>nschutzes anhand dieses</w:t>
      </w:r>
      <w:r w:rsidR="004419FD">
        <w:t xml:space="preserve"> Kriteriums.</w:t>
      </w:r>
    </w:p>
    <w:p w:rsidR="001B15A7" w:rsidRDefault="001B15A7" w:rsidP="004419FD">
      <w:pPr>
        <w:pStyle w:val="gemStandard"/>
      </w:pPr>
    </w:p>
    <w:p w:rsidR="004419FD" w:rsidRDefault="004419FD" w:rsidP="0071250F">
      <w:pPr>
        <w:pStyle w:val="Beschriftung"/>
      </w:pPr>
      <w:bookmarkStart w:id="224" w:name="_Ref490223093"/>
      <w:bookmarkStart w:id="225" w:name="_Toc496518439"/>
      <w:r>
        <w:t xml:space="preserve">Tabelle </w:t>
      </w:r>
      <w:fldSimple w:instr=" SEQ Tabelle \* ARABIC ">
        <w:r w:rsidR="002F3BBF">
          <w:rPr>
            <w:noProof/>
          </w:rPr>
          <w:t>2</w:t>
        </w:r>
      </w:fldSimple>
      <w:bookmarkEnd w:id="224"/>
      <w:r>
        <w:t xml:space="preserve"> – Modulzuordnung bzgl. der Spezifikationshoheit der gematik</w:t>
      </w:r>
      <w:bookmarkEnd w:id="225"/>
    </w:p>
    <w:tbl>
      <w:tblPr>
        <w:tblStyle w:val="Tabellenraster"/>
        <w:tblpPr w:leftFromText="141" w:rightFromText="141" w:vertAnchor="text" w:tblpY="1"/>
        <w:tblOverlap w:val="never"/>
        <w:tblW w:w="8897" w:type="dxa"/>
        <w:tblLayout w:type="fixed"/>
        <w:tblLook w:val="04A0" w:firstRow="1" w:lastRow="0" w:firstColumn="1" w:lastColumn="0" w:noHBand="0" w:noVBand="1"/>
      </w:tblPr>
      <w:tblGrid>
        <w:gridCol w:w="817"/>
        <w:gridCol w:w="1418"/>
        <w:gridCol w:w="3402"/>
        <w:gridCol w:w="3260"/>
      </w:tblGrid>
      <w:tr w:rsidR="004419FD" w:rsidRPr="00A43247" w:rsidTr="00657EE7">
        <w:trPr>
          <w:tblHeader/>
        </w:trPr>
        <w:tc>
          <w:tcPr>
            <w:tcW w:w="5637" w:type="dxa"/>
            <w:gridSpan w:val="3"/>
            <w:shd w:val="clear" w:color="auto" w:fill="8DB3E2" w:themeFill="text2" w:themeFillTint="66"/>
          </w:tcPr>
          <w:p w:rsidR="004419FD" w:rsidRPr="00A43247" w:rsidRDefault="00385150" w:rsidP="004419FD">
            <w:pPr>
              <w:pStyle w:val="gemTab10pt"/>
              <w:rPr>
                <w:b/>
                <w:sz w:val="18"/>
              </w:rPr>
            </w:pPr>
            <w:r>
              <w:rPr>
                <w:b/>
                <w:sz w:val="18"/>
              </w:rPr>
              <w:t xml:space="preserve">    </w:t>
            </w:r>
            <w:r w:rsidR="004419FD">
              <w:rPr>
                <w:b/>
                <w:sz w:val="18"/>
              </w:rPr>
              <w:t>Anbieter</w:t>
            </w:r>
          </w:p>
        </w:tc>
        <w:tc>
          <w:tcPr>
            <w:tcW w:w="3260" w:type="dxa"/>
            <w:shd w:val="clear" w:color="auto" w:fill="8DB3E2" w:themeFill="text2" w:themeFillTint="66"/>
          </w:tcPr>
          <w:p w:rsidR="004419FD" w:rsidRPr="00A43247" w:rsidRDefault="004419FD" w:rsidP="004419FD">
            <w:pPr>
              <w:pStyle w:val="gemTab10pt"/>
              <w:rPr>
                <w:b/>
                <w:sz w:val="18"/>
              </w:rPr>
            </w:pPr>
            <w:r w:rsidRPr="00A43247">
              <w:rPr>
                <w:b/>
                <w:sz w:val="18"/>
              </w:rPr>
              <w:t>Module</w:t>
            </w:r>
          </w:p>
          <w:p w:rsidR="004419FD" w:rsidRPr="00A43247" w:rsidRDefault="004419FD" w:rsidP="004419FD">
            <w:pPr>
              <w:pStyle w:val="gemTab10pt"/>
              <w:rPr>
                <w:b/>
                <w:sz w:val="18"/>
              </w:rPr>
            </w:pPr>
          </w:p>
        </w:tc>
      </w:tr>
      <w:tr w:rsidR="004419FD" w:rsidRPr="00A43247" w:rsidTr="00657EE7">
        <w:trPr>
          <w:trHeight w:val="169"/>
        </w:trPr>
        <w:tc>
          <w:tcPr>
            <w:tcW w:w="817" w:type="dxa"/>
            <w:vMerge w:val="restart"/>
            <w:textDirection w:val="btLr"/>
          </w:tcPr>
          <w:p w:rsidR="004419FD" w:rsidRPr="00A43247" w:rsidRDefault="004419FD" w:rsidP="005747BF">
            <w:pPr>
              <w:pStyle w:val="gemTab10pt"/>
              <w:ind w:left="113" w:right="113"/>
              <w:jc w:val="center"/>
              <w:rPr>
                <w:b/>
                <w:sz w:val="18"/>
              </w:rPr>
            </w:pPr>
            <w:r w:rsidRPr="00A43247">
              <w:rPr>
                <w:b/>
                <w:sz w:val="18"/>
              </w:rPr>
              <w:t>gematik-Spezifikation</w:t>
            </w:r>
            <w:r w:rsidR="009071C0">
              <w:rPr>
                <w:b/>
                <w:sz w:val="18"/>
              </w:rPr>
              <w:t>shoheit</w:t>
            </w:r>
            <w:r w:rsidR="00556D48">
              <w:rPr>
                <w:b/>
                <w:sz w:val="18"/>
              </w:rPr>
              <w:t xml:space="preserve"> </w:t>
            </w:r>
            <w:r w:rsidRPr="00A43247">
              <w:rPr>
                <w:b/>
                <w:sz w:val="18"/>
              </w:rPr>
              <w:t>(Dienste der TI)</w:t>
            </w:r>
          </w:p>
        </w:tc>
        <w:tc>
          <w:tcPr>
            <w:tcW w:w="1418" w:type="dxa"/>
            <w:vMerge w:val="restart"/>
          </w:tcPr>
          <w:p w:rsidR="004419FD" w:rsidRPr="00A43247" w:rsidRDefault="004419FD" w:rsidP="004419FD">
            <w:pPr>
              <w:pStyle w:val="gemTab10pt"/>
              <w:rPr>
                <w:b/>
                <w:sz w:val="18"/>
              </w:rPr>
            </w:pPr>
            <w:r w:rsidRPr="00A43247">
              <w:rPr>
                <w:b/>
                <w:sz w:val="18"/>
              </w:rPr>
              <w:t>zentrale TI-Plattform</w:t>
            </w:r>
          </w:p>
        </w:tc>
        <w:tc>
          <w:tcPr>
            <w:tcW w:w="3402" w:type="dxa"/>
            <w:vMerge w:val="restart"/>
          </w:tcPr>
          <w:p w:rsidR="004419FD" w:rsidRPr="00A43247" w:rsidRDefault="004419FD" w:rsidP="004419FD">
            <w:pPr>
              <w:pStyle w:val="gemTab10pt"/>
              <w:rPr>
                <w:sz w:val="18"/>
              </w:rPr>
            </w:pPr>
            <w:r w:rsidRPr="00A43247">
              <w:rPr>
                <w:sz w:val="18"/>
              </w:rPr>
              <w:t>Der Anbieter betreibt einen Dienst der zentralen TI-Plattform.</w:t>
            </w:r>
          </w:p>
          <w:p w:rsidR="004419FD" w:rsidRPr="00A43247" w:rsidRDefault="004419FD" w:rsidP="004419FD">
            <w:pPr>
              <w:pStyle w:val="gemTab10pt"/>
              <w:rPr>
                <w:sz w:val="18"/>
              </w:rPr>
            </w:pPr>
          </w:p>
          <w:p w:rsidR="004419FD" w:rsidRPr="00A43247" w:rsidRDefault="004419FD" w:rsidP="004419FD">
            <w:pPr>
              <w:pStyle w:val="gemTab10pt"/>
              <w:rPr>
                <w:sz w:val="18"/>
              </w:rPr>
            </w:pPr>
            <w:r w:rsidRPr="00A43247">
              <w:rPr>
                <w:sz w:val="18"/>
              </w:rPr>
              <w:t>Die Dienste der zentralen TI-Plattform werden von der gematik spezifiziert.</w:t>
            </w:r>
          </w:p>
          <w:p w:rsidR="004419FD" w:rsidRPr="00A43247" w:rsidRDefault="004419FD" w:rsidP="004419FD">
            <w:pPr>
              <w:pStyle w:val="gemTab10pt"/>
              <w:rPr>
                <w:sz w:val="18"/>
              </w:rPr>
            </w:pPr>
          </w:p>
        </w:tc>
        <w:tc>
          <w:tcPr>
            <w:tcW w:w="3260" w:type="dxa"/>
            <w:shd w:val="clear" w:color="auto" w:fill="DBE5F1" w:themeFill="accent1" w:themeFillTint="33"/>
          </w:tcPr>
          <w:p w:rsidR="004419FD" w:rsidRPr="00A43247" w:rsidRDefault="004419FD" w:rsidP="004419FD">
            <w:pPr>
              <w:pStyle w:val="gemTab10pt"/>
              <w:rPr>
                <w:sz w:val="18"/>
              </w:rPr>
            </w:pPr>
            <w:r w:rsidRPr="00A43247">
              <w:rPr>
                <w:sz w:val="18"/>
              </w:rPr>
              <w:t>Module Informationssicherheit</w:t>
            </w:r>
          </w:p>
        </w:tc>
      </w:tr>
      <w:tr w:rsidR="004419FD" w:rsidRPr="00A43247" w:rsidTr="00657EE7">
        <w:trPr>
          <w:trHeight w:val="575"/>
        </w:trPr>
        <w:tc>
          <w:tcPr>
            <w:tcW w:w="817" w:type="dxa"/>
            <w:vMerge/>
            <w:textDirection w:val="btLr"/>
          </w:tcPr>
          <w:p w:rsidR="004419FD" w:rsidRPr="00A43247" w:rsidRDefault="004419FD" w:rsidP="004419FD">
            <w:pPr>
              <w:pStyle w:val="gemTab10pt"/>
              <w:ind w:left="113" w:right="113"/>
              <w:rPr>
                <w:b/>
                <w:sz w:val="18"/>
              </w:rPr>
            </w:pPr>
          </w:p>
        </w:tc>
        <w:tc>
          <w:tcPr>
            <w:tcW w:w="1418" w:type="dxa"/>
            <w:vMerge/>
          </w:tcPr>
          <w:p w:rsidR="004419FD" w:rsidRPr="00A43247" w:rsidRDefault="004419FD" w:rsidP="004419FD">
            <w:pPr>
              <w:pStyle w:val="gemTab10pt"/>
              <w:rPr>
                <w:b/>
                <w:sz w:val="18"/>
              </w:rPr>
            </w:pPr>
          </w:p>
        </w:tc>
        <w:tc>
          <w:tcPr>
            <w:tcW w:w="3402" w:type="dxa"/>
            <w:vMerge/>
          </w:tcPr>
          <w:p w:rsidR="004419FD" w:rsidRPr="00A43247" w:rsidRDefault="004419FD" w:rsidP="004419FD">
            <w:pPr>
              <w:pStyle w:val="gemTab10pt"/>
              <w:rPr>
                <w:sz w:val="18"/>
              </w:rPr>
            </w:pPr>
          </w:p>
        </w:tc>
        <w:tc>
          <w:tcPr>
            <w:tcW w:w="3260" w:type="dxa"/>
          </w:tcPr>
          <w:p w:rsidR="004419FD" w:rsidRDefault="004419FD" w:rsidP="004419FD">
            <w:pPr>
              <w:pStyle w:val="gemTab10pt"/>
              <w:rPr>
                <w:rFonts w:ascii="Wingdings 2" w:hAnsi="Wingdings 2"/>
                <w:sz w:val="18"/>
              </w:rPr>
            </w:pPr>
          </w:p>
          <w:p w:rsidR="004419FD" w:rsidRPr="00A43247" w:rsidRDefault="004419FD" w:rsidP="004419FD">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Basis-IS</w:t>
            </w:r>
          </w:p>
          <w:p w:rsidR="004419FD" w:rsidRPr="00A43247" w:rsidRDefault="004419FD" w:rsidP="004419FD">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 xml:space="preserve">Basis-ISMS </w:t>
            </w:r>
          </w:p>
          <w:p w:rsidR="004419FD" w:rsidRPr="00A43247" w:rsidRDefault="004419FD" w:rsidP="004419FD">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Erweitertes ISMS</w:t>
            </w:r>
          </w:p>
          <w:p w:rsidR="004419FD" w:rsidRPr="00A43247" w:rsidRDefault="004419FD" w:rsidP="004419FD">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TI-Sicher</w:t>
            </w:r>
            <w:r w:rsidRPr="00A43247">
              <w:rPr>
                <w:sz w:val="18"/>
              </w:rPr>
              <w:softHyphen/>
              <w:t>heits</w:t>
            </w:r>
            <w:r w:rsidRPr="00A43247">
              <w:rPr>
                <w:sz w:val="18"/>
              </w:rPr>
              <w:softHyphen/>
              <w:t>bericht</w:t>
            </w:r>
          </w:p>
          <w:p w:rsidR="004419FD" w:rsidRDefault="004419FD" w:rsidP="004419FD">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Erweiterter TI-Sicherhe</w:t>
            </w:r>
            <w:r>
              <w:rPr>
                <w:sz w:val="18"/>
              </w:rPr>
              <w:t>itsbericht</w:t>
            </w:r>
          </w:p>
          <w:p w:rsidR="00764C7C" w:rsidRPr="00A43247" w:rsidRDefault="00764C7C" w:rsidP="004419FD">
            <w:pPr>
              <w:pStyle w:val="gemTab10pt"/>
              <w:rPr>
                <w:sz w:val="18"/>
              </w:rPr>
            </w:pPr>
          </w:p>
        </w:tc>
      </w:tr>
      <w:tr w:rsidR="004419FD" w:rsidRPr="00A43247" w:rsidTr="00657EE7">
        <w:trPr>
          <w:trHeight w:val="238"/>
        </w:trPr>
        <w:tc>
          <w:tcPr>
            <w:tcW w:w="817" w:type="dxa"/>
            <w:vMerge/>
            <w:textDirection w:val="btLr"/>
          </w:tcPr>
          <w:p w:rsidR="004419FD" w:rsidRPr="00A43247" w:rsidRDefault="004419FD" w:rsidP="004419FD">
            <w:pPr>
              <w:pStyle w:val="gemTab10pt"/>
              <w:ind w:left="113" w:right="113"/>
              <w:rPr>
                <w:b/>
                <w:sz w:val="18"/>
              </w:rPr>
            </w:pPr>
          </w:p>
        </w:tc>
        <w:tc>
          <w:tcPr>
            <w:tcW w:w="1418" w:type="dxa"/>
            <w:vMerge/>
          </w:tcPr>
          <w:p w:rsidR="004419FD" w:rsidRPr="00A43247" w:rsidRDefault="004419FD" w:rsidP="004419FD">
            <w:pPr>
              <w:pStyle w:val="gemTab10pt"/>
              <w:rPr>
                <w:b/>
                <w:sz w:val="18"/>
              </w:rPr>
            </w:pPr>
          </w:p>
        </w:tc>
        <w:tc>
          <w:tcPr>
            <w:tcW w:w="3402" w:type="dxa"/>
            <w:vMerge/>
          </w:tcPr>
          <w:p w:rsidR="004419FD" w:rsidRPr="00A43247" w:rsidRDefault="004419FD" w:rsidP="004419FD">
            <w:pPr>
              <w:pStyle w:val="gemTab10pt"/>
              <w:rPr>
                <w:sz w:val="18"/>
              </w:rPr>
            </w:pPr>
          </w:p>
        </w:tc>
        <w:tc>
          <w:tcPr>
            <w:tcW w:w="3260" w:type="dxa"/>
            <w:shd w:val="clear" w:color="auto" w:fill="DBE5F1" w:themeFill="accent1" w:themeFillTint="33"/>
          </w:tcPr>
          <w:p w:rsidR="004419FD" w:rsidRPr="00A43247" w:rsidRDefault="004419FD" w:rsidP="004419FD">
            <w:pPr>
              <w:pStyle w:val="gemTab10pt"/>
              <w:rPr>
                <w:sz w:val="18"/>
              </w:rPr>
            </w:pPr>
            <w:r w:rsidRPr="00A43247">
              <w:rPr>
                <w:sz w:val="18"/>
              </w:rPr>
              <w:t>Module Datenschutz</w:t>
            </w:r>
          </w:p>
        </w:tc>
      </w:tr>
      <w:tr w:rsidR="004419FD" w:rsidRPr="00A43247" w:rsidTr="002F3BBF">
        <w:trPr>
          <w:trHeight w:val="911"/>
        </w:trPr>
        <w:tc>
          <w:tcPr>
            <w:tcW w:w="817" w:type="dxa"/>
            <w:vMerge/>
            <w:textDirection w:val="btLr"/>
          </w:tcPr>
          <w:p w:rsidR="004419FD" w:rsidRPr="00A43247" w:rsidRDefault="004419FD" w:rsidP="004419FD">
            <w:pPr>
              <w:pStyle w:val="gemTab10pt"/>
              <w:ind w:left="113" w:right="113"/>
              <w:rPr>
                <w:b/>
                <w:sz w:val="18"/>
              </w:rPr>
            </w:pPr>
          </w:p>
        </w:tc>
        <w:tc>
          <w:tcPr>
            <w:tcW w:w="1418" w:type="dxa"/>
            <w:vMerge/>
          </w:tcPr>
          <w:p w:rsidR="004419FD" w:rsidRPr="00A43247" w:rsidRDefault="004419FD" w:rsidP="004419FD">
            <w:pPr>
              <w:pStyle w:val="gemTab10pt"/>
              <w:rPr>
                <w:b/>
                <w:sz w:val="18"/>
              </w:rPr>
            </w:pPr>
          </w:p>
        </w:tc>
        <w:tc>
          <w:tcPr>
            <w:tcW w:w="3402" w:type="dxa"/>
            <w:vMerge/>
          </w:tcPr>
          <w:p w:rsidR="004419FD" w:rsidRPr="00A43247" w:rsidRDefault="004419FD" w:rsidP="004419FD">
            <w:pPr>
              <w:pStyle w:val="gemTab10pt"/>
              <w:rPr>
                <w:sz w:val="18"/>
              </w:rPr>
            </w:pPr>
          </w:p>
        </w:tc>
        <w:tc>
          <w:tcPr>
            <w:tcW w:w="3260" w:type="dxa"/>
          </w:tcPr>
          <w:p w:rsidR="004419FD" w:rsidRPr="00A43247" w:rsidRDefault="004419FD" w:rsidP="004419FD">
            <w:pPr>
              <w:pStyle w:val="gemTab10pt"/>
              <w:rPr>
                <w:rFonts w:ascii="Wingdings 2" w:hAnsi="Wingdings 2"/>
                <w:sz w:val="18"/>
              </w:rPr>
            </w:pPr>
          </w:p>
          <w:p w:rsidR="001C3080" w:rsidRPr="00A43247" w:rsidRDefault="004419FD" w:rsidP="001C3080">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Basis-DS</w:t>
            </w:r>
            <w:r w:rsidR="001C3080" w:rsidRPr="00A43247">
              <w:rPr>
                <w:rFonts w:ascii="Wingdings 2" w:hAnsi="Wingdings 2"/>
                <w:sz w:val="18"/>
              </w:rPr>
              <w:t></w:t>
            </w:r>
            <w:r w:rsidR="001C3080" w:rsidRPr="00A43247">
              <w:rPr>
                <w:rFonts w:ascii="Wingdings 2" w:hAnsi="Wingdings 2"/>
                <w:sz w:val="18"/>
              </w:rPr>
              <w:t></w:t>
            </w:r>
            <w:r w:rsidR="001C3080" w:rsidRPr="00A43247">
              <w:rPr>
                <w:sz w:val="18"/>
              </w:rPr>
              <w:t>TI-Daten</w:t>
            </w:r>
            <w:r w:rsidR="001C3080" w:rsidRPr="00A43247">
              <w:rPr>
                <w:sz w:val="18"/>
              </w:rPr>
              <w:softHyphen/>
              <w:t>schutz</w:t>
            </w:r>
            <w:r w:rsidR="001C3080" w:rsidRPr="00A43247">
              <w:rPr>
                <w:sz w:val="18"/>
              </w:rPr>
              <w:softHyphen/>
              <w:t>bericht</w:t>
            </w:r>
          </w:p>
          <w:p w:rsidR="00764C7C" w:rsidRDefault="001C3080" w:rsidP="00F871BF">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Er</w:t>
            </w:r>
            <w:r>
              <w:rPr>
                <w:sz w:val="18"/>
              </w:rPr>
              <w:t>weiterter TI-Datenschutzbericht</w:t>
            </w:r>
          </w:p>
          <w:p w:rsidR="00F871BF" w:rsidRPr="00A43247" w:rsidRDefault="00F871BF" w:rsidP="00F871BF">
            <w:pPr>
              <w:pStyle w:val="gemTab10pt"/>
              <w:rPr>
                <w:sz w:val="18"/>
              </w:rPr>
            </w:pPr>
          </w:p>
        </w:tc>
      </w:tr>
      <w:tr w:rsidR="004419FD" w:rsidRPr="00A43247" w:rsidTr="00657EE7">
        <w:trPr>
          <w:trHeight w:val="248"/>
        </w:trPr>
        <w:tc>
          <w:tcPr>
            <w:tcW w:w="817" w:type="dxa"/>
            <w:vMerge/>
          </w:tcPr>
          <w:p w:rsidR="004419FD" w:rsidRPr="00A43247" w:rsidRDefault="004419FD" w:rsidP="004419FD">
            <w:pPr>
              <w:pStyle w:val="gemTab10pt"/>
              <w:rPr>
                <w:b/>
                <w:sz w:val="18"/>
              </w:rPr>
            </w:pPr>
          </w:p>
        </w:tc>
        <w:tc>
          <w:tcPr>
            <w:tcW w:w="1418" w:type="dxa"/>
            <w:vMerge w:val="restart"/>
          </w:tcPr>
          <w:p w:rsidR="004419FD" w:rsidRPr="00A43247" w:rsidRDefault="004419FD" w:rsidP="0036211B">
            <w:pPr>
              <w:pStyle w:val="gemTab10pt"/>
              <w:rPr>
                <w:b/>
                <w:sz w:val="18"/>
              </w:rPr>
            </w:pPr>
            <w:r w:rsidRPr="00A43247">
              <w:rPr>
                <w:b/>
                <w:sz w:val="18"/>
              </w:rPr>
              <w:t>eGK-Anwendung/</w:t>
            </w:r>
            <w:r w:rsidR="0036211B">
              <w:rPr>
                <w:b/>
                <w:sz w:val="18"/>
              </w:rPr>
              <w:br/>
            </w:r>
            <w:r w:rsidRPr="00A43247">
              <w:rPr>
                <w:b/>
                <w:sz w:val="18"/>
              </w:rPr>
              <w:t>sÜv</w:t>
            </w:r>
          </w:p>
        </w:tc>
        <w:tc>
          <w:tcPr>
            <w:tcW w:w="3402" w:type="dxa"/>
            <w:vMerge w:val="restart"/>
          </w:tcPr>
          <w:p w:rsidR="004419FD" w:rsidRPr="00A43247" w:rsidRDefault="004419FD" w:rsidP="004419FD">
            <w:pPr>
              <w:pStyle w:val="gemTab10pt"/>
              <w:rPr>
                <w:sz w:val="18"/>
              </w:rPr>
            </w:pPr>
            <w:r w:rsidRPr="00A43247">
              <w:rPr>
                <w:sz w:val="18"/>
              </w:rPr>
              <w:t>Der Anbieter betreibt einen Dienst einer eGK-Anwendung oder eines sicheren Übermittlungsverfahrens (sÜv).</w:t>
            </w:r>
          </w:p>
          <w:p w:rsidR="004419FD" w:rsidRPr="00A43247" w:rsidRDefault="004419FD" w:rsidP="004419FD">
            <w:pPr>
              <w:pStyle w:val="gemTab10pt"/>
              <w:rPr>
                <w:sz w:val="18"/>
              </w:rPr>
            </w:pPr>
          </w:p>
          <w:p w:rsidR="004419FD" w:rsidRPr="00A43247" w:rsidRDefault="004419FD" w:rsidP="004419FD">
            <w:pPr>
              <w:pStyle w:val="gemTab10pt"/>
              <w:rPr>
                <w:sz w:val="18"/>
              </w:rPr>
            </w:pPr>
            <w:r w:rsidRPr="00A43247">
              <w:rPr>
                <w:sz w:val="18"/>
              </w:rPr>
              <w:t>Dienste der eGK-Anwendungen und der sÜv werden von der gematik spezifiziert.</w:t>
            </w:r>
          </w:p>
        </w:tc>
        <w:tc>
          <w:tcPr>
            <w:tcW w:w="3260" w:type="dxa"/>
            <w:shd w:val="clear" w:color="auto" w:fill="DBE5F1" w:themeFill="accent1" w:themeFillTint="33"/>
          </w:tcPr>
          <w:p w:rsidR="004419FD" w:rsidRPr="00A43247" w:rsidRDefault="004419FD" w:rsidP="004419FD">
            <w:pPr>
              <w:pStyle w:val="gemTab10pt"/>
              <w:rPr>
                <w:sz w:val="18"/>
              </w:rPr>
            </w:pPr>
            <w:r w:rsidRPr="00A43247">
              <w:rPr>
                <w:sz w:val="18"/>
              </w:rPr>
              <w:t>Module Informationssicherheit</w:t>
            </w:r>
          </w:p>
        </w:tc>
      </w:tr>
      <w:tr w:rsidR="004419FD" w:rsidRPr="00A43247" w:rsidTr="00657EE7">
        <w:trPr>
          <w:trHeight w:val="480"/>
        </w:trPr>
        <w:tc>
          <w:tcPr>
            <w:tcW w:w="817" w:type="dxa"/>
            <w:vMerge/>
          </w:tcPr>
          <w:p w:rsidR="004419FD" w:rsidRPr="00A43247" w:rsidRDefault="004419FD" w:rsidP="004419FD">
            <w:pPr>
              <w:pStyle w:val="gemTab10pt"/>
              <w:rPr>
                <w:b/>
                <w:sz w:val="18"/>
              </w:rPr>
            </w:pPr>
          </w:p>
        </w:tc>
        <w:tc>
          <w:tcPr>
            <w:tcW w:w="1418" w:type="dxa"/>
            <w:vMerge/>
          </w:tcPr>
          <w:p w:rsidR="004419FD" w:rsidRPr="00A43247" w:rsidRDefault="004419FD" w:rsidP="004419FD">
            <w:pPr>
              <w:pStyle w:val="gemTab10pt"/>
              <w:rPr>
                <w:b/>
                <w:sz w:val="18"/>
              </w:rPr>
            </w:pPr>
          </w:p>
        </w:tc>
        <w:tc>
          <w:tcPr>
            <w:tcW w:w="3402" w:type="dxa"/>
            <w:vMerge/>
          </w:tcPr>
          <w:p w:rsidR="004419FD" w:rsidRPr="00A43247" w:rsidRDefault="004419FD" w:rsidP="004419FD">
            <w:pPr>
              <w:pStyle w:val="gemTab10pt"/>
              <w:rPr>
                <w:sz w:val="18"/>
              </w:rPr>
            </w:pPr>
          </w:p>
        </w:tc>
        <w:tc>
          <w:tcPr>
            <w:tcW w:w="3260" w:type="dxa"/>
          </w:tcPr>
          <w:p w:rsidR="004419FD" w:rsidRPr="00A43247" w:rsidRDefault="004419FD" w:rsidP="004419FD">
            <w:pPr>
              <w:pStyle w:val="gemTab10pt"/>
              <w:rPr>
                <w:rFonts w:ascii="Wingdings 2" w:hAnsi="Wingdings 2"/>
                <w:sz w:val="18"/>
              </w:rPr>
            </w:pPr>
          </w:p>
          <w:p w:rsidR="004419FD" w:rsidRPr="00A43247" w:rsidRDefault="004419FD" w:rsidP="004419FD">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Basis-IS</w:t>
            </w:r>
          </w:p>
          <w:p w:rsidR="004419FD" w:rsidRPr="00A43247" w:rsidRDefault="004419FD" w:rsidP="004419FD">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 xml:space="preserve">Basis-ISMS </w:t>
            </w:r>
          </w:p>
          <w:p w:rsidR="004419FD" w:rsidRPr="00A43247" w:rsidRDefault="004419FD" w:rsidP="004419FD">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Erweitertes ISMS</w:t>
            </w:r>
          </w:p>
          <w:p w:rsidR="004419FD" w:rsidRPr="00A43247" w:rsidRDefault="004419FD" w:rsidP="004419FD">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TI-Sicher</w:t>
            </w:r>
            <w:r w:rsidRPr="00A43247">
              <w:rPr>
                <w:sz w:val="18"/>
              </w:rPr>
              <w:softHyphen/>
              <w:t>heits</w:t>
            </w:r>
            <w:r w:rsidRPr="00A43247">
              <w:rPr>
                <w:sz w:val="18"/>
              </w:rPr>
              <w:softHyphen/>
              <w:t>bericht</w:t>
            </w:r>
          </w:p>
          <w:p w:rsidR="004419FD" w:rsidRDefault="004419FD" w:rsidP="004419FD">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Er</w:t>
            </w:r>
            <w:r>
              <w:rPr>
                <w:sz w:val="18"/>
              </w:rPr>
              <w:t>weiterter TI-Sicherheitsbericht</w:t>
            </w:r>
          </w:p>
          <w:p w:rsidR="00764C7C" w:rsidRPr="00A43247" w:rsidRDefault="00764C7C" w:rsidP="004419FD">
            <w:pPr>
              <w:pStyle w:val="gemTab10pt"/>
              <w:rPr>
                <w:sz w:val="18"/>
              </w:rPr>
            </w:pPr>
          </w:p>
        </w:tc>
      </w:tr>
      <w:tr w:rsidR="004419FD" w:rsidRPr="00A43247" w:rsidTr="00657EE7">
        <w:trPr>
          <w:trHeight w:val="232"/>
        </w:trPr>
        <w:tc>
          <w:tcPr>
            <w:tcW w:w="817" w:type="dxa"/>
            <w:vMerge/>
          </w:tcPr>
          <w:p w:rsidR="004419FD" w:rsidRPr="00A43247" w:rsidRDefault="004419FD" w:rsidP="004419FD">
            <w:pPr>
              <w:pStyle w:val="gemTab10pt"/>
              <w:rPr>
                <w:b/>
                <w:sz w:val="18"/>
              </w:rPr>
            </w:pPr>
          </w:p>
        </w:tc>
        <w:tc>
          <w:tcPr>
            <w:tcW w:w="1418" w:type="dxa"/>
            <w:vMerge/>
          </w:tcPr>
          <w:p w:rsidR="004419FD" w:rsidRPr="00A43247" w:rsidRDefault="004419FD" w:rsidP="004419FD">
            <w:pPr>
              <w:pStyle w:val="gemTab10pt"/>
              <w:rPr>
                <w:b/>
                <w:sz w:val="18"/>
              </w:rPr>
            </w:pPr>
          </w:p>
        </w:tc>
        <w:tc>
          <w:tcPr>
            <w:tcW w:w="3402" w:type="dxa"/>
            <w:vMerge/>
          </w:tcPr>
          <w:p w:rsidR="004419FD" w:rsidRPr="00A43247" w:rsidRDefault="004419FD" w:rsidP="004419FD">
            <w:pPr>
              <w:pStyle w:val="gemTab10pt"/>
              <w:rPr>
                <w:sz w:val="18"/>
              </w:rPr>
            </w:pPr>
          </w:p>
        </w:tc>
        <w:tc>
          <w:tcPr>
            <w:tcW w:w="3260" w:type="dxa"/>
            <w:shd w:val="clear" w:color="auto" w:fill="DBE5F1" w:themeFill="accent1" w:themeFillTint="33"/>
          </w:tcPr>
          <w:p w:rsidR="004419FD" w:rsidRPr="00A43247" w:rsidRDefault="004419FD" w:rsidP="004419FD">
            <w:pPr>
              <w:pStyle w:val="gemTab10pt"/>
              <w:rPr>
                <w:sz w:val="18"/>
              </w:rPr>
            </w:pPr>
            <w:r w:rsidRPr="00A43247">
              <w:rPr>
                <w:sz w:val="18"/>
              </w:rPr>
              <w:t>Module Datenschutz</w:t>
            </w:r>
          </w:p>
        </w:tc>
      </w:tr>
      <w:tr w:rsidR="004419FD" w:rsidRPr="00A43247" w:rsidTr="00657EE7">
        <w:trPr>
          <w:trHeight w:val="480"/>
        </w:trPr>
        <w:tc>
          <w:tcPr>
            <w:tcW w:w="817" w:type="dxa"/>
            <w:vMerge/>
          </w:tcPr>
          <w:p w:rsidR="004419FD" w:rsidRPr="00A43247" w:rsidRDefault="004419FD" w:rsidP="004419FD">
            <w:pPr>
              <w:pStyle w:val="gemTab10pt"/>
              <w:rPr>
                <w:b/>
                <w:sz w:val="18"/>
              </w:rPr>
            </w:pPr>
          </w:p>
        </w:tc>
        <w:tc>
          <w:tcPr>
            <w:tcW w:w="1418" w:type="dxa"/>
            <w:vMerge/>
          </w:tcPr>
          <w:p w:rsidR="004419FD" w:rsidRPr="00A43247" w:rsidRDefault="004419FD" w:rsidP="004419FD">
            <w:pPr>
              <w:pStyle w:val="gemTab10pt"/>
              <w:rPr>
                <w:b/>
                <w:sz w:val="18"/>
              </w:rPr>
            </w:pPr>
          </w:p>
        </w:tc>
        <w:tc>
          <w:tcPr>
            <w:tcW w:w="3402" w:type="dxa"/>
            <w:vMerge/>
          </w:tcPr>
          <w:p w:rsidR="004419FD" w:rsidRPr="00A43247" w:rsidRDefault="004419FD" w:rsidP="004419FD">
            <w:pPr>
              <w:pStyle w:val="gemTab10pt"/>
              <w:rPr>
                <w:sz w:val="18"/>
              </w:rPr>
            </w:pPr>
          </w:p>
        </w:tc>
        <w:tc>
          <w:tcPr>
            <w:tcW w:w="3260" w:type="dxa"/>
          </w:tcPr>
          <w:p w:rsidR="004419FD" w:rsidRPr="00A43247" w:rsidRDefault="004419FD" w:rsidP="004419FD">
            <w:pPr>
              <w:pStyle w:val="gemTab10pt"/>
              <w:rPr>
                <w:rFonts w:ascii="Wingdings 2" w:hAnsi="Wingdings 2"/>
                <w:sz w:val="18"/>
              </w:rPr>
            </w:pPr>
          </w:p>
          <w:p w:rsidR="005D3C22" w:rsidRDefault="004419FD" w:rsidP="005D3C22">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Basis-DS</w:t>
            </w:r>
            <w:r w:rsidR="005D3C22">
              <w:rPr>
                <w:sz w:val="18"/>
              </w:rPr>
              <w:t xml:space="preserve"> </w:t>
            </w:r>
          </w:p>
          <w:p w:rsidR="00223ECD" w:rsidRPr="00A43247" w:rsidRDefault="00223ECD" w:rsidP="00223ECD">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TI-Daten</w:t>
            </w:r>
            <w:r w:rsidRPr="00A43247">
              <w:rPr>
                <w:sz w:val="18"/>
              </w:rPr>
              <w:softHyphen/>
              <w:t>schutz</w:t>
            </w:r>
            <w:r w:rsidRPr="00A43247">
              <w:rPr>
                <w:sz w:val="18"/>
              </w:rPr>
              <w:softHyphen/>
              <w:t>bericht</w:t>
            </w:r>
          </w:p>
          <w:p w:rsidR="005D3C22" w:rsidRDefault="005D3C22" w:rsidP="005D3C22">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Er</w:t>
            </w:r>
            <w:r>
              <w:rPr>
                <w:sz w:val="18"/>
              </w:rPr>
              <w:t>weiterter TI-Datenschutzbericht</w:t>
            </w:r>
          </w:p>
          <w:p w:rsidR="005D3C22" w:rsidRPr="00A43247" w:rsidRDefault="005D3C22" w:rsidP="005D3C22">
            <w:pPr>
              <w:pStyle w:val="gemTab10pt"/>
              <w:rPr>
                <w:sz w:val="18"/>
              </w:rPr>
            </w:pPr>
          </w:p>
          <w:p w:rsidR="005D3C22" w:rsidRDefault="005D3C22" w:rsidP="004419FD">
            <w:pPr>
              <w:pStyle w:val="gemTab10pt"/>
              <w:rPr>
                <w:rFonts w:ascii="Wingdings 2" w:hAnsi="Wingdings 2"/>
                <w:sz w:val="18"/>
              </w:rPr>
            </w:pPr>
          </w:p>
          <w:p w:rsidR="005747BF" w:rsidRPr="00A43247" w:rsidRDefault="005747BF" w:rsidP="005D3C22">
            <w:pPr>
              <w:pStyle w:val="gemTab10pt"/>
              <w:rPr>
                <w:sz w:val="18"/>
              </w:rPr>
            </w:pPr>
          </w:p>
        </w:tc>
      </w:tr>
    </w:tbl>
    <w:tbl>
      <w:tblPr>
        <w:tblStyle w:val="Tabellenraster"/>
        <w:tblW w:w="8897" w:type="dxa"/>
        <w:tblLayout w:type="fixed"/>
        <w:tblLook w:val="04A0" w:firstRow="1" w:lastRow="0" w:firstColumn="1" w:lastColumn="0" w:noHBand="0" w:noVBand="1"/>
      </w:tblPr>
      <w:tblGrid>
        <w:gridCol w:w="817"/>
        <w:gridCol w:w="1418"/>
        <w:gridCol w:w="3402"/>
        <w:gridCol w:w="3260"/>
      </w:tblGrid>
      <w:tr w:rsidR="005747BF" w:rsidRPr="00A43247" w:rsidTr="004419FD">
        <w:trPr>
          <w:cantSplit/>
          <w:trHeight w:val="182"/>
        </w:trPr>
        <w:tc>
          <w:tcPr>
            <w:tcW w:w="817" w:type="dxa"/>
            <w:vMerge w:val="restart"/>
            <w:textDirection w:val="btLr"/>
          </w:tcPr>
          <w:p w:rsidR="005747BF" w:rsidRPr="00A43247" w:rsidRDefault="005747BF" w:rsidP="005747BF">
            <w:pPr>
              <w:pStyle w:val="gemTab10pt"/>
              <w:ind w:left="113" w:right="113"/>
              <w:jc w:val="center"/>
              <w:rPr>
                <w:b/>
                <w:sz w:val="18"/>
              </w:rPr>
            </w:pPr>
            <w:r w:rsidRPr="00A43247">
              <w:rPr>
                <w:b/>
                <w:sz w:val="18"/>
              </w:rPr>
              <w:lastRenderedPageBreak/>
              <w:t>keine</w:t>
            </w:r>
            <w:r>
              <w:rPr>
                <w:b/>
                <w:sz w:val="18"/>
              </w:rPr>
              <w:t xml:space="preserve"> </w:t>
            </w:r>
            <w:r w:rsidRPr="00A43247">
              <w:rPr>
                <w:b/>
                <w:sz w:val="18"/>
              </w:rPr>
              <w:t>gematik-Spezifikation</w:t>
            </w:r>
            <w:r>
              <w:rPr>
                <w:b/>
                <w:sz w:val="18"/>
              </w:rPr>
              <w:t>shoheit</w:t>
            </w:r>
          </w:p>
        </w:tc>
        <w:tc>
          <w:tcPr>
            <w:tcW w:w="1418" w:type="dxa"/>
            <w:vMerge w:val="restart"/>
          </w:tcPr>
          <w:p w:rsidR="005747BF" w:rsidRPr="00A43247" w:rsidRDefault="005747BF" w:rsidP="004419FD">
            <w:pPr>
              <w:pStyle w:val="gemTab10pt"/>
              <w:rPr>
                <w:b/>
                <w:sz w:val="18"/>
              </w:rPr>
            </w:pPr>
            <w:r>
              <w:rPr>
                <w:b/>
                <w:sz w:val="18"/>
              </w:rPr>
              <w:t>Fachdienste VSDM</w:t>
            </w:r>
          </w:p>
        </w:tc>
        <w:tc>
          <w:tcPr>
            <w:tcW w:w="3402" w:type="dxa"/>
            <w:vMerge w:val="restart"/>
          </w:tcPr>
          <w:p w:rsidR="005747BF" w:rsidRPr="00A43247" w:rsidRDefault="005747BF" w:rsidP="009071C0">
            <w:pPr>
              <w:pStyle w:val="gemTab10pt"/>
              <w:rPr>
                <w:sz w:val="18"/>
              </w:rPr>
            </w:pPr>
            <w:r w:rsidRPr="00A43247">
              <w:rPr>
                <w:sz w:val="18"/>
              </w:rPr>
              <w:t>Der Anbieter betreibt eine</w:t>
            </w:r>
            <w:r>
              <w:rPr>
                <w:sz w:val="18"/>
              </w:rPr>
              <w:t>n</w:t>
            </w:r>
            <w:r w:rsidRPr="00A43247">
              <w:rPr>
                <w:sz w:val="18"/>
              </w:rPr>
              <w:t xml:space="preserve"> </w:t>
            </w:r>
            <w:r>
              <w:rPr>
                <w:sz w:val="18"/>
              </w:rPr>
              <w:t xml:space="preserve">Fachdienst VSDM </w:t>
            </w:r>
            <w:r w:rsidRPr="00A43247">
              <w:rPr>
                <w:sz w:val="18"/>
              </w:rPr>
              <w:t>gemäß § 291</w:t>
            </w:r>
            <w:r>
              <w:rPr>
                <w:sz w:val="18"/>
              </w:rPr>
              <w:t xml:space="preserve"> Abs. 2b </w:t>
            </w:r>
            <w:r w:rsidRPr="00A43247">
              <w:rPr>
                <w:sz w:val="18"/>
              </w:rPr>
              <w:t>SGB V.</w:t>
            </w:r>
          </w:p>
          <w:p w:rsidR="005747BF" w:rsidRDefault="005747BF" w:rsidP="005B03D9">
            <w:pPr>
              <w:pStyle w:val="gemTab10pt"/>
              <w:rPr>
                <w:sz w:val="18"/>
              </w:rPr>
            </w:pPr>
          </w:p>
          <w:p w:rsidR="005747BF" w:rsidRPr="00A43247" w:rsidRDefault="005747BF" w:rsidP="005B03D9">
            <w:pPr>
              <w:pStyle w:val="gemTab10pt"/>
              <w:rPr>
                <w:sz w:val="18"/>
              </w:rPr>
            </w:pPr>
            <w:r w:rsidRPr="009071C0">
              <w:rPr>
                <w:sz w:val="18"/>
              </w:rPr>
              <w:t xml:space="preserve">Die Fachdienste VSDM und deren Spezifikation fallen nicht in den gesetzlichen Aufgabenbereich der gematik gemäß § 291b Abs. 1 SGB V. </w:t>
            </w:r>
          </w:p>
        </w:tc>
        <w:tc>
          <w:tcPr>
            <w:tcW w:w="3260" w:type="dxa"/>
            <w:shd w:val="clear" w:color="auto" w:fill="DBE5F1" w:themeFill="accent1" w:themeFillTint="33"/>
          </w:tcPr>
          <w:p w:rsidR="005747BF" w:rsidRPr="00A43247" w:rsidRDefault="005747BF" w:rsidP="004419FD">
            <w:pPr>
              <w:pStyle w:val="gemTab10pt"/>
              <w:rPr>
                <w:rFonts w:cs="Arial"/>
                <w:sz w:val="18"/>
              </w:rPr>
            </w:pPr>
            <w:r w:rsidRPr="00A43247">
              <w:rPr>
                <w:sz w:val="18"/>
              </w:rPr>
              <w:t>Module Informationssicherheit</w:t>
            </w:r>
          </w:p>
        </w:tc>
      </w:tr>
      <w:tr w:rsidR="005747BF" w:rsidRPr="00A43247" w:rsidTr="004419FD">
        <w:trPr>
          <w:cantSplit/>
          <w:trHeight w:val="335"/>
        </w:trPr>
        <w:tc>
          <w:tcPr>
            <w:tcW w:w="817" w:type="dxa"/>
            <w:vMerge/>
            <w:textDirection w:val="btLr"/>
          </w:tcPr>
          <w:p w:rsidR="005747BF" w:rsidRPr="00A43247" w:rsidRDefault="005747BF" w:rsidP="00094740">
            <w:pPr>
              <w:pStyle w:val="gemTab10pt"/>
              <w:ind w:left="113" w:right="113"/>
              <w:rPr>
                <w:b/>
                <w:sz w:val="18"/>
              </w:rPr>
            </w:pPr>
          </w:p>
        </w:tc>
        <w:tc>
          <w:tcPr>
            <w:tcW w:w="1418" w:type="dxa"/>
            <w:vMerge/>
          </w:tcPr>
          <w:p w:rsidR="005747BF" w:rsidRPr="00A43247" w:rsidRDefault="005747BF" w:rsidP="004419FD">
            <w:pPr>
              <w:pStyle w:val="gemTab10pt"/>
              <w:rPr>
                <w:b/>
                <w:sz w:val="18"/>
              </w:rPr>
            </w:pPr>
          </w:p>
        </w:tc>
        <w:tc>
          <w:tcPr>
            <w:tcW w:w="3402" w:type="dxa"/>
            <w:vMerge/>
          </w:tcPr>
          <w:p w:rsidR="005747BF" w:rsidRPr="00A43247" w:rsidRDefault="005747BF" w:rsidP="004419FD">
            <w:pPr>
              <w:pStyle w:val="gemTab10pt"/>
              <w:rPr>
                <w:sz w:val="18"/>
              </w:rPr>
            </w:pPr>
          </w:p>
        </w:tc>
        <w:tc>
          <w:tcPr>
            <w:tcW w:w="3260" w:type="dxa"/>
          </w:tcPr>
          <w:p w:rsidR="005747BF" w:rsidRDefault="005747BF" w:rsidP="004419FD">
            <w:pPr>
              <w:pStyle w:val="gemTab10pt"/>
              <w:rPr>
                <w:sz w:val="18"/>
              </w:rPr>
            </w:pPr>
          </w:p>
          <w:p w:rsidR="005747BF" w:rsidRPr="00A43247" w:rsidRDefault="005747BF" w:rsidP="005B03D9">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Basis-IS</w:t>
            </w:r>
          </w:p>
          <w:p w:rsidR="005747BF" w:rsidRPr="00A43247" w:rsidRDefault="005747BF" w:rsidP="005B03D9">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 xml:space="preserve">Basis-ISMS </w:t>
            </w:r>
          </w:p>
          <w:p w:rsidR="005747BF" w:rsidRPr="00A43247" w:rsidRDefault="005747BF" w:rsidP="005B03D9">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Erweitertes ISMS</w:t>
            </w:r>
          </w:p>
          <w:p w:rsidR="005747BF" w:rsidRPr="00A43247" w:rsidRDefault="005747BF" w:rsidP="005B03D9">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TI-Sicher</w:t>
            </w:r>
            <w:r w:rsidRPr="00A43247">
              <w:rPr>
                <w:sz w:val="18"/>
              </w:rPr>
              <w:softHyphen/>
              <w:t>heits</w:t>
            </w:r>
            <w:r w:rsidRPr="00A43247">
              <w:rPr>
                <w:sz w:val="18"/>
              </w:rPr>
              <w:softHyphen/>
              <w:t>bericht</w:t>
            </w:r>
          </w:p>
          <w:p w:rsidR="005747BF" w:rsidRPr="00F237D3" w:rsidRDefault="005747BF" w:rsidP="005B03D9">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Er</w:t>
            </w:r>
            <w:r>
              <w:rPr>
                <w:sz w:val="18"/>
              </w:rPr>
              <w:t>weiterter TI-Sicherheitsbericht</w:t>
            </w:r>
          </w:p>
        </w:tc>
      </w:tr>
      <w:tr w:rsidR="005747BF" w:rsidRPr="00A43247" w:rsidTr="004419FD">
        <w:trPr>
          <w:cantSplit/>
          <w:trHeight w:val="194"/>
        </w:trPr>
        <w:tc>
          <w:tcPr>
            <w:tcW w:w="817" w:type="dxa"/>
            <w:vMerge/>
            <w:textDirection w:val="btLr"/>
          </w:tcPr>
          <w:p w:rsidR="005747BF" w:rsidRPr="00A43247" w:rsidRDefault="005747BF" w:rsidP="00094740">
            <w:pPr>
              <w:pStyle w:val="gemTab10pt"/>
              <w:ind w:left="113" w:right="113"/>
              <w:rPr>
                <w:b/>
                <w:sz w:val="18"/>
              </w:rPr>
            </w:pPr>
          </w:p>
        </w:tc>
        <w:tc>
          <w:tcPr>
            <w:tcW w:w="1418" w:type="dxa"/>
            <w:vMerge/>
          </w:tcPr>
          <w:p w:rsidR="005747BF" w:rsidRPr="00A43247" w:rsidRDefault="005747BF" w:rsidP="004419FD">
            <w:pPr>
              <w:pStyle w:val="gemTab10pt"/>
              <w:rPr>
                <w:b/>
                <w:sz w:val="18"/>
              </w:rPr>
            </w:pPr>
          </w:p>
        </w:tc>
        <w:tc>
          <w:tcPr>
            <w:tcW w:w="3402" w:type="dxa"/>
            <w:vMerge/>
          </w:tcPr>
          <w:p w:rsidR="005747BF" w:rsidRPr="00A43247" w:rsidRDefault="005747BF" w:rsidP="004419FD">
            <w:pPr>
              <w:pStyle w:val="gemTab10pt"/>
              <w:rPr>
                <w:sz w:val="18"/>
              </w:rPr>
            </w:pPr>
          </w:p>
        </w:tc>
        <w:tc>
          <w:tcPr>
            <w:tcW w:w="3260" w:type="dxa"/>
            <w:shd w:val="clear" w:color="auto" w:fill="DBE5F1" w:themeFill="accent1" w:themeFillTint="33"/>
          </w:tcPr>
          <w:p w:rsidR="005747BF" w:rsidRPr="00A43247" w:rsidRDefault="005747BF" w:rsidP="004419FD">
            <w:pPr>
              <w:pStyle w:val="gemTab10pt"/>
              <w:rPr>
                <w:rFonts w:cs="Arial"/>
                <w:sz w:val="18"/>
              </w:rPr>
            </w:pPr>
            <w:r w:rsidRPr="00A43247">
              <w:rPr>
                <w:sz w:val="18"/>
              </w:rPr>
              <w:t>Module Datenschutz</w:t>
            </w:r>
          </w:p>
        </w:tc>
      </w:tr>
      <w:tr w:rsidR="005747BF" w:rsidRPr="00A43247" w:rsidTr="004419FD">
        <w:trPr>
          <w:cantSplit/>
          <w:trHeight w:val="335"/>
        </w:trPr>
        <w:tc>
          <w:tcPr>
            <w:tcW w:w="817" w:type="dxa"/>
            <w:vMerge/>
            <w:textDirection w:val="btLr"/>
          </w:tcPr>
          <w:p w:rsidR="005747BF" w:rsidRPr="00A43247" w:rsidRDefault="005747BF" w:rsidP="00094740">
            <w:pPr>
              <w:pStyle w:val="gemTab10pt"/>
              <w:ind w:left="113" w:right="113"/>
              <w:rPr>
                <w:b/>
                <w:sz w:val="18"/>
              </w:rPr>
            </w:pPr>
          </w:p>
        </w:tc>
        <w:tc>
          <w:tcPr>
            <w:tcW w:w="1418" w:type="dxa"/>
            <w:vMerge/>
          </w:tcPr>
          <w:p w:rsidR="005747BF" w:rsidRPr="00A43247" w:rsidRDefault="005747BF" w:rsidP="004419FD">
            <w:pPr>
              <w:pStyle w:val="gemTab10pt"/>
              <w:rPr>
                <w:b/>
                <w:sz w:val="18"/>
              </w:rPr>
            </w:pPr>
          </w:p>
        </w:tc>
        <w:tc>
          <w:tcPr>
            <w:tcW w:w="3402" w:type="dxa"/>
            <w:vMerge/>
          </w:tcPr>
          <w:p w:rsidR="005747BF" w:rsidRPr="00A43247" w:rsidRDefault="005747BF" w:rsidP="004419FD">
            <w:pPr>
              <w:pStyle w:val="gemTab10pt"/>
              <w:rPr>
                <w:sz w:val="18"/>
              </w:rPr>
            </w:pPr>
          </w:p>
        </w:tc>
        <w:tc>
          <w:tcPr>
            <w:tcW w:w="3260" w:type="dxa"/>
          </w:tcPr>
          <w:p w:rsidR="005747BF" w:rsidRDefault="005747BF" w:rsidP="004419FD">
            <w:pPr>
              <w:pStyle w:val="gemTab10pt"/>
              <w:rPr>
                <w:sz w:val="18"/>
              </w:rPr>
            </w:pPr>
          </w:p>
          <w:p w:rsidR="005747BF" w:rsidRPr="00A43247" w:rsidRDefault="005747BF" w:rsidP="005B03D9">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Basis-DS</w:t>
            </w:r>
          </w:p>
          <w:p w:rsidR="005747BF" w:rsidRPr="00A43247" w:rsidRDefault="005747BF" w:rsidP="005B03D9">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TI-Daten</w:t>
            </w:r>
            <w:r w:rsidRPr="00A43247">
              <w:rPr>
                <w:sz w:val="18"/>
              </w:rPr>
              <w:softHyphen/>
              <w:t>schutz</w:t>
            </w:r>
            <w:r w:rsidRPr="00A43247">
              <w:rPr>
                <w:sz w:val="18"/>
              </w:rPr>
              <w:softHyphen/>
              <w:t>bericht</w:t>
            </w:r>
          </w:p>
          <w:p w:rsidR="005747BF" w:rsidRPr="00F237D3" w:rsidRDefault="005747BF" w:rsidP="005B03D9">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Erweiterter TI-Dat</w:t>
            </w:r>
            <w:r>
              <w:rPr>
                <w:sz w:val="18"/>
              </w:rPr>
              <w:t>enschutzbericht</w:t>
            </w:r>
          </w:p>
        </w:tc>
      </w:tr>
      <w:tr w:rsidR="005747BF" w:rsidRPr="00A43247" w:rsidTr="005B03D9">
        <w:trPr>
          <w:cantSplit/>
          <w:trHeight w:val="135"/>
        </w:trPr>
        <w:tc>
          <w:tcPr>
            <w:tcW w:w="817" w:type="dxa"/>
            <w:vMerge/>
            <w:textDirection w:val="btLr"/>
          </w:tcPr>
          <w:p w:rsidR="005747BF" w:rsidRPr="00A43247" w:rsidRDefault="005747BF" w:rsidP="00094740">
            <w:pPr>
              <w:pStyle w:val="gemTab10pt"/>
              <w:ind w:left="113" w:right="113"/>
              <w:rPr>
                <w:b/>
                <w:sz w:val="18"/>
              </w:rPr>
            </w:pPr>
          </w:p>
        </w:tc>
        <w:tc>
          <w:tcPr>
            <w:tcW w:w="1418" w:type="dxa"/>
            <w:vMerge w:val="restart"/>
          </w:tcPr>
          <w:p w:rsidR="005747BF" w:rsidRPr="00A43247" w:rsidRDefault="005747BF" w:rsidP="00094740">
            <w:pPr>
              <w:pStyle w:val="gemTab10pt"/>
              <w:rPr>
                <w:b/>
                <w:sz w:val="18"/>
              </w:rPr>
            </w:pPr>
            <w:r w:rsidRPr="00A43247">
              <w:rPr>
                <w:b/>
                <w:sz w:val="18"/>
              </w:rPr>
              <w:t>weitere Anwend-ungen</w:t>
            </w:r>
          </w:p>
        </w:tc>
        <w:tc>
          <w:tcPr>
            <w:tcW w:w="3402" w:type="dxa"/>
            <w:vMerge w:val="restart"/>
          </w:tcPr>
          <w:p w:rsidR="005747BF" w:rsidRPr="00A43247" w:rsidRDefault="005747BF" w:rsidP="00094740">
            <w:pPr>
              <w:pStyle w:val="gemTab10pt"/>
              <w:rPr>
                <w:sz w:val="18"/>
              </w:rPr>
            </w:pPr>
            <w:r w:rsidRPr="00A43247">
              <w:rPr>
                <w:sz w:val="18"/>
              </w:rPr>
              <w:t>Der Anbieter betreibt eine weitere Anwendung gemäß § 291a Abs. 7 Satz 3 SGB V.</w:t>
            </w:r>
          </w:p>
          <w:p w:rsidR="005747BF" w:rsidRPr="00A43247" w:rsidRDefault="005747BF" w:rsidP="00094740">
            <w:pPr>
              <w:pStyle w:val="gemTab10pt"/>
              <w:rPr>
                <w:sz w:val="18"/>
              </w:rPr>
            </w:pPr>
          </w:p>
          <w:p w:rsidR="005747BF" w:rsidRPr="00A43247" w:rsidRDefault="005747BF" w:rsidP="00094740">
            <w:pPr>
              <w:pStyle w:val="gemTab10pt"/>
              <w:rPr>
                <w:sz w:val="18"/>
              </w:rPr>
            </w:pPr>
            <w:r w:rsidRPr="00A43247">
              <w:rPr>
                <w:sz w:val="18"/>
              </w:rPr>
              <w:t xml:space="preserve">Weitere Anwendungen werden nicht von der gematik spezifiziert. </w:t>
            </w:r>
          </w:p>
        </w:tc>
        <w:tc>
          <w:tcPr>
            <w:tcW w:w="3260" w:type="dxa"/>
            <w:shd w:val="clear" w:color="auto" w:fill="DBE5F1" w:themeFill="accent1" w:themeFillTint="33"/>
          </w:tcPr>
          <w:p w:rsidR="005747BF" w:rsidRPr="00A43247" w:rsidRDefault="005747BF" w:rsidP="00094740">
            <w:pPr>
              <w:pStyle w:val="gemTab10pt"/>
              <w:rPr>
                <w:sz w:val="18"/>
              </w:rPr>
            </w:pPr>
            <w:r w:rsidRPr="00A43247">
              <w:rPr>
                <w:sz w:val="18"/>
              </w:rPr>
              <w:t>Module Informationssicherheit</w:t>
            </w:r>
          </w:p>
        </w:tc>
      </w:tr>
      <w:tr w:rsidR="005747BF" w:rsidRPr="00A43247" w:rsidTr="004419FD">
        <w:trPr>
          <w:cantSplit/>
          <w:trHeight w:val="335"/>
        </w:trPr>
        <w:tc>
          <w:tcPr>
            <w:tcW w:w="817" w:type="dxa"/>
            <w:vMerge/>
            <w:textDirection w:val="btLr"/>
          </w:tcPr>
          <w:p w:rsidR="005747BF" w:rsidRDefault="005747BF" w:rsidP="00094740">
            <w:pPr>
              <w:pStyle w:val="gemTab10pt"/>
              <w:ind w:left="113" w:right="113"/>
              <w:rPr>
                <w:b/>
                <w:sz w:val="18"/>
              </w:rPr>
            </w:pPr>
          </w:p>
        </w:tc>
        <w:tc>
          <w:tcPr>
            <w:tcW w:w="1418" w:type="dxa"/>
            <w:vMerge/>
          </w:tcPr>
          <w:p w:rsidR="005747BF" w:rsidRPr="00A43247" w:rsidRDefault="005747BF" w:rsidP="00094740">
            <w:pPr>
              <w:pStyle w:val="gemTab10pt"/>
              <w:rPr>
                <w:b/>
                <w:sz w:val="18"/>
              </w:rPr>
            </w:pPr>
          </w:p>
        </w:tc>
        <w:tc>
          <w:tcPr>
            <w:tcW w:w="3402" w:type="dxa"/>
            <w:vMerge/>
          </w:tcPr>
          <w:p w:rsidR="005747BF" w:rsidRPr="00A43247" w:rsidRDefault="005747BF" w:rsidP="00094740">
            <w:pPr>
              <w:pStyle w:val="gemTab10pt"/>
              <w:rPr>
                <w:sz w:val="18"/>
              </w:rPr>
            </w:pPr>
          </w:p>
        </w:tc>
        <w:tc>
          <w:tcPr>
            <w:tcW w:w="3260" w:type="dxa"/>
          </w:tcPr>
          <w:p w:rsidR="005747BF" w:rsidRPr="00A43247" w:rsidRDefault="005747BF" w:rsidP="00094740">
            <w:pPr>
              <w:pStyle w:val="gemTab10pt"/>
              <w:rPr>
                <w:rFonts w:ascii="Wingdings 2" w:hAnsi="Wingdings 2"/>
                <w:sz w:val="18"/>
              </w:rPr>
            </w:pPr>
          </w:p>
          <w:p w:rsidR="005747BF" w:rsidRPr="00A43247" w:rsidRDefault="005747BF" w:rsidP="00094740">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Basis-IS</w:t>
            </w:r>
          </w:p>
          <w:p w:rsidR="005747BF" w:rsidRPr="00A43247" w:rsidRDefault="005747BF" w:rsidP="00094740">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 xml:space="preserve">Basis-ISMS </w:t>
            </w:r>
          </w:p>
          <w:p w:rsidR="005747BF" w:rsidRPr="00A43247" w:rsidRDefault="005747BF" w:rsidP="00094740">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Erweitertes ISMS</w:t>
            </w:r>
          </w:p>
          <w:p w:rsidR="005747BF" w:rsidRPr="00A43247" w:rsidRDefault="005747BF" w:rsidP="00094740">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TI-Sicher</w:t>
            </w:r>
            <w:r w:rsidRPr="00A43247">
              <w:rPr>
                <w:sz w:val="18"/>
              </w:rPr>
              <w:softHyphen/>
              <w:t>heits</w:t>
            </w:r>
            <w:r w:rsidRPr="00A43247">
              <w:rPr>
                <w:sz w:val="18"/>
              </w:rPr>
              <w:softHyphen/>
              <w:t>bericht</w:t>
            </w:r>
          </w:p>
          <w:p w:rsidR="005747BF" w:rsidRPr="00A43247" w:rsidRDefault="005747BF" w:rsidP="00094740">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Er</w:t>
            </w:r>
            <w:r>
              <w:rPr>
                <w:sz w:val="18"/>
              </w:rPr>
              <w:t>weiterter TI-Sicherheitsbericht</w:t>
            </w:r>
          </w:p>
        </w:tc>
      </w:tr>
      <w:tr w:rsidR="005747BF" w:rsidRPr="00A43247" w:rsidTr="005B03D9">
        <w:trPr>
          <w:cantSplit/>
          <w:trHeight w:val="112"/>
        </w:trPr>
        <w:tc>
          <w:tcPr>
            <w:tcW w:w="817" w:type="dxa"/>
            <w:vMerge/>
            <w:textDirection w:val="btLr"/>
          </w:tcPr>
          <w:p w:rsidR="005747BF" w:rsidRDefault="005747BF" w:rsidP="00094740">
            <w:pPr>
              <w:pStyle w:val="gemTab10pt"/>
              <w:ind w:left="113" w:right="113"/>
              <w:rPr>
                <w:b/>
                <w:sz w:val="18"/>
              </w:rPr>
            </w:pPr>
          </w:p>
        </w:tc>
        <w:tc>
          <w:tcPr>
            <w:tcW w:w="1418" w:type="dxa"/>
            <w:vMerge/>
          </w:tcPr>
          <w:p w:rsidR="005747BF" w:rsidRPr="00A43247" w:rsidRDefault="005747BF" w:rsidP="00094740">
            <w:pPr>
              <w:pStyle w:val="gemTab10pt"/>
              <w:rPr>
                <w:b/>
                <w:sz w:val="18"/>
              </w:rPr>
            </w:pPr>
          </w:p>
        </w:tc>
        <w:tc>
          <w:tcPr>
            <w:tcW w:w="3402" w:type="dxa"/>
            <w:vMerge/>
          </w:tcPr>
          <w:p w:rsidR="005747BF" w:rsidRPr="00A43247" w:rsidRDefault="005747BF" w:rsidP="00094740">
            <w:pPr>
              <w:pStyle w:val="gemTab10pt"/>
              <w:rPr>
                <w:sz w:val="18"/>
              </w:rPr>
            </w:pPr>
          </w:p>
        </w:tc>
        <w:tc>
          <w:tcPr>
            <w:tcW w:w="3260" w:type="dxa"/>
            <w:shd w:val="clear" w:color="auto" w:fill="DBE5F1" w:themeFill="accent1" w:themeFillTint="33"/>
          </w:tcPr>
          <w:p w:rsidR="005747BF" w:rsidRPr="00A43247" w:rsidRDefault="005747BF" w:rsidP="00094740">
            <w:pPr>
              <w:pStyle w:val="gemTab10pt"/>
              <w:rPr>
                <w:sz w:val="18"/>
              </w:rPr>
            </w:pPr>
            <w:r w:rsidRPr="00A43247">
              <w:rPr>
                <w:sz w:val="18"/>
              </w:rPr>
              <w:t>Module Datenschutz</w:t>
            </w:r>
          </w:p>
        </w:tc>
      </w:tr>
      <w:tr w:rsidR="005747BF" w:rsidRPr="00A43247" w:rsidTr="004419FD">
        <w:trPr>
          <w:cantSplit/>
          <w:trHeight w:val="335"/>
        </w:trPr>
        <w:tc>
          <w:tcPr>
            <w:tcW w:w="817" w:type="dxa"/>
            <w:vMerge/>
            <w:textDirection w:val="btLr"/>
          </w:tcPr>
          <w:p w:rsidR="005747BF" w:rsidRDefault="005747BF" w:rsidP="00094740">
            <w:pPr>
              <w:pStyle w:val="gemTab10pt"/>
              <w:ind w:left="113" w:right="113"/>
              <w:rPr>
                <w:b/>
                <w:sz w:val="18"/>
              </w:rPr>
            </w:pPr>
          </w:p>
        </w:tc>
        <w:tc>
          <w:tcPr>
            <w:tcW w:w="1418" w:type="dxa"/>
            <w:vMerge/>
          </w:tcPr>
          <w:p w:rsidR="005747BF" w:rsidRPr="00A43247" w:rsidRDefault="005747BF" w:rsidP="00094740">
            <w:pPr>
              <w:pStyle w:val="gemTab10pt"/>
              <w:rPr>
                <w:b/>
                <w:sz w:val="18"/>
              </w:rPr>
            </w:pPr>
          </w:p>
        </w:tc>
        <w:tc>
          <w:tcPr>
            <w:tcW w:w="3402" w:type="dxa"/>
            <w:vMerge/>
          </w:tcPr>
          <w:p w:rsidR="005747BF" w:rsidRPr="00A43247" w:rsidRDefault="005747BF" w:rsidP="00094740">
            <w:pPr>
              <w:pStyle w:val="gemTab10pt"/>
              <w:rPr>
                <w:sz w:val="18"/>
              </w:rPr>
            </w:pPr>
          </w:p>
        </w:tc>
        <w:tc>
          <w:tcPr>
            <w:tcW w:w="3260" w:type="dxa"/>
          </w:tcPr>
          <w:p w:rsidR="005747BF" w:rsidRPr="00A43247" w:rsidRDefault="005747BF" w:rsidP="00094740">
            <w:pPr>
              <w:pStyle w:val="gemTab10pt"/>
              <w:rPr>
                <w:rFonts w:ascii="Wingdings 2" w:hAnsi="Wingdings 2"/>
                <w:sz w:val="18"/>
              </w:rPr>
            </w:pPr>
          </w:p>
          <w:p w:rsidR="005747BF" w:rsidRPr="00A43247" w:rsidRDefault="005747BF" w:rsidP="00094740">
            <w:pPr>
              <w:pStyle w:val="gemTab10pt"/>
              <w:rPr>
                <w:sz w:val="18"/>
              </w:rPr>
            </w:pPr>
            <w:r w:rsidRPr="00A43247">
              <w:rPr>
                <w:rFonts w:ascii="Wingdings 2" w:hAnsi="Wingdings 2"/>
                <w:sz w:val="18"/>
              </w:rPr>
              <w:t></w:t>
            </w:r>
            <w:r w:rsidRPr="00A43247">
              <w:rPr>
                <w:rFonts w:ascii="Wingdings 2" w:hAnsi="Wingdings 2"/>
                <w:sz w:val="18"/>
              </w:rPr>
              <w:t></w:t>
            </w:r>
            <w:r w:rsidRPr="00A43247">
              <w:rPr>
                <w:sz w:val="18"/>
              </w:rPr>
              <w:t>Basis-DS</w:t>
            </w:r>
          </w:p>
          <w:p w:rsidR="005747BF" w:rsidRPr="00A43247" w:rsidRDefault="005747BF" w:rsidP="00094740">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TI-Daten</w:t>
            </w:r>
            <w:r w:rsidRPr="00A43247">
              <w:rPr>
                <w:sz w:val="18"/>
              </w:rPr>
              <w:softHyphen/>
              <w:t>schutz</w:t>
            </w:r>
            <w:r w:rsidRPr="00A43247">
              <w:rPr>
                <w:sz w:val="18"/>
              </w:rPr>
              <w:softHyphen/>
              <w:t>bericht</w:t>
            </w:r>
          </w:p>
          <w:p w:rsidR="005747BF" w:rsidRPr="00A43247" w:rsidRDefault="005747BF" w:rsidP="00094740">
            <w:pPr>
              <w:pStyle w:val="gemTab10pt"/>
              <w:rPr>
                <w:sz w:val="18"/>
              </w:rPr>
            </w:pPr>
            <w:r w:rsidRPr="00A43247">
              <w:rPr>
                <w:rFonts w:ascii="Wingdings" w:hAnsi="Wingdings"/>
                <w:sz w:val="18"/>
              </w:rPr>
              <w:t></w:t>
            </w:r>
            <w:r w:rsidRPr="00A43247">
              <w:rPr>
                <w:rFonts w:ascii="Wingdings 2" w:hAnsi="Wingdings 2"/>
                <w:sz w:val="18"/>
              </w:rPr>
              <w:t></w:t>
            </w:r>
            <w:r w:rsidRPr="00A43247">
              <w:rPr>
                <w:sz w:val="18"/>
              </w:rPr>
              <w:t>Erweiterter TI-Dat</w:t>
            </w:r>
            <w:r>
              <w:rPr>
                <w:sz w:val="18"/>
              </w:rPr>
              <w:t>enschutzbericht</w:t>
            </w:r>
          </w:p>
        </w:tc>
      </w:tr>
    </w:tbl>
    <w:p w:rsidR="004419FD" w:rsidRDefault="004419FD" w:rsidP="004419FD">
      <w:pPr>
        <w:pStyle w:val="gemStandard"/>
      </w:pPr>
      <w:r>
        <w:rPr>
          <w:b/>
        </w:rPr>
        <w:t>Dienste</w:t>
      </w:r>
      <w:r w:rsidRPr="00235F83">
        <w:rPr>
          <w:b/>
        </w:rPr>
        <w:t xml:space="preserve"> der TI</w:t>
      </w:r>
    </w:p>
    <w:p w:rsidR="004419FD" w:rsidRDefault="004419FD" w:rsidP="004419FD">
      <w:pPr>
        <w:pStyle w:val="gemStandard"/>
      </w:pPr>
      <w:r>
        <w:t xml:space="preserve">Für Dienste der TI </w:t>
      </w:r>
      <w:r w:rsidR="0036211B">
        <w:t>erstellt</w:t>
      </w:r>
      <w:r>
        <w:t xml:space="preserve"> die gematik die funktionalen und t</w:t>
      </w:r>
      <w:r w:rsidR="0036211B">
        <w:t>echnischen Vorgaben</w:t>
      </w:r>
      <w:r>
        <w:t>, legt den Inhalt und die Struktur der Datensätze für deren Bereitstellung und Nutzung fest, erstellt die Vorgaben für einen sicheren Betrieb der TI und überwacht ihre Umsetzung (§</w:t>
      </w:r>
      <w:r w:rsidR="0036211B">
        <w:t> </w:t>
      </w:r>
      <w:r>
        <w:t xml:space="preserve">291b Abs. 1 SGB V). </w:t>
      </w:r>
    </w:p>
    <w:p w:rsidR="004419FD" w:rsidRDefault="004419FD" w:rsidP="004419FD">
      <w:pPr>
        <w:pStyle w:val="gemStandard"/>
      </w:pPr>
      <w:r>
        <w:t xml:space="preserve">Die gematik spezifiziert für Dienste der TI insbesondere die Maßnahmen, mit denen der Datenschutz und die Informationssicherheit gewährleistet werden. </w:t>
      </w:r>
      <w:r w:rsidR="0036211B">
        <w:t>D</w:t>
      </w:r>
      <w:r>
        <w:t xml:space="preserve">ie korrekte Umsetzung dieser Maßnahmen durch den Anbieter </w:t>
      </w:r>
      <w:r w:rsidR="0036211B">
        <w:t>stellt</w:t>
      </w:r>
      <w:r>
        <w:t xml:space="preserve"> sicher, dass in der TI die Vorschriften zum Datenschutz eingehalten und ein</w:t>
      </w:r>
      <w:r w:rsidR="0036211B">
        <w:t xml:space="preserve"> angemessenes Sicherheitsniveau</w:t>
      </w:r>
      <w:r>
        <w:t xml:space="preserve"> in den Diensten der TI gewährleistet wird (vgl. § 291b Abs. 1 SGB V).</w:t>
      </w:r>
    </w:p>
    <w:p w:rsidR="004419FD" w:rsidRDefault="004419FD" w:rsidP="004419FD">
      <w:pPr>
        <w:pStyle w:val="gemStandard"/>
      </w:pPr>
      <w:r>
        <w:t>Anbietern von Diensten der TI werden sämtliche Module des Datenschutzes und, mit Ausnahme des Moduls „Erweitertes ISMS“, sämtliche Module der Informationssicherheit zugeordnet. Diese Module gewährleisten eine sichere Betriebsumgebung beim Anbieter.</w:t>
      </w:r>
    </w:p>
    <w:p w:rsidR="00321B8B" w:rsidRDefault="00321B8B" w:rsidP="004419FD">
      <w:pPr>
        <w:pStyle w:val="gemStandard"/>
        <w:rPr>
          <w:b/>
        </w:rPr>
      </w:pPr>
      <w:r>
        <w:rPr>
          <w:b/>
        </w:rPr>
        <w:t>Fachdienste VSDM</w:t>
      </w:r>
    </w:p>
    <w:p w:rsidR="008547C1" w:rsidRDefault="00596A26" w:rsidP="004419FD">
      <w:pPr>
        <w:pStyle w:val="gemStandard"/>
      </w:pPr>
      <w:r>
        <w:t xml:space="preserve">Die Fachdienste VSDM </w:t>
      </w:r>
      <w:r w:rsidR="00094740">
        <w:t xml:space="preserve">und deren Spezifikation fallen nicht in den gesetzlichen Aufgabenbereich der gematik gemäß § 291b Abs. 1 SGB V. </w:t>
      </w:r>
      <w:r w:rsidR="008547C1">
        <w:t xml:space="preserve">Die gematik ist insbesondere nicht gesetzlich damit beauftragt – anders als bei den weiteren Anwendungen in § 291a Abs. 7 Satz 3 Nr. 2 SGB V – die Einhaltung der Vorschriften des Datenschutzes und ein angemesseses Sicherheitsniveau </w:t>
      </w:r>
      <w:r w:rsidR="005747BF">
        <w:t>im Hinblick auf</w:t>
      </w:r>
      <w:r w:rsidR="008547C1">
        <w:t xml:space="preserve"> die Schutzbedürftigkeit der in den Fachdiensten VSDM verarbeiteten Daten zu gewährleisten. </w:t>
      </w:r>
      <w:r w:rsidR="00F0547E" w:rsidRPr="00F0547E">
        <w:rPr>
          <w:highlight w:val="yellow"/>
        </w:rPr>
        <w:t xml:space="preserve">Die Fachdienste VSDM gehören nicht zur TI. Lediglich die Schnittstellen der Fachdienste VSDM sind Teil der </w:t>
      </w:r>
      <w:commentRangeStart w:id="226"/>
      <w:r w:rsidR="00F0547E" w:rsidRPr="00F0547E">
        <w:rPr>
          <w:highlight w:val="yellow"/>
        </w:rPr>
        <w:t>TI</w:t>
      </w:r>
      <w:commentRangeEnd w:id="226"/>
      <w:r w:rsidR="00F0547E">
        <w:rPr>
          <w:rStyle w:val="Kommentarzeichen"/>
        </w:rPr>
        <w:commentReference w:id="226"/>
      </w:r>
      <w:r w:rsidR="00F0547E" w:rsidRPr="00F0547E">
        <w:rPr>
          <w:highlight w:val="yellow"/>
        </w:rPr>
        <w:t>.</w:t>
      </w:r>
      <w:r w:rsidR="00F0547E">
        <w:t xml:space="preserve"> </w:t>
      </w:r>
    </w:p>
    <w:p w:rsidR="00094740" w:rsidRDefault="005747BF" w:rsidP="004419FD">
      <w:pPr>
        <w:pStyle w:val="gemStandard"/>
      </w:pPr>
      <w:r>
        <w:t>Anbietern von</w:t>
      </w:r>
      <w:r w:rsidR="00094740">
        <w:t xml:space="preserve"> Fachdiensten VSDM wer</w:t>
      </w:r>
      <w:r w:rsidR="008547C1">
        <w:t>den daher aufgrund des Kriterium</w:t>
      </w:r>
      <w:r w:rsidR="00094740">
        <w:t xml:space="preserve">s der </w:t>
      </w:r>
      <w:r w:rsidR="008547C1">
        <w:t>„</w:t>
      </w:r>
      <w:r w:rsidR="00094740">
        <w:t xml:space="preserve">Spezifikationshoheit </w:t>
      </w:r>
      <w:r w:rsidR="008547C1">
        <w:t xml:space="preserve">der gematik“ </w:t>
      </w:r>
      <w:r w:rsidR="00094740">
        <w:t xml:space="preserve">keine Module der Informationssicherheit oder des Datenschutzes zugeordnet. </w:t>
      </w:r>
    </w:p>
    <w:p w:rsidR="00F871BF" w:rsidRDefault="00F871BF" w:rsidP="004419FD">
      <w:pPr>
        <w:pStyle w:val="gemStandard"/>
        <w:rPr>
          <w:b/>
        </w:rPr>
      </w:pPr>
    </w:p>
    <w:p w:rsidR="00F871BF" w:rsidRDefault="00F871BF" w:rsidP="004419FD">
      <w:pPr>
        <w:pStyle w:val="gemStandard"/>
        <w:rPr>
          <w:b/>
        </w:rPr>
      </w:pPr>
    </w:p>
    <w:p w:rsidR="004419FD" w:rsidRPr="00235F83" w:rsidRDefault="004419FD" w:rsidP="004419FD">
      <w:pPr>
        <w:pStyle w:val="gemStandard"/>
        <w:rPr>
          <w:b/>
        </w:rPr>
      </w:pPr>
      <w:r>
        <w:rPr>
          <w:b/>
        </w:rPr>
        <w:lastRenderedPageBreak/>
        <w:t>Weitere</w:t>
      </w:r>
      <w:r w:rsidRPr="00235F83">
        <w:rPr>
          <w:b/>
        </w:rPr>
        <w:t xml:space="preserve"> Anwendungen</w:t>
      </w:r>
    </w:p>
    <w:p w:rsidR="004419FD" w:rsidRDefault="004419FD" w:rsidP="004419FD">
      <w:pPr>
        <w:pStyle w:val="gemStandard"/>
      </w:pPr>
      <w:r>
        <w:t xml:space="preserve">Weitere Anwendungen nach § 291a Abs. 7 Satz 3 SGB V werden nicht von der gematik spezifiziert. Der gesetzliche Auftrag der gematik beschränkt sich </w:t>
      </w:r>
      <w:r w:rsidR="00B85AD7">
        <w:t>bzgl.</w:t>
      </w:r>
      <w:r>
        <w:t xml:space="preserve"> der Spezifikation darauf, zu gewährleisten, dass nur </w:t>
      </w:r>
      <w:r w:rsidR="00B85AD7">
        <w:t>weitere</w:t>
      </w:r>
      <w:r>
        <w:t xml:space="preserve"> Anwendungen die TI nutzen, die die Vorschriften zum Datenschutz einhalten und ein angemessenes Sicherheitsniveau bzgl. ihrer Anwendung </w:t>
      </w:r>
      <w:r w:rsidR="0036211B">
        <w:t>bieten</w:t>
      </w:r>
      <w:r w:rsidR="009071C0">
        <w:t xml:space="preserve"> (vgl. § 291a Abs. 7 Satz 3 Nr. 2 SGB V)</w:t>
      </w:r>
      <w:r>
        <w:t>. Insbesondere spezifiziert die gematik keine Maßnahmen des Datenschutzes und der Informationssicherheit zum Schutz der Anwendungsdaten.</w:t>
      </w:r>
    </w:p>
    <w:p w:rsidR="004419FD" w:rsidRDefault="004419FD" w:rsidP="004419FD">
      <w:pPr>
        <w:pStyle w:val="gemStandard"/>
      </w:pPr>
      <w:r>
        <w:t>Es werden die Module „Basis-IS“ und „Basis-DS“ zugeordnet, um gemäß § 291a Abs. 7 Satz 3 Nr. 2 SGB V sicherzustellen, dass die Anbieter die Vorschriften zum Datenschutz und die Anforderungen der Informationssicherheit in ihrer weiteren Anwendung einhalten.</w:t>
      </w:r>
    </w:p>
    <w:p w:rsidR="004419FD" w:rsidRDefault="00265EEA" w:rsidP="0071250F">
      <w:pPr>
        <w:pStyle w:val="berschrift3"/>
      </w:pPr>
      <w:bookmarkStart w:id="227" w:name="_Toc503165526"/>
      <w:r>
        <w:t xml:space="preserve">B2.2 </w:t>
      </w:r>
      <w:r w:rsidRPr="008B4C32">
        <w:t>–</w:t>
      </w:r>
      <w:r>
        <w:t xml:space="preserve"> </w:t>
      </w:r>
      <w:r w:rsidR="00BC5B58">
        <w:t xml:space="preserve">Kriterium: </w:t>
      </w:r>
      <w:r w:rsidR="004419FD">
        <w:t>Beeinträchtigung der TI</w:t>
      </w:r>
      <w:bookmarkEnd w:id="227"/>
    </w:p>
    <w:p w:rsidR="004419FD" w:rsidRDefault="004419FD" w:rsidP="0085487E">
      <w:pPr>
        <w:pStyle w:val="gemStandard"/>
      </w:pPr>
      <w:r>
        <w:t xml:space="preserve">Dieses Kriterium unterscheidet die Anbieter danach, ob der </w:t>
      </w:r>
      <w:r w:rsidRPr="00A77328">
        <w:t xml:space="preserve">Verlust der Sicherheit </w:t>
      </w:r>
      <w:r>
        <w:t xml:space="preserve">ihres Dienstes den Datenschutz oder die Sicherheit der TI beeinträchtigen kann. </w:t>
      </w:r>
      <w:r w:rsidR="0085487E">
        <w:fldChar w:fldCharType="begin"/>
      </w:r>
      <w:r w:rsidR="0085487E">
        <w:instrText xml:space="preserve"> REF _Ref495309952 \h </w:instrText>
      </w:r>
      <w:r w:rsidR="0085487E">
        <w:fldChar w:fldCharType="separate"/>
      </w:r>
      <w:r w:rsidR="002F3BBF">
        <w:t xml:space="preserve">Tabelle </w:t>
      </w:r>
      <w:r w:rsidR="002F3BBF">
        <w:rPr>
          <w:noProof/>
        </w:rPr>
        <w:t>3</w:t>
      </w:r>
      <w:r w:rsidR="0085487E">
        <w:fldChar w:fldCharType="end"/>
      </w:r>
      <w:r w:rsidR="0085487E">
        <w:t xml:space="preserve"> </w:t>
      </w:r>
      <w:r>
        <w:t xml:space="preserve">zeigt die Zuordnung der Module nach diesem Kriterium. </w:t>
      </w:r>
    </w:p>
    <w:p w:rsidR="004419FD" w:rsidRDefault="004419FD" w:rsidP="004419FD">
      <w:pPr>
        <w:pStyle w:val="gemStandard"/>
      </w:pPr>
      <w:r>
        <w:t xml:space="preserve">Es werden einem Anbieter </w:t>
      </w:r>
      <w:r w:rsidR="000D1625">
        <w:t xml:space="preserve">nach diesem Kriterium </w:t>
      </w:r>
      <w:r>
        <w:t xml:space="preserve">keine Module zugeordnet, falls die Dienste des Anbieters so </w:t>
      </w:r>
      <w:r w:rsidR="0085487E">
        <w:t xml:space="preserve">an die TI angeschlossen </w:t>
      </w:r>
      <w:r>
        <w:t xml:space="preserve">werden, dass </w:t>
      </w:r>
      <w:r w:rsidR="0038230E">
        <w:t xml:space="preserve">eine Beeinträchtigung der </w:t>
      </w:r>
      <w:r w:rsidR="0085487E">
        <w:t xml:space="preserve">Sicherheit der </w:t>
      </w:r>
      <w:r w:rsidR="0038230E">
        <w:t xml:space="preserve">TI </w:t>
      </w:r>
      <w:r w:rsidR="0085487E">
        <w:t xml:space="preserve">durch den Verlust der Sicherheit des Dienstes </w:t>
      </w:r>
      <w:r w:rsidR="0038230E">
        <w:t>technisch ausgeschlossen ist</w:t>
      </w:r>
      <w:r>
        <w:t xml:space="preserve">. </w:t>
      </w:r>
    </w:p>
    <w:p w:rsidR="004419FD" w:rsidRDefault="004419FD" w:rsidP="004419FD">
      <w:pPr>
        <w:pStyle w:val="gemStandard"/>
      </w:pPr>
      <w:r>
        <w:t xml:space="preserve">Diensten der TI werden </w:t>
      </w:r>
      <w:r w:rsidR="0038230E">
        <w:t>alle</w:t>
      </w:r>
      <w:r>
        <w:t xml:space="preserve"> Module des Datenschutzes und der Informationssicherheit, mit Ausnahme des Moduls „Erweitertes ISMS“, zugeordnet, da d</w:t>
      </w:r>
      <w:r w:rsidRPr="0017318F">
        <w:t xml:space="preserve">er Verlust der Sicherheit eines Dienstes der TI die </w:t>
      </w:r>
      <w:r>
        <w:t xml:space="preserve">Sicherheit der </w:t>
      </w:r>
      <w:r w:rsidRPr="0017318F">
        <w:t>TI per Definition</w:t>
      </w:r>
      <w:r>
        <w:t xml:space="preserve"> </w:t>
      </w:r>
      <w:r w:rsidRPr="0017318F">
        <w:t>beeinträchtigt.</w:t>
      </w:r>
    </w:p>
    <w:p w:rsidR="004419FD" w:rsidRDefault="004419FD" w:rsidP="004419FD">
      <w:pPr>
        <w:pStyle w:val="gemStandard"/>
      </w:pPr>
      <w:r>
        <w:t xml:space="preserve">Das Modul „Erweitertes ISMS“ ist nur von Anbietern der Dienste der zentralen TI-Plattform umzusetzen, da die </w:t>
      </w:r>
      <w:r w:rsidRPr="006F3EE1">
        <w:t xml:space="preserve">Aufrechterhaltung von </w:t>
      </w:r>
      <w:r>
        <w:t>S</w:t>
      </w:r>
      <w:r w:rsidRPr="006F3EE1">
        <w:t xml:space="preserve">icherheit und Datenschutz bei diesen Diensten von besonderer Bedeutung </w:t>
      </w:r>
      <w:r>
        <w:t>für alle Teilnehmer der TI ist. Sie werden daher gemä</w:t>
      </w:r>
      <w:r w:rsidR="0036211B">
        <w:t>ß dem</w:t>
      </w:r>
      <w:r>
        <w:t xml:space="preserve"> Modul „Erweitertes ISMS“ stärker bzgl. </w:t>
      </w:r>
      <w:r w:rsidR="0036211B">
        <w:t xml:space="preserve">der </w:t>
      </w:r>
      <w:r>
        <w:t xml:space="preserve">Sicherheit kontrolliert. </w:t>
      </w:r>
    </w:p>
    <w:p w:rsidR="004419FD" w:rsidRDefault="004419FD" w:rsidP="004419FD">
      <w:pPr>
        <w:pStyle w:val="gemStandard"/>
      </w:pPr>
      <w:r>
        <w:t xml:space="preserve">Kann für einen Dienst einer weiteren Anwendung </w:t>
      </w:r>
      <w:r w:rsidR="0038230E">
        <w:t xml:space="preserve">eine Beeinträchtigung der TI </w:t>
      </w:r>
      <w:r>
        <w:t>nicht t</w:t>
      </w:r>
      <w:r w:rsidR="0038230E">
        <w:t>echnisch ausgeschlossen werden</w:t>
      </w:r>
      <w:r>
        <w:t xml:space="preserve">, so werden auch dem Anbieter der weiteren Anwendung </w:t>
      </w:r>
      <w:r w:rsidR="0038230E">
        <w:t>alle</w:t>
      </w:r>
      <w:r>
        <w:t xml:space="preserve"> Module zugeordnet, mit Ausnahme der Module „Erweitertes ISMS“, „Erweiterter TI-Sicherheitsbericht“ und „Erweiterter TI-Datenschutzbericht“. Das Modul „Erweitertes ISMS“ wird nicht zugeordnet, da die Dienste der weiteren Anwendung, anders als Dienste der TI-Plattform, nicht von allen Teilnehmern der TI genutzt werden. Für weitere Anwendungen sind die Berichte der Module „TI-Sicherheitsbericht“ und „TI-Datenschutzbericht“ ausreichend</w:t>
      </w:r>
      <w:r w:rsidR="0085487E">
        <w:t xml:space="preserve"> zur Erfüllung des gesetzlichen Auftrags der gematik</w:t>
      </w:r>
      <w:r>
        <w:t xml:space="preserve">. </w:t>
      </w:r>
    </w:p>
    <w:p w:rsidR="003249BF" w:rsidRDefault="003249BF" w:rsidP="004419FD">
      <w:pPr>
        <w:pStyle w:val="gemStandard"/>
      </w:pPr>
      <w:r>
        <w:t xml:space="preserve">Bei den Fachdiensten VSDM </w:t>
      </w:r>
      <w:r w:rsidR="00B83A05">
        <w:t>wird</w:t>
      </w:r>
      <w:r>
        <w:t xml:space="preserve"> </w:t>
      </w:r>
      <w:r w:rsidR="00CE0C51">
        <w:t>–</w:t>
      </w:r>
      <w:r w:rsidR="00B83A05">
        <w:t xml:space="preserve"> </w:t>
      </w:r>
      <w:r>
        <w:t>analog zu den Diensten der weiteren Anwendungen</w:t>
      </w:r>
      <w:r w:rsidR="00B83A05">
        <w:t xml:space="preserve"> </w:t>
      </w:r>
      <w:r w:rsidR="00083D70">
        <w:t>–</w:t>
      </w:r>
      <w:r>
        <w:t xml:space="preserve"> </w:t>
      </w:r>
      <w:r w:rsidR="00083D70">
        <w:t xml:space="preserve">bei der Zuordnung der Module </w:t>
      </w:r>
      <w:r w:rsidR="00B83A05">
        <w:t>berücksichtigt</w:t>
      </w:r>
      <w:r>
        <w:t xml:space="preserve">, ob eine Beeinträchtigung der Sicherheit und des Datenschutzes der TI </w:t>
      </w:r>
      <w:r w:rsidR="00B83A05">
        <w:t>bei</w:t>
      </w:r>
      <w:r>
        <w:t xml:space="preserve"> Verlust der Sicherheit oder </w:t>
      </w:r>
      <w:r w:rsidR="00B83A05">
        <w:t xml:space="preserve">des </w:t>
      </w:r>
      <w:r>
        <w:t xml:space="preserve">Datenschutzes eines Fachdienstes VSDM technisch ausgeschlossen werden kann. Ist eine Beeinträchtigung </w:t>
      </w:r>
      <w:r w:rsidR="00B83A05">
        <w:t xml:space="preserve">der TI </w:t>
      </w:r>
      <w:r>
        <w:t>technisch ausgeschlossen, so werden keine Module zugeordnet. Ist eine Beeinträchti</w:t>
      </w:r>
      <w:r w:rsidR="002F3BBF">
        <w:t>gu</w:t>
      </w:r>
      <w:r>
        <w:t xml:space="preserve">ng der TI nicht ausgeschlossen, werden </w:t>
      </w:r>
      <w:r w:rsidR="00B83A05">
        <w:t xml:space="preserve">die Module „Basis-IS“ und „Basis-ISMS“ </w:t>
      </w:r>
      <w:r w:rsidR="0086212D">
        <w:t xml:space="preserve">sowie „Basis-DS“ </w:t>
      </w:r>
      <w:r w:rsidR="00B83A05">
        <w:t>zugeordnet. Zusammen</w:t>
      </w:r>
      <w:r>
        <w:t xml:space="preserve"> mit der Prüfung der Fachdienste gemäß § 274 A</w:t>
      </w:r>
      <w:r w:rsidR="00B83A05">
        <w:t>bs</w:t>
      </w:r>
      <w:r>
        <w:t xml:space="preserve">. 1 SGB V </w:t>
      </w:r>
      <w:r w:rsidR="00B83A05">
        <w:t xml:space="preserve">(vgl. Anhang C) </w:t>
      </w:r>
      <w:r>
        <w:t xml:space="preserve">wird so der gesetzliche Auftrag der gematik </w:t>
      </w:r>
      <w:r w:rsidR="00B83A05">
        <w:t>gemäß §</w:t>
      </w:r>
      <w:r w:rsidR="00133EE7">
        <w:t> </w:t>
      </w:r>
      <w:r w:rsidR="00B83A05">
        <w:t>291b Abs. 1 SGB V zur Gewährleistung eines sichereren Betriebs der TI und zur Sicherstellung der</w:t>
      </w:r>
      <w:r w:rsidR="005747BF">
        <w:t xml:space="preserve"> Einhaltung der Vor</w:t>
      </w:r>
      <w:r w:rsidR="00B83A05">
        <w:t xml:space="preserve">schriften zum Datenschutz in der TI umgesetzt. </w:t>
      </w:r>
    </w:p>
    <w:p w:rsidR="003249BF" w:rsidRDefault="00B83A05" w:rsidP="004419FD">
      <w:pPr>
        <w:pStyle w:val="gemStandard"/>
      </w:pPr>
      <w:r>
        <w:lastRenderedPageBreak/>
        <w:t xml:space="preserve">In der </w:t>
      </w:r>
      <w:r w:rsidRPr="00B83A05">
        <w:t>derzeit</w:t>
      </w:r>
      <w:r w:rsidR="00133EE7">
        <w:t>ig</w:t>
      </w:r>
      <w:r w:rsidRPr="00B83A05">
        <w:t xml:space="preserve">en Form des Anschlusses </w:t>
      </w:r>
      <w:r>
        <w:t>der Fachdienste VSDM an die TI ist eine Beinträchtigung der Sicherheit und des Datenschutzes der TI bei Verlust der Sicherheit oder des Datenschutzes eines Fachdienstes VSDM technisch</w:t>
      </w:r>
      <w:r w:rsidR="00133EE7">
        <w:t xml:space="preserve"> </w:t>
      </w:r>
      <w:r w:rsidR="00133EE7" w:rsidRPr="00B83A05">
        <w:t>nicht</w:t>
      </w:r>
      <w:r>
        <w:t xml:space="preserve"> ausgeschlossen. </w:t>
      </w:r>
    </w:p>
    <w:p w:rsidR="00083D70" w:rsidRDefault="00083D70" w:rsidP="0071250F">
      <w:pPr>
        <w:pStyle w:val="Beschriftung"/>
      </w:pPr>
      <w:bookmarkStart w:id="228" w:name="_Ref490223117"/>
    </w:p>
    <w:p w:rsidR="004419FD" w:rsidRDefault="004419FD" w:rsidP="0071250F">
      <w:pPr>
        <w:pStyle w:val="Beschriftung"/>
      </w:pPr>
      <w:bookmarkStart w:id="229" w:name="_Ref495309952"/>
      <w:bookmarkStart w:id="230" w:name="_Toc496518440"/>
      <w:r>
        <w:t xml:space="preserve">Tabelle </w:t>
      </w:r>
      <w:fldSimple w:instr=" SEQ Tabelle \* ARABIC ">
        <w:r w:rsidR="002F3BBF">
          <w:rPr>
            <w:noProof/>
          </w:rPr>
          <w:t>3</w:t>
        </w:r>
      </w:fldSimple>
      <w:bookmarkEnd w:id="228"/>
      <w:bookmarkEnd w:id="229"/>
      <w:r>
        <w:t xml:space="preserve"> </w:t>
      </w:r>
      <w:r w:rsidR="00556D48">
        <w:t>–</w:t>
      </w:r>
      <w:r>
        <w:t xml:space="preserve"> Modulzuordnung bzgl. </w:t>
      </w:r>
      <w:r w:rsidRPr="00192C78">
        <w:t xml:space="preserve">der </w:t>
      </w:r>
      <w:r>
        <w:t>Möglichkeit, die TI zu beeinträchtigen</w:t>
      </w:r>
      <w:bookmarkEnd w:id="230"/>
    </w:p>
    <w:tbl>
      <w:tblPr>
        <w:tblStyle w:val="Tabellenraster"/>
        <w:tblW w:w="0" w:type="auto"/>
        <w:tblLayout w:type="fixed"/>
        <w:tblLook w:val="04A0" w:firstRow="1" w:lastRow="0" w:firstColumn="1" w:lastColumn="0" w:noHBand="0" w:noVBand="1"/>
      </w:tblPr>
      <w:tblGrid>
        <w:gridCol w:w="1242"/>
        <w:gridCol w:w="1418"/>
        <w:gridCol w:w="2977"/>
        <w:gridCol w:w="3260"/>
      </w:tblGrid>
      <w:tr w:rsidR="004419FD" w:rsidRPr="00F44AA9" w:rsidTr="004419FD">
        <w:trPr>
          <w:tblHeader/>
        </w:trPr>
        <w:tc>
          <w:tcPr>
            <w:tcW w:w="1242" w:type="dxa"/>
            <w:shd w:val="clear" w:color="auto" w:fill="8DB3E2" w:themeFill="text2" w:themeFillTint="66"/>
          </w:tcPr>
          <w:p w:rsidR="004419FD" w:rsidRPr="00F44AA9" w:rsidRDefault="004419FD" w:rsidP="004419FD">
            <w:pPr>
              <w:pStyle w:val="gemTab10pt"/>
              <w:rPr>
                <w:b/>
                <w:sz w:val="18"/>
              </w:rPr>
            </w:pPr>
            <w:r w:rsidRPr="00F44AA9">
              <w:rPr>
                <w:b/>
                <w:sz w:val="18"/>
              </w:rPr>
              <w:t>Grad der</w:t>
            </w:r>
            <w:r>
              <w:rPr>
                <w:b/>
                <w:sz w:val="18"/>
              </w:rPr>
              <w:t xml:space="preserve"> möglichen </w:t>
            </w:r>
            <w:proofErr w:type="spellStart"/>
            <w:r>
              <w:rPr>
                <w:b/>
                <w:sz w:val="18"/>
              </w:rPr>
              <w:t>Beeinträch-tigung</w:t>
            </w:r>
            <w:proofErr w:type="spellEnd"/>
            <w:r>
              <w:rPr>
                <w:b/>
                <w:sz w:val="18"/>
              </w:rPr>
              <w:t xml:space="preserve"> </w:t>
            </w:r>
            <w:r w:rsidRPr="00F44AA9">
              <w:rPr>
                <w:b/>
                <w:sz w:val="18"/>
              </w:rPr>
              <w:t>der TI</w:t>
            </w:r>
          </w:p>
        </w:tc>
        <w:tc>
          <w:tcPr>
            <w:tcW w:w="1418" w:type="dxa"/>
            <w:shd w:val="clear" w:color="auto" w:fill="8DB3E2" w:themeFill="text2" w:themeFillTint="66"/>
          </w:tcPr>
          <w:p w:rsidR="004419FD" w:rsidRPr="00F44AA9" w:rsidRDefault="004419FD" w:rsidP="004419FD">
            <w:pPr>
              <w:pStyle w:val="gemTab10pt"/>
              <w:rPr>
                <w:b/>
                <w:sz w:val="18"/>
              </w:rPr>
            </w:pPr>
            <w:r>
              <w:rPr>
                <w:b/>
                <w:sz w:val="18"/>
              </w:rPr>
              <w:t>Anbieter</w:t>
            </w:r>
          </w:p>
        </w:tc>
        <w:tc>
          <w:tcPr>
            <w:tcW w:w="2977" w:type="dxa"/>
            <w:shd w:val="clear" w:color="auto" w:fill="8DB3E2" w:themeFill="text2" w:themeFillTint="66"/>
          </w:tcPr>
          <w:p w:rsidR="004419FD" w:rsidRPr="00F44AA9" w:rsidRDefault="004419FD" w:rsidP="004419FD">
            <w:pPr>
              <w:pStyle w:val="gemTab10pt"/>
              <w:rPr>
                <w:b/>
                <w:sz w:val="18"/>
              </w:rPr>
            </w:pPr>
            <w:r w:rsidRPr="00F44AA9">
              <w:rPr>
                <w:b/>
                <w:sz w:val="18"/>
              </w:rPr>
              <w:t>Beschreibung</w:t>
            </w:r>
          </w:p>
        </w:tc>
        <w:tc>
          <w:tcPr>
            <w:tcW w:w="3260" w:type="dxa"/>
            <w:shd w:val="clear" w:color="auto" w:fill="8DB3E2" w:themeFill="text2" w:themeFillTint="66"/>
          </w:tcPr>
          <w:p w:rsidR="004419FD" w:rsidRPr="00F44AA9" w:rsidRDefault="004419FD" w:rsidP="004419FD">
            <w:pPr>
              <w:pStyle w:val="gemTab10pt"/>
              <w:rPr>
                <w:b/>
                <w:sz w:val="18"/>
              </w:rPr>
            </w:pPr>
            <w:r w:rsidRPr="00F44AA9">
              <w:rPr>
                <w:b/>
                <w:sz w:val="18"/>
              </w:rPr>
              <w:t>Module</w:t>
            </w:r>
          </w:p>
          <w:p w:rsidR="004419FD" w:rsidRPr="00F44AA9" w:rsidRDefault="004419FD" w:rsidP="004419FD">
            <w:pPr>
              <w:pStyle w:val="gemTab10pt"/>
              <w:rPr>
                <w:b/>
                <w:sz w:val="18"/>
              </w:rPr>
            </w:pPr>
          </w:p>
        </w:tc>
      </w:tr>
      <w:tr w:rsidR="0047622B" w:rsidRPr="00F44AA9" w:rsidTr="0047622B">
        <w:trPr>
          <w:trHeight w:val="114"/>
        </w:trPr>
        <w:tc>
          <w:tcPr>
            <w:tcW w:w="1242" w:type="dxa"/>
            <w:vMerge w:val="restart"/>
          </w:tcPr>
          <w:p w:rsidR="0047622B" w:rsidRPr="00F44AA9" w:rsidRDefault="0047622B" w:rsidP="004419FD">
            <w:pPr>
              <w:pStyle w:val="gemTab10pt"/>
              <w:rPr>
                <w:sz w:val="18"/>
              </w:rPr>
            </w:pPr>
            <w:r w:rsidRPr="00F44AA9">
              <w:rPr>
                <w:sz w:val="18"/>
              </w:rPr>
              <w:t>keine Beeinträchtigung möglich</w:t>
            </w:r>
          </w:p>
        </w:tc>
        <w:tc>
          <w:tcPr>
            <w:tcW w:w="1418" w:type="dxa"/>
            <w:vMerge w:val="restart"/>
          </w:tcPr>
          <w:p w:rsidR="0047622B" w:rsidRPr="00F44AA9" w:rsidRDefault="0047622B" w:rsidP="004419FD">
            <w:pPr>
              <w:pStyle w:val="gemTab10pt"/>
              <w:rPr>
                <w:sz w:val="18"/>
              </w:rPr>
            </w:pPr>
            <w:r>
              <w:rPr>
                <w:sz w:val="18"/>
              </w:rPr>
              <w:t>weitere Anwendungen</w:t>
            </w:r>
          </w:p>
        </w:tc>
        <w:tc>
          <w:tcPr>
            <w:tcW w:w="2977" w:type="dxa"/>
            <w:vMerge w:val="restart"/>
          </w:tcPr>
          <w:p w:rsidR="0047622B" w:rsidRDefault="0047622B" w:rsidP="004419FD">
            <w:pPr>
              <w:pStyle w:val="gemTab10pt"/>
              <w:rPr>
                <w:sz w:val="18"/>
              </w:rPr>
            </w:pPr>
            <w:r w:rsidRPr="00F44AA9">
              <w:rPr>
                <w:sz w:val="18"/>
              </w:rPr>
              <w:t xml:space="preserve">Die Sicherheit der Betriebsumgebung des Dienstes der weiteren Anwendung hat keinen Einfluss auf die Sicherheit der TI. </w:t>
            </w:r>
          </w:p>
          <w:p w:rsidR="0047622B" w:rsidRDefault="0047622B" w:rsidP="004419FD">
            <w:pPr>
              <w:pStyle w:val="gemTab10pt"/>
              <w:rPr>
                <w:sz w:val="18"/>
              </w:rPr>
            </w:pPr>
          </w:p>
          <w:p w:rsidR="0047622B" w:rsidRPr="00F44AA9" w:rsidRDefault="0047622B" w:rsidP="004419FD">
            <w:pPr>
              <w:pStyle w:val="gemTab10pt"/>
              <w:rPr>
                <w:sz w:val="18"/>
              </w:rPr>
            </w:pPr>
          </w:p>
        </w:tc>
        <w:tc>
          <w:tcPr>
            <w:tcW w:w="3260" w:type="dxa"/>
            <w:shd w:val="clear" w:color="auto" w:fill="DBE5F1" w:themeFill="accent1" w:themeFillTint="33"/>
          </w:tcPr>
          <w:p w:rsidR="0047622B" w:rsidRPr="00F44AA9" w:rsidRDefault="0047622B" w:rsidP="004419FD">
            <w:pPr>
              <w:pStyle w:val="gemTab10pt"/>
              <w:rPr>
                <w:sz w:val="18"/>
              </w:rPr>
            </w:pPr>
            <w:r w:rsidRPr="00F44AA9">
              <w:rPr>
                <w:sz w:val="18"/>
              </w:rPr>
              <w:t>Module Informationssicherheit</w:t>
            </w:r>
          </w:p>
        </w:tc>
      </w:tr>
      <w:tr w:rsidR="0047622B" w:rsidRPr="00F44AA9" w:rsidTr="0047622B">
        <w:trPr>
          <w:trHeight w:val="371"/>
        </w:trPr>
        <w:tc>
          <w:tcPr>
            <w:tcW w:w="1242" w:type="dxa"/>
            <w:vMerge/>
          </w:tcPr>
          <w:p w:rsidR="0047622B" w:rsidRPr="00F44AA9" w:rsidRDefault="0047622B" w:rsidP="004419FD">
            <w:pPr>
              <w:pStyle w:val="gemTab10pt"/>
              <w:rPr>
                <w:sz w:val="18"/>
              </w:rPr>
            </w:pPr>
          </w:p>
        </w:tc>
        <w:tc>
          <w:tcPr>
            <w:tcW w:w="1418" w:type="dxa"/>
            <w:vMerge/>
          </w:tcPr>
          <w:p w:rsidR="0047622B" w:rsidRPr="00F44AA9" w:rsidRDefault="0047622B" w:rsidP="004419FD">
            <w:pPr>
              <w:pStyle w:val="gemTab10pt"/>
              <w:rPr>
                <w:sz w:val="18"/>
              </w:rPr>
            </w:pPr>
          </w:p>
        </w:tc>
        <w:tc>
          <w:tcPr>
            <w:tcW w:w="2977" w:type="dxa"/>
            <w:vMerge/>
          </w:tcPr>
          <w:p w:rsidR="0047622B" w:rsidRPr="00F44AA9" w:rsidRDefault="0047622B" w:rsidP="004419FD">
            <w:pPr>
              <w:pStyle w:val="gemTab10pt"/>
              <w:rPr>
                <w:sz w:val="18"/>
              </w:rPr>
            </w:pPr>
          </w:p>
        </w:tc>
        <w:tc>
          <w:tcPr>
            <w:tcW w:w="3260" w:type="dxa"/>
          </w:tcPr>
          <w:p w:rsidR="0047622B" w:rsidRPr="00F44AA9" w:rsidRDefault="0047622B" w:rsidP="004419FD">
            <w:pPr>
              <w:pStyle w:val="gemTab10pt"/>
              <w:rPr>
                <w:rFonts w:ascii="Wingdings 2" w:hAnsi="Wingdings 2"/>
                <w:sz w:val="18"/>
              </w:rPr>
            </w:pPr>
          </w:p>
          <w:p w:rsidR="0047622B" w:rsidRPr="00F44AA9" w:rsidRDefault="0047622B" w:rsidP="004419F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Basis-IS</w:t>
            </w:r>
          </w:p>
          <w:p w:rsidR="0047622B" w:rsidRPr="00F44AA9" w:rsidRDefault="0047622B" w:rsidP="004419F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 xml:space="preserve">Basis-ISMS </w:t>
            </w:r>
          </w:p>
          <w:p w:rsidR="0047622B" w:rsidRPr="00F44AA9" w:rsidRDefault="0047622B" w:rsidP="004419F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Erweitertes ISMS</w:t>
            </w:r>
          </w:p>
          <w:p w:rsidR="0047622B" w:rsidRPr="00F44AA9" w:rsidRDefault="0047622B" w:rsidP="004419F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TI-Sicher</w:t>
            </w:r>
            <w:r w:rsidRPr="00F44AA9">
              <w:rPr>
                <w:sz w:val="18"/>
              </w:rPr>
              <w:softHyphen/>
              <w:t>heits</w:t>
            </w:r>
            <w:r w:rsidRPr="00F44AA9">
              <w:rPr>
                <w:sz w:val="18"/>
              </w:rPr>
              <w:softHyphen/>
              <w:t>bericht</w:t>
            </w:r>
          </w:p>
          <w:p w:rsidR="0047622B" w:rsidRDefault="0047622B" w:rsidP="004419F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Er</w:t>
            </w:r>
            <w:r>
              <w:rPr>
                <w:sz w:val="18"/>
              </w:rPr>
              <w:t>weiterter TI-Sicherheitsbericht</w:t>
            </w:r>
          </w:p>
          <w:p w:rsidR="008E573F" w:rsidRPr="00F44AA9" w:rsidRDefault="008E573F" w:rsidP="004419FD">
            <w:pPr>
              <w:pStyle w:val="gemTab10pt"/>
              <w:rPr>
                <w:sz w:val="18"/>
              </w:rPr>
            </w:pPr>
          </w:p>
        </w:tc>
      </w:tr>
      <w:tr w:rsidR="0047622B" w:rsidRPr="00F44AA9" w:rsidTr="0047622B">
        <w:trPr>
          <w:trHeight w:val="220"/>
        </w:trPr>
        <w:tc>
          <w:tcPr>
            <w:tcW w:w="1242" w:type="dxa"/>
            <w:vMerge/>
          </w:tcPr>
          <w:p w:rsidR="0047622B" w:rsidRPr="00F44AA9" w:rsidRDefault="0047622B" w:rsidP="004419FD">
            <w:pPr>
              <w:pStyle w:val="gemTab10pt"/>
              <w:rPr>
                <w:sz w:val="18"/>
              </w:rPr>
            </w:pPr>
          </w:p>
        </w:tc>
        <w:tc>
          <w:tcPr>
            <w:tcW w:w="1418" w:type="dxa"/>
            <w:vMerge/>
          </w:tcPr>
          <w:p w:rsidR="0047622B" w:rsidRPr="00F44AA9" w:rsidRDefault="0047622B" w:rsidP="004419FD">
            <w:pPr>
              <w:pStyle w:val="gemTab10pt"/>
              <w:rPr>
                <w:sz w:val="18"/>
              </w:rPr>
            </w:pPr>
          </w:p>
        </w:tc>
        <w:tc>
          <w:tcPr>
            <w:tcW w:w="2977" w:type="dxa"/>
            <w:vMerge/>
          </w:tcPr>
          <w:p w:rsidR="0047622B" w:rsidRPr="00F44AA9" w:rsidRDefault="0047622B" w:rsidP="004419FD">
            <w:pPr>
              <w:pStyle w:val="gemTab10pt"/>
              <w:rPr>
                <w:sz w:val="18"/>
              </w:rPr>
            </w:pPr>
          </w:p>
        </w:tc>
        <w:tc>
          <w:tcPr>
            <w:tcW w:w="3260" w:type="dxa"/>
            <w:shd w:val="clear" w:color="auto" w:fill="DBE5F1" w:themeFill="accent1" w:themeFillTint="33"/>
          </w:tcPr>
          <w:p w:rsidR="0047622B" w:rsidRPr="0047622B" w:rsidRDefault="0047622B" w:rsidP="004419FD">
            <w:pPr>
              <w:pStyle w:val="gemTab10pt"/>
              <w:rPr>
                <w:sz w:val="18"/>
                <w:highlight w:val="yellow"/>
              </w:rPr>
            </w:pPr>
            <w:r w:rsidRPr="0047622B">
              <w:rPr>
                <w:sz w:val="18"/>
                <w:highlight w:val="yellow"/>
              </w:rPr>
              <w:t xml:space="preserve">Module </w:t>
            </w:r>
            <w:commentRangeStart w:id="231"/>
            <w:r w:rsidRPr="0047622B">
              <w:rPr>
                <w:sz w:val="18"/>
                <w:highlight w:val="yellow"/>
              </w:rPr>
              <w:t>Datenschutz</w:t>
            </w:r>
            <w:commentRangeEnd w:id="231"/>
            <w:r>
              <w:rPr>
                <w:rStyle w:val="Kommentarzeichen"/>
              </w:rPr>
              <w:commentReference w:id="231"/>
            </w:r>
          </w:p>
        </w:tc>
      </w:tr>
      <w:tr w:rsidR="0047622B" w:rsidRPr="00F44AA9" w:rsidTr="004419FD">
        <w:trPr>
          <w:trHeight w:val="371"/>
        </w:trPr>
        <w:tc>
          <w:tcPr>
            <w:tcW w:w="1242" w:type="dxa"/>
            <w:vMerge/>
          </w:tcPr>
          <w:p w:rsidR="0047622B" w:rsidRPr="00F44AA9" w:rsidRDefault="0047622B" w:rsidP="004419FD">
            <w:pPr>
              <w:pStyle w:val="gemTab10pt"/>
              <w:rPr>
                <w:sz w:val="18"/>
              </w:rPr>
            </w:pPr>
          </w:p>
        </w:tc>
        <w:tc>
          <w:tcPr>
            <w:tcW w:w="1418" w:type="dxa"/>
            <w:vMerge/>
          </w:tcPr>
          <w:p w:rsidR="0047622B" w:rsidRPr="00F44AA9" w:rsidRDefault="0047622B" w:rsidP="004419FD">
            <w:pPr>
              <w:pStyle w:val="gemTab10pt"/>
              <w:rPr>
                <w:sz w:val="18"/>
              </w:rPr>
            </w:pPr>
          </w:p>
        </w:tc>
        <w:tc>
          <w:tcPr>
            <w:tcW w:w="2977" w:type="dxa"/>
            <w:vMerge/>
          </w:tcPr>
          <w:p w:rsidR="0047622B" w:rsidRPr="00F44AA9" w:rsidRDefault="0047622B" w:rsidP="004419FD">
            <w:pPr>
              <w:pStyle w:val="gemTab10pt"/>
              <w:rPr>
                <w:sz w:val="18"/>
              </w:rPr>
            </w:pPr>
          </w:p>
        </w:tc>
        <w:tc>
          <w:tcPr>
            <w:tcW w:w="3260" w:type="dxa"/>
          </w:tcPr>
          <w:p w:rsidR="0047622B" w:rsidRPr="0047622B" w:rsidRDefault="0047622B" w:rsidP="0047622B">
            <w:pPr>
              <w:pStyle w:val="gemTab10pt"/>
              <w:rPr>
                <w:rFonts w:ascii="Wingdings" w:hAnsi="Wingdings"/>
                <w:sz w:val="18"/>
                <w:highlight w:val="yellow"/>
              </w:rPr>
            </w:pPr>
          </w:p>
          <w:p w:rsidR="0047622B" w:rsidRPr="0047622B" w:rsidRDefault="0047622B" w:rsidP="0047622B">
            <w:pPr>
              <w:pStyle w:val="gemTab10pt"/>
              <w:rPr>
                <w:sz w:val="18"/>
                <w:highlight w:val="yellow"/>
              </w:rPr>
            </w:pPr>
            <w:r w:rsidRPr="0047622B">
              <w:rPr>
                <w:rFonts w:ascii="Wingdings" w:hAnsi="Wingdings"/>
                <w:sz w:val="18"/>
                <w:highlight w:val="yellow"/>
              </w:rPr>
              <w:t></w:t>
            </w:r>
            <w:r w:rsidRPr="0047622B">
              <w:rPr>
                <w:rFonts w:ascii="Wingdings 2" w:hAnsi="Wingdings 2"/>
                <w:sz w:val="18"/>
                <w:highlight w:val="yellow"/>
              </w:rPr>
              <w:t></w:t>
            </w:r>
            <w:r w:rsidRPr="0047622B">
              <w:rPr>
                <w:sz w:val="18"/>
                <w:highlight w:val="yellow"/>
              </w:rPr>
              <w:t>Basis-DS</w:t>
            </w:r>
          </w:p>
          <w:p w:rsidR="0047622B" w:rsidRPr="0047622B" w:rsidRDefault="0047622B" w:rsidP="0047622B">
            <w:pPr>
              <w:pStyle w:val="gemTab10pt"/>
              <w:rPr>
                <w:sz w:val="18"/>
                <w:highlight w:val="yellow"/>
              </w:rPr>
            </w:pPr>
            <w:r w:rsidRPr="0047622B">
              <w:rPr>
                <w:rFonts w:ascii="Wingdings" w:hAnsi="Wingdings"/>
                <w:sz w:val="18"/>
                <w:highlight w:val="yellow"/>
              </w:rPr>
              <w:t></w:t>
            </w:r>
            <w:r w:rsidRPr="0047622B">
              <w:rPr>
                <w:rFonts w:ascii="Wingdings 2" w:hAnsi="Wingdings 2"/>
                <w:sz w:val="18"/>
                <w:highlight w:val="yellow"/>
              </w:rPr>
              <w:t></w:t>
            </w:r>
            <w:proofErr w:type="spellStart"/>
            <w:r w:rsidRPr="0047622B">
              <w:rPr>
                <w:sz w:val="18"/>
                <w:highlight w:val="yellow"/>
              </w:rPr>
              <w:t>TI-Daten</w:t>
            </w:r>
            <w:r w:rsidRPr="0047622B">
              <w:rPr>
                <w:sz w:val="18"/>
                <w:highlight w:val="yellow"/>
              </w:rPr>
              <w:softHyphen/>
              <w:t>schutz</w:t>
            </w:r>
            <w:r w:rsidRPr="0047622B">
              <w:rPr>
                <w:sz w:val="18"/>
                <w:highlight w:val="yellow"/>
              </w:rPr>
              <w:softHyphen/>
              <w:t>bericht</w:t>
            </w:r>
            <w:proofErr w:type="spellEnd"/>
          </w:p>
          <w:p w:rsidR="0047622B" w:rsidRPr="0047622B" w:rsidRDefault="0047622B" w:rsidP="0047622B">
            <w:pPr>
              <w:pStyle w:val="gemTab10pt"/>
              <w:rPr>
                <w:sz w:val="18"/>
                <w:highlight w:val="yellow"/>
              </w:rPr>
            </w:pPr>
            <w:r w:rsidRPr="0047622B">
              <w:rPr>
                <w:rFonts w:ascii="Wingdings" w:hAnsi="Wingdings"/>
                <w:sz w:val="18"/>
                <w:highlight w:val="yellow"/>
              </w:rPr>
              <w:t></w:t>
            </w:r>
            <w:r w:rsidRPr="0047622B">
              <w:rPr>
                <w:rFonts w:ascii="Wingdings 2" w:hAnsi="Wingdings 2"/>
                <w:sz w:val="18"/>
                <w:highlight w:val="yellow"/>
              </w:rPr>
              <w:t></w:t>
            </w:r>
            <w:r w:rsidRPr="0047622B">
              <w:rPr>
                <w:sz w:val="18"/>
                <w:highlight w:val="yellow"/>
              </w:rPr>
              <w:t>Erweiterter TI-Datenschutzbericht</w:t>
            </w:r>
          </w:p>
          <w:p w:rsidR="0047622B" w:rsidRPr="0047622B" w:rsidRDefault="0047622B" w:rsidP="0047622B">
            <w:pPr>
              <w:pStyle w:val="gemTab10pt"/>
              <w:rPr>
                <w:rFonts w:ascii="Wingdings 2" w:hAnsi="Wingdings 2"/>
                <w:sz w:val="18"/>
                <w:highlight w:val="yellow"/>
              </w:rPr>
            </w:pPr>
          </w:p>
        </w:tc>
      </w:tr>
      <w:tr w:rsidR="0047622B" w:rsidRPr="00F44AA9" w:rsidTr="004419FD">
        <w:trPr>
          <w:trHeight w:val="181"/>
        </w:trPr>
        <w:tc>
          <w:tcPr>
            <w:tcW w:w="1242" w:type="dxa"/>
            <w:vMerge/>
          </w:tcPr>
          <w:p w:rsidR="0047622B" w:rsidRPr="00F44AA9" w:rsidRDefault="0047622B" w:rsidP="004419FD">
            <w:pPr>
              <w:pStyle w:val="gemTab10pt"/>
              <w:rPr>
                <w:sz w:val="18"/>
              </w:rPr>
            </w:pPr>
          </w:p>
        </w:tc>
        <w:tc>
          <w:tcPr>
            <w:tcW w:w="1418" w:type="dxa"/>
            <w:vMerge w:val="restart"/>
          </w:tcPr>
          <w:p w:rsidR="0047622B" w:rsidRPr="00F44AA9" w:rsidRDefault="0047622B" w:rsidP="004419FD">
            <w:pPr>
              <w:pStyle w:val="gemTab10pt"/>
              <w:rPr>
                <w:sz w:val="18"/>
              </w:rPr>
            </w:pPr>
            <w:r>
              <w:rPr>
                <w:sz w:val="18"/>
              </w:rPr>
              <w:t>Fachdienste VSDM</w:t>
            </w:r>
          </w:p>
        </w:tc>
        <w:tc>
          <w:tcPr>
            <w:tcW w:w="2977" w:type="dxa"/>
            <w:vMerge w:val="restart"/>
          </w:tcPr>
          <w:p w:rsidR="0047622B" w:rsidRDefault="0047622B" w:rsidP="00F17E30">
            <w:pPr>
              <w:pStyle w:val="gemTab10pt"/>
              <w:rPr>
                <w:sz w:val="18"/>
              </w:rPr>
            </w:pPr>
            <w:r w:rsidRPr="00F44AA9">
              <w:rPr>
                <w:sz w:val="18"/>
              </w:rPr>
              <w:t xml:space="preserve">Die Sicherheit der Betriebsumgebung des </w:t>
            </w:r>
            <w:r>
              <w:rPr>
                <w:sz w:val="18"/>
              </w:rPr>
              <w:t xml:space="preserve">Fachdienstes VSDM </w:t>
            </w:r>
            <w:r w:rsidRPr="00F44AA9">
              <w:rPr>
                <w:sz w:val="18"/>
              </w:rPr>
              <w:t xml:space="preserve">hat keinen Einfluss auf die Sicherheit der TI. </w:t>
            </w:r>
          </w:p>
          <w:p w:rsidR="0047622B" w:rsidRDefault="0047622B" w:rsidP="004419FD">
            <w:pPr>
              <w:pStyle w:val="gemTab10pt"/>
              <w:rPr>
                <w:sz w:val="18"/>
              </w:rPr>
            </w:pPr>
          </w:p>
          <w:p w:rsidR="0047622B" w:rsidRPr="00F44AA9" w:rsidRDefault="0047622B" w:rsidP="004419FD">
            <w:pPr>
              <w:pStyle w:val="gemTab10pt"/>
              <w:rPr>
                <w:sz w:val="18"/>
              </w:rPr>
            </w:pPr>
            <w:r>
              <w:rPr>
                <w:sz w:val="18"/>
              </w:rPr>
              <w:t>Hinweis: In der derzeitigen Form des Anschlusses der Fachdienste VSDM an die TI ist dies nicht gegeben.</w:t>
            </w:r>
          </w:p>
        </w:tc>
        <w:tc>
          <w:tcPr>
            <w:tcW w:w="3260" w:type="dxa"/>
            <w:shd w:val="clear" w:color="auto" w:fill="DBE5F1" w:themeFill="accent1" w:themeFillTint="33"/>
          </w:tcPr>
          <w:p w:rsidR="0047622B" w:rsidRPr="0047622B" w:rsidRDefault="0047622B" w:rsidP="0047622B">
            <w:pPr>
              <w:pStyle w:val="gemTab10pt"/>
              <w:rPr>
                <w:sz w:val="18"/>
                <w:highlight w:val="yellow"/>
              </w:rPr>
            </w:pPr>
            <w:r w:rsidRPr="0047622B">
              <w:rPr>
                <w:sz w:val="18"/>
                <w:highlight w:val="yellow"/>
              </w:rPr>
              <w:t>Module Informationssicherheit</w:t>
            </w:r>
          </w:p>
        </w:tc>
      </w:tr>
      <w:tr w:rsidR="0047622B" w:rsidRPr="00F44AA9" w:rsidTr="0047622B">
        <w:trPr>
          <w:trHeight w:val="499"/>
        </w:trPr>
        <w:tc>
          <w:tcPr>
            <w:tcW w:w="1242" w:type="dxa"/>
            <w:vMerge/>
          </w:tcPr>
          <w:p w:rsidR="0047622B" w:rsidRPr="00F44AA9" w:rsidRDefault="0047622B" w:rsidP="004419FD">
            <w:pPr>
              <w:pStyle w:val="gemTab10pt"/>
              <w:rPr>
                <w:sz w:val="18"/>
              </w:rPr>
            </w:pPr>
          </w:p>
        </w:tc>
        <w:tc>
          <w:tcPr>
            <w:tcW w:w="1418" w:type="dxa"/>
            <w:vMerge/>
          </w:tcPr>
          <w:p w:rsidR="0047622B" w:rsidRPr="00F44AA9" w:rsidRDefault="0047622B" w:rsidP="004419FD">
            <w:pPr>
              <w:pStyle w:val="gemTab10pt"/>
              <w:rPr>
                <w:sz w:val="18"/>
              </w:rPr>
            </w:pPr>
          </w:p>
        </w:tc>
        <w:tc>
          <w:tcPr>
            <w:tcW w:w="2977" w:type="dxa"/>
            <w:vMerge/>
          </w:tcPr>
          <w:p w:rsidR="0047622B" w:rsidRPr="00F44AA9" w:rsidRDefault="0047622B" w:rsidP="004419FD">
            <w:pPr>
              <w:pStyle w:val="gemTab10pt"/>
              <w:rPr>
                <w:sz w:val="18"/>
              </w:rPr>
            </w:pPr>
          </w:p>
        </w:tc>
        <w:tc>
          <w:tcPr>
            <w:tcW w:w="3260" w:type="dxa"/>
          </w:tcPr>
          <w:p w:rsidR="0047622B" w:rsidRPr="0047622B" w:rsidRDefault="0047622B" w:rsidP="004419FD">
            <w:pPr>
              <w:pStyle w:val="gemTab10pt"/>
              <w:rPr>
                <w:rFonts w:ascii="Wingdings 2" w:hAnsi="Wingdings 2"/>
                <w:sz w:val="18"/>
                <w:highlight w:val="yellow"/>
              </w:rPr>
            </w:pPr>
          </w:p>
          <w:p w:rsidR="0047622B" w:rsidRPr="0047622B" w:rsidRDefault="0047622B" w:rsidP="0047622B">
            <w:pPr>
              <w:pStyle w:val="gemTab10pt"/>
              <w:rPr>
                <w:sz w:val="18"/>
                <w:highlight w:val="yellow"/>
              </w:rPr>
            </w:pPr>
            <w:r w:rsidRPr="0047622B">
              <w:rPr>
                <w:rFonts w:ascii="Wingdings" w:hAnsi="Wingdings"/>
                <w:sz w:val="18"/>
                <w:highlight w:val="yellow"/>
              </w:rPr>
              <w:t></w:t>
            </w:r>
            <w:r w:rsidRPr="0047622B">
              <w:rPr>
                <w:rFonts w:ascii="Wingdings 2" w:hAnsi="Wingdings 2"/>
                <w:sz w:val="18"/>
                <w:highlight w:val="yellow"/>
              </w:rPr>
              <w:t></w:t>
            </w:r>
            <w:r w:rsidRPr="0047622B">
              <w:rPr>
                <w:sz w:val="18"/>
                <w:highlight w:val="yellow"/>
              </w:rPr>
              <w:t>Basis-IS</w:t>
            </w:r>
          </w:p>
          <w:p w:rsidR="0047622B" w:rsidRPr="0047622B" w:rsidRDefault="0047622B" w:rsidP="0047622B">
            <w:pPr>
              <w:pStyle w:val="gemTab10pt"/>
              <w:rPr>
                <w:sz w:val="18"/>
                <w:highlight w:val="yellow"/>
              </w:rPr>
            </w:pPr>
            <w:r w:rsidRPr="0047622B">
              <w:rPr>
                <w:rFonts w:ascii="Wingdings" w:hAnsi="Wingdings"/>
                <w:sz w:val="18"/>
                <w:highlight w:val="yellow"/>
              </w:rPr>
              <w:t></w:t>
            </w:r>
            <w:r w:rsidRPr="0047622B">
              <w:rPr>
                <w:rFonts w:ascii="Wingdings 2" w:hAnsi="Wingdings 2"/>
                <w:sz w:val="18"/>
                <w:highlight w:val="yellow"/>
              </w:rPr>
              <w:t></w:t>
            </w:r>
            <w:r w:rsidRPr="0047622B">
              <w:rPr>
                <w:sz w:val="18"/>
                <w:highlight w:val="yellow"/>
              </w:rPr>
              <w:t xml:space="preserve">Basis-ISMS </w:t>
            </w:r>
          </w:p>
          <w:p w:rsidR="0047622B" w:rsidRPr="0047622B" w:rsidRDefault="0047622B" w:rsidP="0047622B">
            <w:pPr>
              <w:pStyle w:val="gemTab10pt"/>
              <w:rPr>
                <w:sz w:val="18"/>
                <w:highlight w:val="yellow"/>
              </w:rPr>
            </w:pPr>
            <w:r w:rsidRPr="0047622B">
              <w:rPr>
                <w:rFonts w:ascii="Wingdings" w:hAnsi="Wingdings"/>
                <w:sz w:val="18"/>
                <w:highlight w:val="yellow"/>
              </w:rPr>
              <w:t></w:t>
            </w:r>
            <w:r w:rsidRPr="0047622B">
              <w:rPr>
                <w:rFonts w:ascii="Wingdings 2" w:hAnsi="Wingdings 2"/>
                <w:sz w:val="18"/>
                <w:highlight w:val="yellow"/>
              </w:rPr>
              <w:t></w:t>
            </w:r>
            <w:r w:rsidRPr="0047622B">
              <w:rPr>
                <w:sz w:val="18"/>
                <w:highlight w:val="yellow"/>
              </w:rPr>
              <w:t>Erweitertes ISMS</w:t>
            </w:r>
          </w:p>
          <w:p w:rsidR="0047622B" w:rsidRPr="0047622B" w:rsidRDefault="0047622B" w:rsidP="0047622B">
            <w:pPr>
              <w:pStyle w:val="gemTab10pt"/>
              <w:rPr>
                <w:sz w:val="18"/>
                <w:highlight w:val="yellow"/>
              </w:rPr>
            </w:pPr>
            <w:r w:rsidRPr="0047622B">
              <w:rPr>
                <w:rFonts w:ascii="Wingdings" w:hAnsi="Wingdings"/>
                <w:sz w:val="18"/>
                <w:highlight w:val="yellow"/>
              </w:rPr>
              <w:t></w:t>
            </w:r>
            <w:r w:rsidRPr="0047622B">
              <w:rPr>
                <w:rFonts w:ascii="Wingdings 2" w:hAnsi="Wingdings 2"/>
                <w:sz w:val="18"/>
                <w:highlight w:val="yellow"/>
              </w:rPr>
              <w:t></w:t>
            </w:r>
            <w:proofErr w:type="spellStart"/>
            <w:r w:rsidRPr="0047622B">
              <w:rPr>
                <w:sz w:val="18"/>
                <w:highlight w:val="yellow"/>
              </w:rPr>
              <w:t>TI-Sicher</w:t>
            </w:r>
            <w:r w:rsidRPr="0047622B">
              <w:rPr>
                <w:sz w:val="18"/>
                <w:highlight w:val="yellow"/>
              </w:rPr>
              <w:softHyphen/>
              <w:t>heits</w:t>
            </w:r>
            <w:r w:rsidRPr="0047622B">
              <w:rPr>
                <w:sz w:val="18"/>
                <w:highlight w:val="yellow"/>
              </w:rPr>
              <w:softHyphen/>
              <w:t>bericht</w:t>
            </w:r>
            <w:proofErr w:type="spellEnd"/>
          </w:p>
          <w:p w:rsidR="0047622B" w:rsidRPr="0047622B" w:rsidRDefault="0047622B" w:rsidP="0047622B">
            <w:pPr>
              <w:pStyle w:val="gemTab10pt"/>
              <w:rPr>
                <w:rFonts w:ascii="Wingdings 2" w:hAnsi="Wingdings 2"/>
                <w:sz w:val="18"/>
                <w:highlight w:val="yellow"/>
              </w:rPr>
            </w:pPr>
            <w:r w:rsidRPr="0047622B">
              <w:rPr>
                <w:rFonts w:ascii="Wingdings" w:hAnsi="Wingdings"/>
                <w:sz w:val="18"/>
                <w:highlight w:val="yellow"/>
              </w:rPr>
              <w:t></w:t>
            </w:r>
            <w:r w:rsidRPr="0047622B">
              <w:rPr>
                <w:rFonts w:ascii="Wingdings 2" w:hAnsi="Wingdings 2"/>
                <w:sz w:val="18"/>
                <w:highlight w:val="yellow"/>
              </w:rPr>
              <w:t></w:t>
            </w:r>
            <w:r w:rsidRPr="0047622B">
              <w:rPr>
                <w:sz w:val="18"/>
                <w:highlight w:val="yellow"/>
              </w:rPr>
              <w:t>Erweiterter TI-Sicherheitsbericht</w:t>
            </w:r>
          </w:p>
          <w:p w:rsidR="0047622B" w:rsidRPr="0047622B" w:rsidRDefault="0047622B" w:rsidP="004419FD">
            <w:pPr>
              <w:pStyle w:val="gemTab10pt"/>
              <w:rPr>
                <w:sz w:val="18"/>
                <w:highlight w:val="yellow"/>
              </w:rPr>
            </w:pPr>
          </w:p>
        </w:tc>
      </w:tr>
      <w:tr w:rsidR="0047622B" w:rsidRPr="00F44AA9" w:rsidTr="0047622B">
        <w:trPr>
          <w:trHeight w:val="234"/>
        </w:trPr>
        <w:tc>
          <w:tcPr>
            <w:tcW w:w="1242" w:type="dxa"/>
            <w:vMerge/>
          </w:tcPr>
          <w:p w:rsidR="0047622B" w:rsidRPr="00F44AA9" w:rsidRDefault="0047622B" w:rsidP="004419FD">
            <w:pPr>
              <w:pStyle w:val="gemTab10pt"/>
              <w:rPr>
                <w:sz w:val="18"/>
              </w:rPr>
            </w:pPr>
          </w:p>
        </w:tc>
        <w:tc>
          <w:tcPr>
            <w:tcW w:w="1418" w:type="dxa"/>
            <w:vMerge/>
          </w:tcPr>
          <w:p w:rsidR="0047622B" w:rsidRPr="00F44AA9" w:rsidRDefault="0047622B" w:rsidP="004419FD">
            <w:pPr>
              <w:pStyle w:val="gemTab10pt"/>
              <w:rPr>
                <w:sz w:val="18"/>
              </w:rPr>
            </w:pPr>
          </w:p>
        </w:tc>
        <w:tc>
          <w:tcPr>
            <w:tcW w:w="2977" w:type="dxa"/>
            <w:vMerge/>
          </w:tcPr>
          <w:p w:rsidR="0047622B" w:rsidRPr="00F44AA9" w:rsidRDefault="0047622B" w:rsidP="004419FD">
            <w:pPr>
              <w:pStyle w:val="gemTab10pt"/>
              <w:rPr>
                <w:sz w:val="18"/>
              </w:rPr>
            </w:pPr>
          </w:p>
        </w:tc>
        <w:tc>
          <w:tcPr>
            <w:tcW w:w="3260" w:type="dxa"/>
            <w:shd w:val="clear" w:color="auto" w:fill="DBE5F1" w:themeFill="accent1" w:themeFillTint="33"/>
          </w:tcPr>
          <w:p w:rsidR="0047622B" w:rsidRPr="00F44AA9" w:rsidRDefault="0047622B" w:rsidP="004419FD">
            <w:pPr>
              <w:pStyle w:val="gemTab10pt"/>
              <w:rPr>
                <w:rFonts w:ascii="Wingdings 2" w:hAnsi="Wingdings 2"/>
                <w:sz w:val="18"/>
              </w:rPr>
            </w:pPr>
            <w:r w:rsidRPr="00F44AA9">
              <w:rPr>
                <w:sz w:val="18"/>
              </w:rPr>
              <w:t>Module Datenschutz</w:t>
            </w:r>
          </w:p>
        </w:tc>
      </w:tr>
      <w:tr w:rsidR="0047622B" w:rsidRPr="00F44AA9" w:rsidTr="004419FD">
        <w:trPr>
          <w:trHeight w:val="498"/>
        </w:trPr>
        <w:tc>
          <w:tcPr>
            <w:tcW w:w="1242" w:type="dxa"/>
            <w:vMerge/>
          </w:tcPr>
          <w:p w:rsidR="0047622B" w:rsidRPr="00F44AA9" w:rsidRDefault="0047622B" w:rsidP="004419FD">
            <w:pPr>
              <w:pStyle w:val="gemTab10pt"/>
              <w:rPr>
                <w:sz w:val="18"/>
              </w:rPr>
            </w:pPr>
          </w:p>
        </w:tc>
        <w:tc>
          <w:tcPr>
            <w:tcW w:w="1418" w:type="dxa"/>
            <w:vMerge/>
          </w:tcPr>
          <w:p w:rsidR="0047622B" w:rsidRPr="00F44AA9" w:rsidRDefault="0047622B" w:rsidP="004419FD">
            <w:pPr>
              <w:pStyle w:val="gemTab10pt"/>
              <w:rPr>
                <w:sz w:val="18"/>
              </w:rPr>
            </w:pPr>
          </w:p>
        </w:tc>
        <w:tc>
          <w:tcPr>
            <w:tcW w:w="2977" w:type="dxa"/>
            <w:vMerge/>
          </w:tcPr>
          <w:p w:rsidR="0047622B" w:rsidRPr="00F44AA9" w:rsidRDefault="0047622B" w:rsidP="004419FD">
            <w:pPr>
              <w:pStyle w:val="gemTab10pt"/>
              <w:rPr>
                <w:sz w:val="18"/>
              </w:rPr>
            </w:pPr>
          </w:p>
        </w:tc>
        <w:tc>
          <w:tcPr>
            <w:tcW w:w="3260" w:type="dxa"/>
          </w:tcPr>
          <w:p w:rsidR="0047622B" w:rsidRDefault="0047622B" w:rsidP="0047622B">
            <w:pPr>
              <w:pStyle w:val="gemTab10pt"/>
              <w:rPr>
                <w:rFonts w:ascii="Wingdings" w:hAnsi="Wingdings"/>
                <w:sz w:val="18"/>
              </w:rPr>
            </w:pPr>
          </w:p>
          <w:p w:rsidR="0047622B" w:rsidRPr="00F44AA9" w:rsidRDefault="0047622B" w:rsidP="0047622B">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Basis-DS</w:t>
            </w:r>
          </w:p>
          <w:p w:rsidR="0047622B" w:rsidRPr="00F44AA9" w:rsidRDefault="0047622B" w:rsidP="0047622B">
            <w:pPr>
              <w:pStyle w:val="gemTab10pt"/>
              <w:rPr>
                <w:sz w:val="18"/>
              </w:rPr>
            </w:pPr>
            <w:r w:rsidRPr="00F44AA9">
              <w:rPr>
                <w:rFonts w:ascii="Wingdings" w:hAnsi="Wingdings"/>
                <w:sz w:val="18"/>
              </w:rPr>
              <w:t></w:t>
            </w:r>
            <w:r w:rsidRPr="00F44AA9">
              <w:rPr>
                <w:rFonts w:ascii="Wingdings 2" w:hAnsi="Wingdings 2"/>
                <w:sz w:val="18"/>
              </w:rPr>
              <w:t></w:t>
            </w:r>
            <w:proofErr w:type="spellStart"/>
            <w:r w:rsidRPr="00F44AA9">
              <w:rPr>
                <w:sz w:val="18"/>
              </w:rPr>
              <w:t>TI-Daten</w:t>
            </w:r>
            <w:r w:rsidRPr="00F44AA9">
              <w:rPr>
                <w:sz w:val="18"/>
              </w:rPr>
              <w:softHyphen/>
              <w:t>schutz</w:t>
            </w:r>
            <w:r w:rsidRPr="00F44AA9">
              <w:rPr>
                <w:sz w:val="18"/>
              </w:rPr>
              <w:softHyphen/>
              <w:t>bericht</w:t>
            </w:r>
            <w:proofErr w:type="spellEnd"/>
          </w:p>
          <w:p w:rsidR="0047622B" w:rsidRDefault="0047622B" w:rsidP="0047622B">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Er</w:t>
            </w:r>
            <w:r>
              <w:rPr>
                <w:sz w:val="18"/>
              </w:rPr>
              <w:t>weiterter TI-Datenschutzbericht</w:t>
            </w:r>
          </w:p>
          <w:p w:rsidR="008E573F" w:rsidRPr="00F44AA9" w:rsidRDefault="008E573F" w:rsidP="0047622B">
            <w:pPr>
              <w:pStyle w:val="gemTab10pt"/>
              <w:rPr>
                <w:rFonts w:ascii="Wingdings 2" w:hAnsi="Wingdings 2"/>
                <w:sz w:val="18"/>
              </w:rPr>
            </w:pPr>
          </w:p>
        </w:tc>
      </w:tr>
      <w:tr w:rsidR="003F1F9E" w:rsidRPr="00F44AA9" w:rsidTr="004419FD">
        <w:trPr>
          <w:trHeight w:val="145"/>
        </w:trPr>
        <w:tc>
          <w:tcPr>
            <w:tcW w:w="1242" w:type="dxa"/>
            <w:vMerge w:val="restart"/>
          </w:tcPr>
          <w:p w:rsidR="003F1F9E" w:rsidRPr="00F44AA9" w:rsidRDefault="003F1F9E" w:rsidP="004419FD">
            <w:pPr>
              <w:pStyle w:val="gemTab10pt"/>
              <w:rPr>
                <w:sz w:val="18"/>
              </w:rPr>
            </w:pPr>
            <w:r w:rsidRPr="00F44AA9">
              <w:rPr>
                <w:sz w:val="18"/>
              </w:rPr>
              <w:t>Beeinträch</w:t>
            </w:r>
            <w:r>
              <w:rPr>
                <w:sz w:val="18"/>
              </w:rPr>
              <w:softHyphen/>
            </w:r>
            <w:r w:rsidRPr="00F44AA9">
              <w:rPr>
                <w:sz w:val="18"/>
              </w:rPr>
              <w:t>tigung möglich</w:t>
            </w:r>
          </w:p>
          <w:p w:rsidR="003F1F9E" w:rsidRPr="00F44AA9" w:rsidRDefault="003F1F9E" w:rsidP="004419FD">
            <w:pPr>
              <w:pStyle w:val="gemTab10pt"/>
              <w:rPr>
                <w:sz w:val="18"/>
              </w:rPr>
            </w:pPr>
          </w:p>
        </w:tc>
        <w:tc>
          <w:tcPr>
            <w:tcW w:w="1418" w:type="dxa"/>
            <w:vMerge w:val="restart"/>
          </w:tcPr>
          <w:p w:rsidR="003F1F9E" w:rsidRPr="00F44AA9" w:rsidRDefault="003F1F9E" w:rsidP="004419FD">
            <w:pPr>
              <w:pStyle w:val="gemTab10pt"/>
              <w:rPr>
                <w:sz w:val="18"/>
              </w:rPr>
            </w:pPr>
            <w:r>
              <w:rPr>
                <w:sz w:val="18"/>
              </w:rPr>
              <w:t>zentrale TI-Plattform</w:t>
            </w:r>
          </w:p>
          <w:p w:rsidR="003F1F9E" w:rsidRPr="00F44AA9" w:rsidRDefault="003F1F9E" w:rsidP="004419FD">
            <w:pPr>
              <w:pStyle w:val="gemTab10pt"/>
              <w:rPr>
                <w:sz w:val="18"/>
              </w:rPr>
            </w:pPr>
          </w:p>
        </w:tc>
        <w:tc>
          <w:tcPr>
            <w:tcW w:w="2977" w:type="dxa"/>
            <w:vMerge w:val="restart"/>
          </w:tcPr>
          <w:p w:rsidR="003F1F9E" w:rsidRDefault="003F1F9E" w:rsidP="004419FD">
            <w:pPr>
              <w:pStyle w:val="gemTab10pt"/>
              <w:rPr>
                <w:sz w:val="18"/>
              </w:rPr>
            </w:pPr>
            <w:r w:rsidRPr="00F44AA9">
              <w:rPr>
                <w:sz w:val="18"/>
              </w:rPr>
              <w:t xml:space="preserve">Die Sicherheit der Betriebsumgebung des Dienstes der TI hat einen Einfluss auf die Sicherheit der TI. </w:t>
            </w:r>
          </w:p>
          <w:p w:rsidR="003F1F9E" w:rsidRDefault="003F1F9E" w:rsidP="004419FD">
            <w:pPr>
              <w:pStyle w:val="gemTab10pt"/>
              <w:rPr>
                <w:sz w:val="18"/>
              </w:rPr>
            </w:pPr>
          </w:p>
          <w:p w:rsidR="003F1F9E" w:rsidRPr="00F44AA9" w:rsidRDefault="003F1F9E" w:rsidP="004419FD">
            <w:pPr>
              <w:pStyle w:val="gemTab10pt"/>
              <w:rPr>
                <w:sz w:val="18"/>
              </w:rPr>
            </w:pPr>
            <w:r>
              <w:rPr>
                <w:sz w:val="18"/>
              </w:rPr>
              <w:t>D</w:t>
            </w:r>
            <w:r w:rsidRPr="00CD0F80">
              <w:rPr>
                <w:sz w:val="18"/>
              </w:rPr>
              <w:t>ie Aufrechterhaltung von Information</w:t>
            </w:r>
            <w:r>
              <w:rPr>
                <w:sz w:val="18"/>
              </w:rPr>
              <w:t>ssicherheit und Datenschutz bei</w:t>
            </w:r>
            <w:r w:rsidRPr="00CD0F80">
              <w:rPr>
                <w:sz w:val="18"/>
              </w:rPr>
              <w:t xml:space="preserve"> Diensten </w:t>
            </w:r>
            <w:r>
              <w:rPr>
                <w:sz w:val="18"/>
              </w:rPr>
              <w:t xml:space="preserve">der zentralen TI-Plattform ist </w:t>
            </w:r>
            <w:r w:rsidRPr="00CD0F80">
              <w:rPr>
                <w:sz w:val="18"/>
              </w:rPr>
              <w:t>von besonderer Bedeutung</w:t>
            </w:r>
            <w:r>
              <w:rPr>
                <w:sz w:val="18"/>
              </w:rPr>
              <w:t>, da sie von</w:t>
            </w:r>
            <w:r w:rsidRPr="00CD0F80">
              <w:rPr>
                <w:sz w:val="18"/>
              </w:rPr>
              <w:t xml:space="preserve"> alle</w:t>
            </w:r>
            <w:r>
              <w:rPr>
                <w:sz w:val="18"/>
              </w:rPr>
              <w:t>n</w:t>
            </w:r>
            <w:r w:rsidRPr="00CD0F80">
              <w:rPr>
                <w:sz w:val="18"/>
              </w:rPr>
              <w:t xml:space="preserve"> Teilnehmer</w:t>
            </w:r>
            <w:r>
              <w:rPr>
                <w:sz w:val="18"/>
              </w:rPr>
              <w:t>n</w:t>
            </w:r>
            <w:r w:rsidRPr="00CD0F80">
              <w:rPr>
                <w:sz w:val="18"/>
              </w:rPr>
              <w:t xml:space="preserve"> der TI </w:t>
            </w:r>
            <w:r>
              <w:rPr>
                <w:sz w:val="18"/>
              </w:rPr>
              <w:t>genutzt werden</w:t>
            </w:r>
            <w:r w:rsidRPr="00CD0F80">
              <w:rPr>
                <w:sz w:val="18"/>
              </w:rPr>
              <w:t>.</w:t>
            </w:r>
          </w:p>
          <w:p w:rsidR="003F1F9E" w:rsidRPr="00F44AA9" w:rsidRDefault="003F1F9E" w:rsidP="004419FD">
            <w:pPr>
              <w:pStyle w:val="gemTab10pt"/>
              <w:rPr>
                <w:sz w:val="18"/>
              </w:rPr>
            </w:pPr>
            <w:r w:rsidRPr="00F44AA9">
              <w:rPr>
                <w:sz w:val="18"/>
              </w:rPr>
              <w:t xml:space="preserve"> </w:t>
            </w:r>
          </w:p>
        </w:tc>
        <w:tc>
          <w:tcPr>
            <w:tcW w:w="3260" w:type="dxa"/>
            <w:shd w:val="clear" w:color="auto" w:fill="DBE5F1" w:themeFill="accent1" w:themeFillTint="33"/>
          </w:tcPr>
          <w:p w:rsidR="003F1F9E" w:rsidRPr="00F44AA9" w:rsidRDefault="003F1F9E" w:rsidP="004419FD">
            <w:pPr>
              <w:pStyle w:val="gemTab10pt"/>
              <w:rPr>
                <w:sz w:val="18"/>
              </w:rPr>
            </w:pPr>
            <w:r w:rsidRPr="00F44AA9">
              <w:rPr>
                <w:sz w:val="18"/>
              </w:rPr>
              <w:t>Module Informationssicherheit</w:t>
            </w:r>
          </w:p>
        </w:tc>
      </w:tr>
      <w:tr w:rsidR="003F1F9E" w:rsidRPr="00F44AA9" w:rsidTr="004419FD">
        <w:trPr>
          <w:trHeight w:val="257"/>
        </w:trPr>
        <w:tc>
          <w:tcPr>
            <w:tcW w:w="1242" w:type="dxa"/>
            <w:vMerge/>
          </w:tcPr>
          <w:p w:rsidR="003F1F9E" w:rsidRPr="00F44AA9" w:rsidRDefault="003F1F9E" w:rsidP="004419FD">
            <w:pPr>
              <w:pStyle w:val="gemTab10pt"/>
              <w:rPr>
                <w:sz w:val="18"/>
              </w:rPr>
            </w:pPr>
          </w:p>
        </w:tc>
        <w:tc>
          <w:tcPr>
            <w:tcW w:w="1418" w:type="dxa"/>
            <w:vMerge/>
          </w:tcPr>
          <w:p w:rsidR="003F1F9E" w:rsidRPr="00F44AA9" w:rsidRDefault="003F1F9E" w:rsidP="004419FD">
            <w:pPr>
              <w:pStyle w:val="gemTab10pt"/>
              <w:rPr>
                <w:sz w:val="18"/>
              </w:rPr>
            </w:pPr>
          </w:p>
        </w:tc>
        <w:tc>
          <w:tcPr>
            <w:tcW w:w="2977" w:type="dxa"/>
            <w:vMerge/>
          </w:tcPr>
          <w:p w:rsidR="003F1F9E" w:rsidRPr="00F44AA9" w:rsidRDefault="003F1F9E" w:rsidP="004419FD">
            <w:pPr>
              <w:pStyle w:val="gemTab10pt"/>
              <w:rPr>
                <w:sz w:val="18"/>
              </w:rPr>
            </w:pPr>
          </w:p>
        </w:tc>
        <w:tc>
          <w:tcPr>
            <w:tcW w:w="3260" w:type="dxa"/>
          </w:tcPr>
          <w:p w:rsidR="003F1F9E" w:rsidRPr="00F44AA9" w:rsidRDefault="003F1F9E" w:rsidP="004419FD">
            <w:pPr>
              <w:pStyle w:val="gemTab10pt"/>
              <w:rPr>
                <w:rFonts w:ascii="Wingdings 2" w:hAnsi="Wingdings 2"/>
                <w:sz w:val="18"/>
              </w:rPr>
            </w:pP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Basis-IS</w:t>
            </w: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 xml:space="preserve">Basis-ISMS </w:t>
            </w: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Erweitertes ISMS</w:t>
            </w: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TI-Sicher</w:t>
            </w:r>
            <w:r w:rsidRPr="00F44AA9">
              <w:rPr>
                <w:sz w:val="18"/>
              </w:rPr>
              <w:softHyphen/>
              <w:t>heits</w:t>
            </w:r>
            <w:r w:rsidRPr="00F44AA9">
              <w:rPr>
                <w:sz w:val="18"/>
              </w:rPr>
              <w:softHyphen/>
              <w:t>bericht</w:t>
            </w:r>
          </w:p>
          <w:p w:rsidR="003F1F9E"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Erweiterter TI-Sicherheitsber</w:t>
            </w:r>
            <w:r>
              <w:rPr>
                <w:sz w:val="18"/>
              </w:rPr>
              <w:t>icht</w:t>
            </w:r>
          </w:p>
          <w:p w:rsidR="00F871BF" w:rsidRPr="00F44AA9" w:rsidRDefault="00F871BF" w:rsidP="004419FD">
            <w:pPr>
              <w:pStyle w:val="gemTab10pt"/>
              <w:rPr>
                <w:sz w:val="18"/>
              </w:rPr>
            </w:pPr>
          </w:p>
        </w:tc>
      </w:tr>
      <w:tr w:rsidR="003F1F9E" w:rsidRPr="00F44AA9" w:rsidTr="004419FD">
        <w:trPr>
          <w:trHeight w:val="127"/>
        </w:trPr>
        <w:tc>
          <w:tcPr>
            <w:tcW w:w="1242" w:type="dxa"/>
            <w:vMerge/>
          </w:tcPr>
          <w:p w:rsidR="003F1F9E" w:rsidRPr="00F44AA9" w:rsidRDefault="003F1F9E" w:rsidP="004419FD">
            <w:pPr>
              <w:pStyle w:val="gemTab10pt"/>
              <w:rPr>
                <w:sz w:val="18"/>
              </w:rPr>
            </w:pPr>
          </w:p>
        </w:tc>
        <w:tc>
          <w:tcPr>
            <w:tcW w:w="1418" w:type="dxa"/>
            <w:vMerge/>
          </w:tcPr>
          <w:p w:rsidR="003F1F9E" w:rsidRPr="00F44AA9" w:rsidRDefault="003F1F9E" w:rsidP="004419FD">
            <w:pPr>
              <w:pStyle w:val="gemTab10pt"/>
              <w:rPr>
                <w:sz w:val="18"/>
              </w:rPr>
            </w:pPr>
          </w:p>
        </w:tc>
        <w:tc>
          <w:tcPr>
            <w:tcW w:w="2977" w:type="dxa"/>
            <w:vMerge/>
          </w:tcPr>
          <w:p w:rsidR="003F1F9E" w:rsidRPr="00F44AA9" w:rsidRDefault="003F1F9E" w:rsidP="004419FD">
            <w:pPr>
              <w:pStyle w:val="gemTab10pt"/>
              <w:rPr>
                <w:sz w:val="18"/>
              </w:rPr>
            </w:pPr>
          </w:p>
        </w:tc>
        <w:tc>
          <w:tcPr>
            <w:tcW w:w="3260" w:type="dxa"/>
            <w:shd w:val="clear" w:color="auto" w:fill="DBE5F1" w:themeFill="accent1" w:themeFillTint="33"/>
          </w:tcPr>
          <w:p w:rsidR="003F1F9E" w:rsidRPr="00F44AA9" w:rsidRDefault="003F1F9E" w:rsidP="004419FD">
            <w:pPr>
              <w:pStyle w:val="gemTab10pt"/>
              <w:rPr>
                <w:sz w:val="18"/>
              </w:rPr>
            </w:pPr>
            <w:r w:rsidRPr="00F44AA9">
              <w:rPr>
                <w:sz w:val="18"/>
              </w:rPr>
              <w:t>Module Datenschutz</w:t>
            </w:r>
          </w:p>
        </w:tc>
      </w:tr>
      <w:tr w:rsidR="003F1F9E" w:rsidRPr="00F44AA9" w:rsidTr="004419FD">
        <w:trPr>
          <w:trHeight w:val="257"/>
        </w:trPr>
        <w:tc>
          <w:tcPr>
            <w:tcW w:w="1242" w:type="dxa"/>
            <w:vMerge/>
          </w:tcPr>
          <w:p w:rsidR="003F1F9E" w:rsidRPr="00F44AA9" w:rsidRDefault="003F1F9E" w:rsidP="004419FD">
            <w:pPr>
              <w:pStyle w:val="gemTab10pt"/>
              <w:rPr>
                <w:sz w:val="18"/>
              </w:rPr>
            </w:pPr>
          </w:p>
        </w:tc>
        <w:tc>
          <w:tcPr>
            <w:tcW w:w="1418" w:type="dxa"/>
            <w:vMerge/>
          </w:tcPr>
          <w:p w:rsidR="003F1F9E" w:rsidRPr="00F44AA9" w:rsidRDefault="003F1F9E" w:rsidP="004419FD">
            <w:pPr>
              <w:pStyle w:val="gemTab10pt"/>
              <w:rPr>
                <w:sz w:val="18"/>
              </w:rPr>
            </w:pPr>
          </w:p>
        </w:tc>
        <w:tc>
          <w:tcPr>
            <w:tcW w:w="2977" w:type="dxa"/>
            <w:vMerge/>
          </w:tcPr>
          <w:p w:rsidR="003F1F9E" w:rsidRPr="00F44AA9" w:rsidRDefault="003F1F9E" w:rsidP="004419FD">
            <w:pPr>
              <w:pStyle w:val="gemTab10pt"/>
              <w:rPr>
                <w:sz w:val="18"/>
              </w:rPr>
            </w:pPr>
          </w:p>
        </w:tc>
        <w:tc>
          <w:tcPr>
            <w:tcW w:w="3260" w:type="dxa"/>
          </w:tcPr>
          <w:p w:rsidR="003F1F9E" w:rsidRPr="00F44AA9" w:rsidRDefault="003F1F9E" w:rsidP="004419FD">
            <w:pPr>
              <w:pStyle w:val="gemTab10pt"/>
              <w:rPr>
                <w:rFonts w:ascii="Wingdings 2" w:hAnsi="Wingdings 2"/>
                <w:sz w:val="18"/>
              </w:rPr>
            </w:pP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Basis-DS</w:t>
            </w: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TI-Daten</w:t>
            </w:r>
            <w:r w:rsidRPr="00F44AA9">
              <w:rPr>
                <w:sz w:val="18"/>
              </w:rPr>
              <w:softHyphen/>
              <w:t>schutz</w:t>
            </w:r>
            <w:r w:rsidRPr="00F44AA9">
              <w:rPr>
                <w:sz w:val="18"/>
              </w:rPr>
              <w:softHyphen/>
              <w:t>bericht</w:t>
            </w:r>
          </w:p>
          <w:p w:rsidR="003F1F9E"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Er</w:t>
            </w:r>
            <w:r>
              <w:rPr>
                <w:sz w:val="18"/>
              </w:rPr>
              <w:t>weiterter TI-Datenschutzbericht</w:t>
            </w:r>
          </w:p>
          <w:p w:rsidR="008E573F" w:rsidRPr="00F44AA9" w:rsidRDefault="008E573F" w:rsidP="004419FD">
            <w:pPr>
              <w:pStyle w:val="gemTab10pt"/>
              <w:rPr>
                <w:sz w:val="18"/>
              </w:rPr>
            </w:pPr>
          </w:p>
        </w:tc>
      </w:tr>
      <w:tr w:rsidR="003F1F9E" w:rsidRPr="00F44AA9" w:rsidTr="004419FD">
        <w:trPr>
          <w:trHeight w:val="145"/>
        </w:trPr>
        <w:tc>
          <w:tcPr>
            <w:tcW w:w="1242" w:type="dxa"/>
            <w:vMerge/>
          </w:tcPr>
          <w:p w:rsidR="003F1F9E" w:rsidRPr="00F44AA9" w:rsidRDefault="003F1F9E" w:rsidP="004419FD">
            <w:pPr>
              <w:pStyle w:val="gemTab10pt"/>
              <w:rPr>
                <w:sz w:val="18"/>
              </w:rPr>
            </w:pPr>
          </w:p>
        </w:tc>
        <w:tc>
          <w:tcPr>
            <w:tcW w:w="1418" w:type="dxa"/>
            <w:vMerge w:val="restart"/>
          </w:tcPr>
          <w:p w:rsidR="003F1F9E" w:rsidRPr="00F44AA9" w:rsidRDefault="003F1F9E" w:rsidP="004419FD">
            <w:pPr>
              <w:pStyle w:val="gemTab10pt"/>
              <w:rPr>
                <w:sz w:val="18"/>
              </w:rPr>
            </w:pPr>
            <w:r>
              <w:rPr>
                <w:sz w:val="18"/>
              </w:rPr>
              <w:t>eGK-Anwendung/ sÜv</w:t>
            </w:r>
          </w:p>
        </w:tc>
        <w:tc>
          <w:tcPr>
            <w:tcW w:w="2977" w:type="dxa"/>
            <w:vMerge w:val="restart"/>
          </w:tcPr>
          <w:p w:rsidR="003F1F9E" w:rsidRPr="00F44AA9" w:rsidRDefault="003F1F9E" w:rsidP="004419FD">
            <w:pPr>
              <w:pStyle w:val="gemTab10pt"/>
              <w:rPr>
                <w:sz w:val="18"/>
              </w:rPr>
            </w:pPr>
            <w:r w:rsidRPr="00CD0F80">
              <w:rPr>
                <w:sz w:val="18"/>
              </w:rPr>
              <w:t>Die Sicherheit der Betriebsumgebung des Dienstes der TI hat einen Einfluss auf die Sicherheit der TI.</w:t>
            </w:r>
          </w:p>
        </w:tc>
        <w:tc>
          <w:tcPr>
            <w:tcW w:w="3260" w:type="dxa"/>
            <w:shd w:val="clear" w:color="auto" w:fill="DBE5F1" w:themeFill="accent1" w:themeFillTint="33"/>
          </w:tcPr>
          <w:p w:rsidR="003F1F9E" w:rsidRPr="00F44AA9" w:rsidRDefault="003F1F9E" w:rsidP="004419FD">
            <w:pPr>
              <w:pStyle w:val="gemTab10pt"/>
              <w:rPr>
                <w:sz w:val="18"/>
              </w:rPr>
            </w:pPr>
            <w:r w:rsidRPr="00F44AA9">
              <w:rPr>
                <w:sz w:val="18"/>
              </w:rPr>
              <w:t>Module Informationssicherheit</w:t>
            </w:r>
          </w:p>
        </w:tc>
      </w:tr>
      <w:tr w:rsidR="003F1F9E" w:rsidRPr="00F44AA9" w:rsidTr="003F1F9E">
        <w:trPr>
          <w:trHeight w:val="314"/>
        </w:trPr>
        <w:tc>
          <w:tcPr>
            <w:tcW w:w="1242" w:type="dxa"/>
            <w:vMerge/>
          </w:tcPr>
          <w:p w:rsidR="003F1F9E" w:rsidRPr="00F44AA9" w:rsidRDefault="003F1F9E" w:rsidP="004419FD">
            <w:pPr>
              <w:pStyle w:val="gemTab10pt"/>
              <w:rPr>
                <w:sz w:val="18"/>
              </w:rPr>
            </w:pPr>
          </w:p>
        </w:tc>
        <w:tc>
          <w:tcPr>
            <w:tcW w:w="1418" w:type="dxa"/>
            <w:vMerge/>
          </w:tcPr>
          <w:p w:rsidR="003F1F9E" w:rsidRPr="00F44AA9" w:rsidRDefault="003F1F9E" w:rsidP="004419FD">
            <w:pPr>
              <w:pStyle w:val="gemTab10pt"/>
              <w:rPr>
                <w:sz w:val="18"/>
              </w:rPr>
            </w:pPr>
          </w:p>
        </w:tc>
        <w:tc>
          <w:tcPr>
            <w:tcW w:w="2977" w:type="dxa"/>
            <w:vMerge/>
          </w:tcPr>
          <w:p w:rsidR="003F1F9E" w:rsidRPr="00F44AA9" w:rsidRDefault="003F1F9E" w:rsidP="004419FD">
            <w:pPr>
              <w:pStyle w:val="gemTab10pt"/>
              <w:rPr>
                <w:sz w:val="18"/>
              </w:rPr>
            </w:pPr>
          </w:p>
        </w:tc>
        <w:tc>
          <w:tcPr>
            <w:tcW w:w="3260" w:type="dxa"/>
          </w:tcPr>
          <w:p w:rsidR="003F1F9E" w:rsidRPr="00F44AA9" w:rsidRDefault="003F1F9E" w:rsidP="004419FD">
            <w:pPr>
              <w:pStyle w:val="gemTab10pt"/>
              <w:rPr>
                <w:rFonts w:ascii="Wingdings 2" w:hAnsi="Wingdings 2"/>
                <w:sz w:val="18"/>
              </w:rPr>
            </w:pP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Basis-IS</w:t>
            </w: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 xml:space="preserve">Basis-ISMS </w:t>
            </w:r>
          </w:p>
          <w:p w:rsidR="003F1F9E" w:rsidRPr="00F44AA9" w:rsidRDefault="003F1F9E" w:rsidP="004419F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Erweitertes ISMS</w:t>
            </w: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TI-Sicher</w:t>
            </w:r>
            <w:r w:rsidRPr="00F44AA9">
              <w:rPr>
                <w:sz w:val="18"/>
              </w:rPr>
              <w:softHyphen/>
              <w:t>heits</w:t>
            </w:r>
            <w:r w:rsidRPr="00F44AA9">
              <w:rPr>
                <w:sz w:val="18"/>
              </w:rPr>
              <w:softHyphen/>
              <w:t>bericht</w:t>
            </w:r>
          </w:p>
          <w:p w:rsidR="003F1F9E"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Erweiterter TI-Sicherheitsber</w:t>
            </w:r>
            <w:r>
              <w:rPr>
                <w:sz w:val="18"/>
              </w:rPr>
              <w:t>icht</w:t>
            </w:r>
          </w:p>
          <w:p w:rsidR="008E573F" w:rsidRDefault="008E573F" w:rsidP="004419FD">
            <w:pPr>
              <w:pStyle w:val="gemTab10pt"/>
              <w:rPr>
                <w:sz w:val="18"/>
              </w:rPr>
            </w:pPr>
          </w:p>
          <w:p w:rsidR="00F871BF" w:rsidRPr="00F44AA9" w:rsidRDefault="00F871BF" w:rsidP="004419FD">
            <w:pPr>
              <w:pStyle w:val="gemTab10pt"/>
              <w:rPr>
                <w:sz w:val="18"/>
              </w:rPr>
            </w:pPr>
          </w:p>
        </w:tc>
      </w:tr>
      <w:tr w:rsidR="003F1F9E" w:rsidRPr="00F44AA9" w:rsidTr="00094740">
        <w:trPr>
          <w:trHeight w:val="199"/>
        </w:trPr>
        <w:tc>
          <w:tcPr>
            <w:tcW w:w="1242" w:type="dxa"/>
            <w:vMerge/>
          </w:tcPr>
          <w:p w:rsidR="003F1F9E" w:rsidRPr="00F44AA9" w:rsidRDefault="003F1F9E" w:rsidP="004419FD">
            <w:pPr>
              <w:pStyle w:val="gemTab10pt"/>
              <w:rPr>
                <w:sz w:val="18"/>
              </w:rPr>
            </w:pPr>
          </w:p>
        </w:tc>
        <w:tc>
          <w:tcPr>
            <w:tcW w:w="1418" w:type="dxa"/>
            <w:vMerge/>
          </w:tcPr>
          <w:p w:rsidR="003F1F9E" w:rsidRPr="00F44AA9" w:rsidRDefault="003F1F9E" w:rsidP="004419FD">
            <w:pPr>
              <w:pStyle w:val="gemTab10pt"/>
              <w:rPr>
                <w:sz w:val="18"/>
              </w:rPr>
            </w:pPr>
          </w:p>
        </w:tc>
        <w:tc>
          <w:tcPr>
            <w:tcW w:w="2977" w:type="dxa"/>
            <w:vMerge/>
          </w:tcPr>
          <w:p w:rsidR="003F1F9E" w:rsidRPr="00F44AA9" w:rsidRDefault="003F1F9E" w:rsidP="004419FD">
            <w:pPr>
              <w:pStyle w:val="gemTab10pt"/>
              <w:rPr>
                <w:sz w:val="18"/>
              </w:rPr>
            </w:pPr>
          </w:p>
        </w:tc>
        <w:tc>
          <w:tcPr>
            <w:tcW w:w="3260" w:type="dxa"/>
            <w:shd w:val="clear" w:color="auto" w:fill="DBE5F1" w:themeFill="accent1" w:themeFillTint="33"/>
          </w:tcPr>
          <w:p w:rsidR="003F1F9E" w:rsidRPr="00F44AA9" w:rsidRDefault="003F1F9E" w:rsidP="004419FD">
            <w:pPr>
              <w:pStyle w:val="gemTab10pt"/>
              <w:rPr>
                <w:rFonts w:ascii="Wingdings 2" w:hAnsi="Wingdings 2"/>
                <w:sz w:val="18"/>
              </w:rPr>
            </w:pPr>
            <w:r w:rsidRPr="00F44AA9">
              <w:rPr>
                <w:sz w:val="18"/>
              </w:rPr>
              <w:t>Module Datenschutz</w:t>
            </w:r>
          </w:p>
        </w:tc>
      </w:tr>
      <w:tr w:rsidR="003F1F9E" w:rsidRPr="00F44AA9" w:rsidTr="002F3BBF">
        <w:trPr>
          <w:trHeight w:val="855"/>
        </w:trPr>
        <w:tc>
          <w:tcPr>
            <w:tcW w:w="1242" w:type="dxa"/>
            <w:vMerge/>
          </w:tcPr>
          <w:p w:rsidR="003F1F9E" w:rsidRPr="00F44AA9" w:rsidRDefault="003F1F9E" w:rsidP="004419FD">
            <w:pPr>
              <w:pStyle w:val="gemTab10pt"/>
              <w:rPr>
                <w:sz w:val="18"/>
              </w:rPr>
            </w:pPr>
          </w:p>
        </w:tc>
        <w:tc>
          <w:tcPr>
            <w:tcW w:w="1418" w:type="dxa"/>
            <w:vMerge/>
          </w:tcPr>
          <w:p w:rsidR="003F1F9E" w:rsidRPr="00F44AA9" w:rsidRDefault="003F1F9E" w:rsidP="004419FD">
            <w:pPr>
              <w:pStyle w:val="gemTab10pt"/>
              <w:rPr>
                <w:sz w:val="18"/>
              </w:rPr>
            </w:pPr>
          </w:p>
        </w:tc>
        <w:tc>
          <w:tcPr>
            <w:tcW w:w="2977" w:type="dxa"/>
            <w:vMerge/>
          </w:tcPr>
          <w:p w:rsidR="003F1F9E" w:rsidRPr="00F44AA9" w:rsidRDefault="003F1F9E" w:rsidP="004419FD">
            <w:pPr>
              <w:pStyle w:val="gemTab10pt"/>
              <w:rPr>
                <w:sz w:val="18"/>
              </w:rPr>
            </w:pPr>
          </w:p>
        </w:tc>
        <w:tc>
          <w:tcPr>
            <w:tcW w:w="3260" w:type="dxa"/>
          </w:tcPr>
          <w:p w:rsidR="003F1F9E" w:rsidRDefault="003F1F9E" w:rsidP="003F1F9E">
            <w:pPr>
              <w:pStyle w:val="gemTab10pt"/>
              <w:rPr>
                <w:rFonts w:ascii="Wingdings 2" w:hAnsi="Wingdings 2"/>
                <w:sz w:val="18"/>
              </w:rPr>
            </w:pPr>
          </w:p>
          <w:p w:rsidR="003F1F9E" w:rsidRPr="00F44AA9" w:rsidRDefault="003F1F9E" w:rsidP="003F1F9E">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Basis-DS</w:t>
            </w:r>
          </w:p>
          <w:p w:rsidR="003F1F9E" w:rsidRPr="00F44AA9" w:rsidRDefault="003F1F9E" w:rsidP="003F1F9E">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TI-Daten</w:t>
            </w:r>
            <w:r w:rsidRPr="00F44AA9">
              <w:rPr>
                <w:sz w:val="18"/>
              </w:rPr>
              <w:softHyphen/>
              <w:t>schutz</w:t>
            </w:r>
            <w:r w:rsidRPr="00F44AA9">
              <w:rPr>
                <w:sz w:val="18"/>
              </w:rPr>
              <w:softHyphen/>
              <w:t>bericht</w:t>
            </w:r>
          </w:p>
          <w:p w:rsidR="003F1F9E" w:rsidRPr="00F44AA9" w:rsidRDefault="003F1F9E" w:rsidP="003F1F9E">
            <w:pPr>
              <w:pStyle w:val="gemTab10pt"/>
              <w:rPr>
                <w:rFonts w:ascii="Wingdings 2" w:hAnsi="Wingdings 2"/>
                <w:sz w:val="18"/>
              </w:rPr>
            </w:pPr>
            <w:r w:rsidRPr="00A43247">
              <w:rPr>
                <w:rFonts w:ascii="Wingdings 2" w:hAnsi="Wingdings 2"/>
                <w:sz w:val="18"/>
              </w:rPr>
              <w:t></w:t>
            </w:r>
            <w:r w:rsidRPr="00F44AA9">
              <w:rPr>
                <w:rFonts w:ascii="Wingdings 2" w:hAnsi="Wingdings 2"/>
                <w:sz w:val="18"/>
              </w:rPr>
              <w:t></w:t>
            </w:r>
            <w:r w:rsidRPr="00F44AA9">
              <w:rPr>
                <w:sz w:val="18"/>
              </w:rPr>
              <w:t>Er</w:t>
            </w:r>
            <w:r>
              <w:rPr>
                <w:sz w:val="18"/>
              </w:rPr>
              <w:t>weiterter TI-Datenschutzbericht</w:t>
            </w:r>
          </w:p>
        </w:tc>
      </w:tr>
      <w:tr w:rsidR="003F1F9E" w:rsidRPr="00F44AA9" w:rsidTr="003F1F9E">
        <w:trPr>
          <w:trHeight w:val="53"/>
        </w:trPr>
        <w:tc>
          <w:tcPr>
            <w:tcW w:w="1242" w:type="dxa"/>
            <w:vMerge/>
          </w:tcPr>
          <w:p w:rsidR="003F1F9E" w:rsidRPr="00F44AA9" w:rsidRDefault="003F1F9E" w:rsidP="004419FD">
            <w:pPr>
              <w:pStyle w:val="gemTab10pt"/>
              <w:rPr>
                <w:sz w:val="18"/>
              </w:rPr>
            </w:pPr>
          </w:p>
        </w:tc>
        <w:tc>
          <w:tcPr>
            <w:tcW w:w="1418" w:type="dxa"/>
            <w:vMerge w:val="restart"/>
          </w:tcPr>
          <w:p w:rsidR="003F1F9E" w:rsidRPr="00F44AA9" w:rsidRDefault="003F1F9E" w:rsidP="004419FD">
            <w:pPr>
              <w:pStyle w:val="gemTab10pt"/>
              <w:rPr>
                <w:sz w:val="18"/>
              </w:rPr>
            </w:pPr>
            <w:r>
              <w:rPr>
                <w:sz w:val="18"/>
              </w:rPr>
              <w:t>Fachdienste VSDM</w:t>
            </w:r>
          </w:p>
        </w:tc>
        <w:tc>
          <w:tcPr>
            <w:tcW w:w="2977" w:type="dxa"/>
            <w:vMerge w:val="restart"/>
          </w:tcPr>
          <w:p w:rsidR="003F1F9E" w:rsidRDefault="003F1F9E" w:rsidP="004419FD">
            <w:pPr>
              <w:pStyle w:val="gemTab10pt"/>
              <w:rPr>
                <w:sz w:val="18"/>
              </w:rPr>
            </w:pPr>
            <w:r w:rsidRPr="00CD0F80">
              <w:rPr>
                <w:sz w:val="18"/>
              </w:rPr>
              <w:t xml:space="preserve">Die Sicherheit der Betriebsumgebung des </w:t>
            </w:r>
            <w:r w:rsidR="0086212D">
              <w:rPr>
                <w:sz w:val="18"/>
              </w:rPr>
              <w:t xml:space="preserve">Fachdienstes VSDM </w:t>
            </w:r>
            <w:r w:rsidRPr="00CD0F80">
              <w:rPr>
                <w:sz w:val="18"/>
              </w:rPr>
              <w:t>hat einen Einfluss auf die Sicherheit der TI.</w:t>
            </w:r>
          </w:p>
          <w:p w:rsidR="003F1F9E" w:rsidRPr="00F44AA9" w:rsidRDefault="003F1F9E" w:rsidP="004419FD">
            <w:pPr>
              <w:pStyle w:val="gemTab10pt"/>
              <w:rPr>
                <w:sz w:val="18"/>
              </w:rPr>
            </w:pPr>
          </w:p>
        </w:tc>
        <w:tc>
          <w:tcPr>
            <w:tcW w:w="3260" w:type="dxa"/>
            <w:shd w:val="clear" w:color="auto" w:fill="DBE5F1" w:themeFill="accent1" w:themeFillTint="33"/>
          </w:tcPr>
          <w:p w:rsidR="003F1F9E" w:rsidRPr="00F44AA9" w:rsidRDefault="003F1F9E" w:rsidP="004419FD">
            <w:pPr>
              <w:pStyle w:val="gemTab10pt"/>
              <w:rPr>
                <w:sz w:val="18"/>
              </w:rPr>
            </w:pPr>
            <w:r>
              <w:rPr>
                <w:sz w:val="18"/>
              </w:rPr>
              <w:t>Module Informationssicherheit</w:t>
            </w:r>
          </w:p>
        </w:tc>
      </w:tr>
      <w:tr w:rsidR="003F1F9E" w:rsidRPr="00F44AA9" w:rsidTr="00133EE7">
        <w:trPr>
          <w:trHeight w:val="52"/>
        </w:trPr>
        <w:tc>
          <w:tcPr>
            <w:tcW w:w="1242" w:type="dxa"/>
            <w:vMerge/>
          </w:tcPr>
          <w:p w:rsidR="003F1F9E" w:rsidRPr="00F44AA9" w:rsidRDefault="003F1F9E" w:rsidP="004419FD">
            <w:pPr>
              <w:pStyle w:val="gemTab10pt"/>
              <w:rPr>
                <w:sz w:val="18"/>
              </w:rPr>
            </w:pPr>
          </w:p>
        </w:tc>
        <w:tc>
          <w:tcPr>
            <w:tcW w:w="1418" w:type="dxa"/>
            <w:vMerge/>
          </w:tcPr>
          <w:p w:rsidR="003F1F9E" w:rsidRDefault="003F1F9E" w:rsidP="004419FD">
            <w:pPr>
              <w:pStyle w:val="gemTab10pt"/>
              <w:rPr>
                <w:sz w:val="18"/>
              </w:rPr>
            </w:pPr>
          </w:p>
        </w:tc>
        <w:tc>
          <w:tcPr>
            <w:tcW w:w="2977" w:type="dxa"/>
            <w:vMerge/>
          </w:tcPr>
          <w:p w:rsidR="003F1F9E" w:rsidRPr="00CD0F80" w:rsidRDefault="003F1F9E" w:rsidP="004419FD">
            <w:pPr>
              <w:pStyle w:val="gemTab10pt"/>
              <w:rPr>
                <w:sz w:val="18"/>
              </w:rPr>
            </w:pPr>
          </w:p>
        </w:tc>
        <w:tc>
          <w:tcPr>
            <w:tcW w:w="3260" w:type="dxa"/>
            <w:shd w:val="clear" w:color="auto" w:fill="auto"/>
          </w:tcPr>
          <w:p w:rsidR="003F1F9E" w:rsidRDefault="003F1F9E" w:rsidP="004419FD">
            <w:pPr>
              <w:pStyle w:val="gemTab10pt"/>
              <w:rPr>
                <w:sz w:val="18"/>
              </w:rPr>
            </w:pPr>
          </w:p>
          <w:p w:rsidR="0044454D" w:rsidRPr="00F44AA9" w:rsidRDefault="0044454D" w:rsidP="0044454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Basis-IS</w:t>
            </w:r>
          </w:p>
          <w:p w:rsidR="0044454D" w:rsidRPr="00F44AA9" w:rsidRDefault="0044454D" w:rsidP="0044454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 xml:space="preserve">Basis-ISMS </w:t>
            </w:r>
          </w:p>
          <w:p w:rsidR="0044454D" w:rsidRPr="00F44AA9" w:rsidRDefault="0044454D" w:rsidP="0044454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Erweitertes ISMS</w:t>
            </w:r>
          </w:p>
          <w:p w:rsidR="0044454D" w:rsidRPr="00F44AA9" w:rsidRDefault="0086212D" w:rsidP="0044454D">
            <w:pPr>
              <w:pStyle w:val="gemTab10pt"/>
              <w:rPr>
                <w:sz w:val="18"/>
              </w:rPr>
            </w:pPr>
            <w:r w:rsidRPr="00F44AA9">
              <w:rPr>
                <w:rFonts w:ascii="Wingdings" w:hAnsi="Wingdings"/>
                <w:sz w:val="18"/>
              </w:rPr>
              <w:t></w:t>
            </w:r>
            <w:r w:rsidR="0044454D" w:rsidRPr="00F44AA9">
              <w:rPr>
                <w:rFonts w:ascii="Wingdings 2" w:hAnsi="Wingdings 2"/>
                <w:sz w:val="18"/>
              </w:rPr>
              <w:t></w:t>
            </w:r>
            <w:r w:rsidR="0044454D" w:rsidRPr="00F44AA9">
              <w:rPr>
                <w:sz w:val="18"/>
              </w:rPr>
              <w:t>TI-Sicher</w:t>
            </w:r>
            <w:r w:rsidR="0044454D" w:rsidRPr="00F44AA9">
              <w:rPr>
                <w:sz w:val="18"/>
              </w:rPr>
              <w:softHyphen/>
              <w:t>heits</w:t>
            </w:r>
            <w:r w:rsidR="0044454D" w:rsidRPr="00F44AA9">
              <w:rPr>
                <w:sz w:val="18"/>
              </w:rPr>
              <w:softHyphen/>
              <w:t>bericht</w:t>
            </w:r>
          </w:p>
          <w:p w:rsidR="0044454D" w:rsidRDefault="0086212D" w:rsidP="0044454D">
            <w:pPr>
              <w:pStyle w:val="gemTab10pt"/>
              <w:rPr>
                <w:sz w:val="18"/>
              </w:rPr>
            </w:pPr>
            <w:r w:rsidRPr="00F44AA9">
              <w:rPr>
                <w:rFonts w:ascii="Wingdings" w:hAnsi="Wingdings"/>
                <w:sz w:val="18"/>
              </w:rPr>
              <w:t></w:t>
            </w:r>
            <w:r w:rsidR="0044454D" w:rsidRPr="00F44AA9">
              <w:rPr>
                <w:rFonts w:ascii="Wingdings 2" w:hAnsi="Wingdings 2"/>
                <w:sz w:val="18"/>
              </w:rPr>
              <w:t></w:t>
            </w:r>
            <w:r w:rsidR="0044454D" w:rsidRPr="00F44AA9">
              <w:rPr>
                <w:sz w:val="18"/>
              </w:rPr>
              <w:t>Erweiterter TI-Sicherheitsber</w:t>
            </w:r>
            <w:r w:rsidR="0044454D">
              <w:rPr>
                <w:sz w:val="18"/>
              </w:rPr>
              <w:t>icht</w:t>
            </w:r>
          </w:p>
          <w:p w:rsidR="005747BF" w:rsidRPr="00F44AA9" w:rsidRDefault="005747BF" w:rsidP="0044454D">
            <w:pPr>
              <w:pStyle w:val="gemTab10pt"/>
              <w:rPr>
                <w:sz w:val="18"/>
              </w:rPr>
            </w:pPr>
          </w:p>
        </w:tc>
      </w:tr>
      <w:tr w:rsidR="003F1F9E" w:rsidRPr="00F44AA9" w:rsidTr="004419FD">
        <w:trPr>
          <w:trHeight w:val="52"/>
        </w:trPr>
        <w:tc>
          <w:tcPr>
            <w:tcW w:w="1242" w:type="dxa"/>
            <w:vMerge/>
          </w:tcPr>
          <w:p w:rsidR="003F1F9E" w:rsidRPr="00F44AA9" w:rsidRDefault="003F1F9E" w:rsidP="004419FD">
            <w:pPr>
              <w:pStyle w:val="gemTab10pt"/>
              <w:rPr>
                <w:sz w:val="18"/>
              </w:rPr>
            </w:pPr>
          </w:p>
        </w:tc>
        <w:tc>
          <w:tcPr>
            <w:tcW w:w="1418" w:type="dxa"/>
            <w:vMerge/>
          </w:tcPr>
          <w:p w:rsidR="003F1F9E" w:rsidRDefault="003F1F9E" w:rsidP="004419FD">
            <w:pPr>
              <w:pStyle w:val="gemTab10pt"/>
              <w:rPr>
                <w:sz w:val="18"/>
              </w:rPr>
            </w:pPr>
          </w:p>
        </w:tc>
        <w:tc>
          <w:tcPr>
            <w:tcW w:w="2977" w:type="dxa"/>
            <w:vMerge/>
          </w:tcPr>
          <w:p w:rsidR="003F1F9E" w:rsidRPr="00CD0F80" w:rsidRDefault="003F1F9E" w:rsidP="004419FD">
            <w:pPr>
              <w:pStyle w:val="gemTab10pt"/>
              <w:rPr>
                <w:sz w:val="18"/>
              </w:rPr>
            </w:pPr>
          </w:p>
        </w:tc>
        <w:tc>
          <w:tcPr>
            <w:tcW w:w="3260" w:type="dxa"/>
            <w:shd w:val="clear" w:color="auto" w:fill="DBE5F1" w:themeFill="accent1" w:themeFillTint="33"/>
          </w:tcPr>
          <w:p w:rsidR="003F1F9E" w:rsidRPr="00F44AA9" w:rsidRDefault="003F1F9E" w:rsidP="004419FD">
            <w:pPr>
              <w:pStyle w:val="gemTab10pt"/>
              <w:rPr>
                <w:sz w:val="18"/>
              </w:rPr>
            </w:pPr>
            <w:r w:rsidRPr="00F44AA9">
              <w:rPr>
                <w:sz w:val="18"/>
              </w:rPr>
              <w:t>Module Datenschutz</w:t>
            </w:r>
          </w:p>
        </w:tc>
      </w:tr>
      <w:tr w:rsidR="003F1F9E" w:rsidRPr="00F44AA9" w:rsidTr="004419FD">
        <w:trPr>
          <w:trHeight w:val="257"/>
        </w:trPr>
        <w:tc>
          <w:tcPr>
            <w:tcW w:w="1242" w:type="dxa"/>
            <w:vMerge/>
          </w:tcPr>
          <w:p w:rsidR="003F1F9E" w:rsidRPr="00F44AA9" w:rsidRDefault="003F1F9E" w:rsidP="004419FD">
            <w:pPr>
              <w:pStyle w:val="gemTab10pt"/>
              <w:rPr>
                <w:sz w:val="18"/>
              </w:rPr>
            </w:pPr>
          </w:p>
        </w:tc>
        <w:tc>
          <w:tcPr>
            <w:tcW w:w="1418" w:type="dxa"/>
            <w:vMerge/>
          </w:tcPr>
          <w:p w:rsidR="003F1F9E" w:rsidRPr="00F44AA9" w:rsidRDefault="003F1F9E" w:rsidP="004419FD">
            <w:pPr>
              <w:pStyle w:val="gemTab10pt"/>
              <w:rPr>
                <w:sz w:val="18"/>
              </w:rPr>
            </w:pPr>
          </w:p>
        </w:tc>
        <w:tc>
          <w:tcPr>
            <w:tcW w:w="2977" w:type="dxa"/>
            <w:vMerge/>
          </w:tcPr>
          <w:p w:rsidR="003F1F9E" w:rsidRPr="00F44AA9" w:rsidRDefault="003F1F9E" w:rsidP="004419FD">
            <w:pPr>
              <w:pStyle w:val="gemTab10pt"/>
              <w:rPr>
                <w:sz w:val="18"/>
              </w:rPr>
            </w:pPr>
          </w:p>
        </w:tc>
        <w:tc>
          <w:tcPr>
            <w:tcW w:w="3260" w:type="dxa"/>
          </w:tcPr>
          <w:p w:rsidR="003F1F9E" w:rsidRPr="00F44AA9" w:rsidRDefault="003F1F9E" w:rsidP="004419FD">
            <w:pPr>
              <w:pStyle w:val="gemTab10pt"/>
              <w:rPr>
                <w:rFonts w:ascii="Wingdings 2" w:hAnsi="Wingdings 2"/>
                <w:sz w:val="18"/>
              </w:rPr>
            </w:pPr>
          </w:p>
          <w:p w:rsidR="0086212D" w:rsidRPr="00F44AA9" w:rsidRDefault="0086212D" w:rsidP="0086212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Basis-DS</w:t>
            </w:r>
          </w:p>
          <w:p w:rsidR="0086212D" w:rsidRPr="00F44AA9" w:rsidRDefault="0086212D" w:rsidP="0086212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TI-Daten</w:t>
            </w:r>
            <w:r w:rsidRPr="00F44AA9">
              <w:rPr>
                <w:sz w:val="18"/>
              </w:rPr>
              <w:softHyphen/>
              <w:t>schutz</w:t>
            </w:r>
            <w:r w:rsidRPr="00F44AA9">
              <w:rPr>
                <w:sz w:val="18"/>
              </w:rPr>
              <w:softHyphen/>
              <w:t>bericht</w:t>
            </w:r>
          </w:p>
          <w:p w:rsidR="003F1F9E" w:rsidRDefault="0086212D" w:rsidP="004419F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Er</w:t>
            </w:r>
            <w:r>
              <w:rPr>
                <w:sz w:val="18"/>
              </w:rPr>
              <w:t>weiterter TI-Datenschutzbericht</w:t>
            </w:r>
          </w:p>
          <w:p w:rsidR="00083D70" w:rsidRPr="00F44AA9" w:rsidRDefault="00083D70" w:rsidP="004419FD">
            <w:pPr>
              <w:pStyle w:val="gemTab10pt"/>
              <w:rPr>
                <w:sz w:val="18"/>
              </w:rPr>
            </w:pPr>
          </w:p>
        </w:tc>
      </w:tr>
      <w:tr w:rsidR="003F1F9E" w:rsidRPr="00F44AA9" w:rsidTr="004419FD">
        <w:trPr>
          <w:trHeight w:val="145"/>
        </w:trPr>
        <w:tc>
          <w:tcPr>
            <w:tcW w:w="1242" w:type="dxa"/>
            <w:vMerge/>
          </w:tcPr>
          <w:p w:rsidR="003F1F9E" w:rsidRPr="00F44AA9" w:rsidRDefault="003F1F9E" w:rsidP="004419FD">
            <w:pPr>
              <w:pStyle w:val="gemTab10pt"/>
              <w:rPr>
                <w:sz w:val="18"/>
              </w:rPr>
            </w:pPr>
          </w:p>
        </w:tc>
        <w:tc>
          <w:tcPr>
            <w:tcW w:w="1418" w:type="dxa"/>
            <w:vMerge w:val="restart"/>
          </w:tcPr>
          <w:p w:rsidR="003F1F9E" w:rsidRPr="00F44AA9" w:rsidRDefault="003F1F9E" w:rsidP="004419FD">
            <w:pPr>
              <w:pStyle w:val="gemTab10pt"/>
              <w:rPr>
                <w:sz w:val="18"/>
              </w:rPr>
            </w:pPr>
            <w:r>
              <w:rPr>
                <w:sz w:val="18"/>
              </w:rPr>
              <w:t>weitere Anwendungen</w:t>
            </w:r>
          </w:p>
        </w:tc>
        <w:tc>
          <w:tcPr>
            <w:tcW w:w="2977" w:type="dxa"/>
            <w:vMerge w:val="restart"/>
          </w:tcPr>
          <w:p w:rsidR="003F1F9E" w:rsidRDefault="003F1F9E" w:rsidP="004419FD">
            <w:pPr>
              <w:pStyle w:val="gemTab10pt"/>
              <w:rPr>
                <w:sz w:val="18"/>
              </w:rPr>
            </w:pPr>
            <w:r w:rsidRPr="00F44AA9">
              <w:rPr>
                <w:sz w:val="18"/>
              </w:rPr>
              <w:t xml:space="preserve">Die Sicherheit der Betriebsumgebung des Dienstes </w:t>
            </w:r>
            <w:r>
              <w:rPr>
                <w:sz w:val="18"/>
              </w:rPr>
              <w:t xml:space="preserve">der weiteren Anwendung hat </w:t>
            </w:r>
            <w:r w:rsidRPr="00F44AA9">
              <w:rPr>
                <w:sz w:val="18"/>
              </w:rPr>
              <w:t xml:space="preserve">einen Einfluss auf die Sicherheit der TI. </w:t>
            </w:r>
          </w:p>
          <w:p w:rsidR="003F1F9E" w:rsidRPr="00F44AA9" w:rsidRDefault="003F1F9E" w:rsidP="004419FD">
            <w:pPr>
              <w:pStyle w:val="gemTab10pt"/>
              <w:rPr>
                <w:sz w:val="18"/>
              </w:rPr>
            </w:pPr>
          </w:p>
        </w:tc>
        <w:tc>
          <w:tcPr>
            <w:tcW w:w="3260" w:type="dxa"/>
            <w:shd w:val="clear" w:color="auto" w:fill="DBE5F1" w:themeFill="accent1" w:themeFillTint="33"/>
          </w:tcPr>
          <w:p w:rsidR="003F1F9E" w:rsidRPr="00F44AA9" w:rsidRDefault="003F1F9E" w:rsidP="004419FD">
            <w:pPr>
              <w:pStyle w:val="gemTab10pt"/>
              <w:rPr>
                <w:sz w:val="18"/>
              </w:rPr>
            </w:pPr>
            <w:r w:rsidRPr="00F44AA9">
              <w:rPr>
                <w:sz w:val="18"/>
              </w:rPr>
              <w:t>Module Informationssicherheit</w:t>
            </w:r>
          </w:p>
        </w:tc>
      </w:tr>
      <w:tr w:rsidR="003F1F9E" w:rsidRPr="00F44AA9" w:rsidTr="004419FD">
        <w:trPr>
          <w:trHeight w:val="257"/>
        </w:trPr>
        <w:tc>
          <w:tcPr>
            <w:tcW w:w="1242" w:type="dxa"/>
            <w:vMerge/>
          </w:tcPr>
          <w:p w:rsidR="003F1F9E" w:rsidRPr="00F44AA9" w:rsidRDefault="003F1F9E" w:rsidP="004419FD">
            <w:pPr>
              <w:pStyle w:val="gemTab10pt"/>
              <w:rPr>
                <w:sz w:val="18"/>
              </w:rPr>
            </w:pPr>
          </w:p>
        </w:tc>
        <w:tc>
          <w:tcPr>
            <w:tcW w:w="1418" w:type="dxa"/>
            <w:vMerge/>
          </w:tcPr>
          <w:p w:rsidR="003F1F9E" w:rsidRPr="00F44AA9" w:rsidRDefault="003F1F9E" w:rsidP="004419FD">
            <w:pPr>
              <w:pStyle w:val="gemTab10pt"/>
              <w:rPr>
                <w:sz w:val="18"/>
              </w:rPr>
            </w:pPr>
          </w:p>
        </w:tc>
        <w:tc>
          <w:tcPr>
            <w:tcW w:w="2977" w:type="dxa"/>
            <w:vMerge/>
          </w:tcPr>
          <w:p w:rsidR="003F1F9E" w:rsidRPr="00F44AA9" w:rsidRDefault="003F1F9E" w:rsidP="004419FD">
            <w:pPr>
              <w:pStyle w:val="gemTab10pt"/>
              <w:rPr>
                <w:sz w:val="18"/>
              </w:rPr>
            </w:pPr>
          </w:p>
        </w:tc>
        <w:tc>
          <w:tcPr>
            <w:tcW w:w="3260" w:type="dxa"/>
          </w:tcPr>
          <w:p w:rsidR="003F1F9E" w:rsidRPr="00F44AA9" w:rsidRDefault="003F1F9E" w:rsidP="004419FD">
            <w:pPr>
              <w:pStyle w:val="gemTab10pt"/>
              <w:rPr>
                <w:rFonts w:ascii="Wingdings 2" w:hAnsi="Wingdings 2"/>
                <w:sz w:val="18"/>
              </w:rPr>
            </w:pP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Basis-IS</w:t>
            </w: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 xml:space="preserve">Basis-ISMS </w:t>
            </w:r>
          </w:p>
          <w:p w:rsidR="003F1F9E" w:rsidRPr="00F44AA9" w:rsidRDefault="003F1F9E" w:rsidP="004419F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Erweitertes ISMS</w:t>
            </w: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TI-Sicher</w:t>
            </w:r>
            <w:r w:rsidRPr="00F44AA9">
              <w:rPr>
                <w:sz w:val="18"/>
              </w:rPr>
              <w:softHyphen/>
              <w:t>heits</w:t>
            </w:r>
            <w:r w:rsidRPr="00F44AA9">
              <w:rPr>
                <w:sz w:val="18"/>
              </w:rPr>
              <w:softHyphen/>
              <w:t>bericht</w:t>
            </w:r>
          </w:p>
          <w:p w:rsidR="003F1F9E" w:rsidRPr="00F44AA9" w:rsidRDefault="003F1F9E" w:rsidP="004419F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Erweiterter TI-Sicherheitsber</w:t>
            </w:r>
            <w:r>
              <w:rPr>
                <w:sz w:val="18"/>
              </w:rPr>
              <w:t>icht</w:t>
            </w:r>
          </w:p>
        </w:tc>
      </w:tr>
      <w:tr w:rsidR="003F1F9E" w:rsidRPr="00F44AA9" w:rsidTr="004419FD">
        <w:trPr>
          <w:trHeight w:val="127"/>
        </w:trPr>
        <w:tc>
          <w:tcPr>
            <w:tcW w:w="1242" w:type="dxa"/>
            <w:vMerge/>
          </w:tcPr>
          <w:p w:rsidR="003F1F9E" w:rsidRPr="00F44AA9" w:rsidRDefault="003F1F9E" w:rsidP="004419FD">
            <w:pPr>
              <w:pStyle w:val="gemTab10pt"/>
              <w:rPr>
                <w:sz w:val="18"/>
              </w:rPr>
            </w:pPr>
          </w:p>
        </w:tc>
        <w:tc>
          <w:tcPr>
            <w:tcW w:w="1418" w:type="dxa"/>
            <w:vMerge/>
          </w:tcPr>
          <w:p w:rsidR="003F1F9E" w:rsidRPr="00F44AA9" w:rsidRDefault="003F1F9E" w:rsidP="004419FD">
            <w:pPr>
              <w:pStyle w:val="gemTab10pt"/>
              <w:rPr>
                <w:sz w:val="18"/>
              </w:rPr>
            </w:pPr>
          </w:p>
        </w:tc>
        <w:tc>
          <w:tcPr>
            <w:tcW w:w="2977" w:type="dxa"/>
            <w:vMerge/>
          </w:tcPr>
          <w:p w:rsidR="003F1F9E" w:rsidRPr="00F44AA9" w:rsidRDefault="003F1F9E" w:rsidP="004419FD">
            <w:pPr>
              <w:pStyle w:val="gemTab10pt"/>
              <w:rPr>
                <w:sz w:val="18"/>
              </w:rPr>
            </w:pPr>
          </w:p>
        </w:tc>
        <w:tc>
          <w:tcPr>
            <w:tcW w:w="3260" w:type="dxa"/>
            <w:shd w:val="clear" w:color="auto" w:fill="DBE5F1" w:themeFill="accent1" w:themeFillTint="33"/>
          </w:tcPr>
          <w:p w:rsidR="003F1F9E" w:rsidRPr="00F44AA9" w:rsidRDefault="003F1F9E" w:rsidP="004419FD">
            <w:pPr>
              <w:pStyle w:val="gemTab10pt"/>
              <w:rPr>
                <w:sz w:val="18"/>
              </w:rPr>
            </w:pPr>
            <w:r w:rsidRPr="00F44AA9">
              <w:rPr>
                <w:sz w:val="18"/>
              </w:rPr>
              <w:t>Module Datenschutz</w:t>
            </w:r>
          </w:p>
        </w:tc>
      </w:tr>
      <w:tr w:rsidR="003F1F9E" w:rsidRPr="00F44AA9" w:rsidTr="004419FD">
        <w:trPr>
          <w:trHeight w:val="257"/>
        </w:trPr>
        <w:tc>
          <w:tcPr>
            <w:tcW w:w="1242" w:type="dxa"/>
            <w:vMerge/>
          </w:tcPr>
          <w:p w:rsidR="003F1F9E" w:rsidRPr="00F44AA9" w:rsidRDefault="003F1F9E" w:rsidP="004419FD">
            <w:pPr>
              <w:pStyle w:val="gemTab10pt"/>
              <w:rPr>
                <w:sz w:val="18"/>
              </w:rPr>
            </w:pPr>
          </w:p>
        </w:tc>
        <w:tc>
          <w:tcPr>
            <w:tcW w:w="1418" w:type="dxa"/>
            <w:vMerge/>
          </w:tcPr>
          <w:p w:rsidR="003F1F9E" w:rsidRPr="00F44AA9" w:rsidRDefault="003F1F9E" w:rsidP="004419FD">
            <w:pPr>
              <w:pStyle w:val="gemTab10pt"/>
              <w:rPr>
                <w:sz w:val="18"/>
              </w:rPr>
            </w:pPr>
          </w:p>
        </w:tc>
        <w:tc>
          <w:tcPr>
            <w:tcW w:w="2977" w:type="dxa"/>
            <w:vMerge/>
          </w:tcPr>
          <w:p w:rsidR="003F1F9E" w:rsidRPr="00F44AA9" w:rsidRDefault="003F1F9E" w:rsidP="004419FD">
            <w:pPr>
              <w:pStyle w:val="gemTab10pt"/>
              <w:rPr>
                <w:sz w:val="18"/>
              </w:rPr>
            </w:pPr>
          </w:p>
        </w:tc>
        <w:tc>
          <w:tcPr>
            <w:tcW w:w="3260" w:type="dxa"/>
          </w:tcPr>
          <w:p w:rsidR="003F1F9E" w:rsidRPr="00F44AA9" w:rsidRDefault="003F1F9E" w:rsidP="004419FD">
            <w:pPr>
              <w:pStyle w:val="gemTab10pt"/>
              <w:rPr>
                <w:rFonts w:ascii="Wingdings 2" w:hAnsi="Wingdings 2"/>
                <w:sz w:val="18"/>
              </w:rPr>
            </w:pP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Basis-DS</w:t>
            </w:r>
          </w:p>
          <w:p w:rsidR="003F1F9E" w:rsidRPr="00F44AA9" w:rsidRDefault="003F1F9E" w:rsidP="004419FD">
            <w:pPr>
              <w:pStyle w:val="gemTab10pt"/>
              <w:rPr>
                <w:sz w:val="18"/>
              </w:rPr>
            </w:pPr>
            <w:r w:rsidRPr="00A43247">
              <w:rPr>
                <w:rFonts w:ascii="Wingdings 2" w:hAnsi="Wingdings 2"/>
                <w:sz w:val="18"/>
              </w:rPr>
              <w:t></w:t>
            </w:r>
            <w:r w:rsidRPr="00F44AA9">
              <w:rPr>
                <w:rFonts w:ascii="Wingdings 2" w:hAnsi="Wingdings 2"/>
                <w:sz w:val="18"/>
              </w:rPr>
              <w:t></w:t>
            </w:r>
            <w:r w:rsidRPr="00F44AA9">
              <w:rPr>
                <w:sz w:val="18"/>
              </w:rPr>
              <w:t>TI-Daten</w:t>
            </w:r>
            <w:r w:rsidRPr="00F44AA9">
              <w:rPr>
                <w:sz w:val="18"/>
              </w:rPr>
              <w:softHyphen/>
              <w:t>schutz</w:t>
            </w:r>
            <w:r w:rsidRPr="00F44AA9">
              <w:rPr>
                <w:sz w:val="18"/>
              </w:rPr>
              <w:softHyphen/>
              <w:t>bericht</w:t>
            </w:r>
          </w:p>
          <w:p w:rsidR="003F1F9E" w:rsidRPr="00F44AA9" w:rsidRDefault="003F1F9E" w:rsidP="004419FD">
            <w:pPr>
              <w:pStyle w:val="gemTab10pt"/>
              <w:rPr>
                <w:sz w:val="18"/>
              </w:rPr>
            </w:pPr>
            <w:r w:rsidRPr="00F44AA9">
              <w:rPr>
                <w:rFonts w:ascii="Wingdings" w:hAnsi="Wingdings"/>
                <w:sz w:val="18"/>
              </w:rPr>
              <w:t></w:t>
            </w:r>
            <w:r w:rsidRPr="00F44AA9">
              <w:rPr>
                <w:rFonts w:ascii="Wingdings 2" w:hAnsi="Wingdings 2"/>
                <w:sz w:val="18"/>
              </w:rPr>
              <w:t></w:t>
            </w:r>
            <w:r w:rsidRPr="00F44AA9">
              <w:rPr>
                <w:sz w:val="18"/>
              </w:rPr>
              <w:t>Er</w:t>
            </w:r>
            <w:r>
              <w:rPr>
                <w:sz w:val="18"/>
              </w:rPr>
              <w:t>weiterter TI-Datenschutzbericht</w:t>
            </w:r>
          </w:p>
        </w:tc>
      </w:tr>
    </w:tbl>
    <w:p w:rsidR="0071250F" w:rsidRDefault="0071250F" w:rsidP="0071250F">
      <w:pPr>
        <w:pStyle w:val="berschrift1"/>
        <w:sectPr w:rsidR="0071250F" w:rsidSect="007B74C1">
          <w:pgSz w:w="11906" w:h="16838" w:code="9"/>
          <w:pgMar w:top="1916" w:right="1418" w:bottom="1134" w:left="1701" w:header="539" w:footer="437" w:gutter="0"/>
          <w:cols w:space="708"/>
          <w:docGrid w:linePitch="360"/>
        </w:sectPr>
      </w:pPr>
    </w:p>
    <w:p w:rsidR="008F087D" w:rsidRDefault="008B56D8" w:rsidP="0071250F">
      <w:pPr>
        <w:pStyle w:val="berschrift1"/>
      </w:pPr>
      <w:bookmarkStart w:id="232" w:name="_Toc503165527"/>
      <w:r>
        <w:lastRenderedPageBreak/>
        <w:t xml:space="preserve">Anhang C </w:t>
      </w:r>
      <w:r w:rsidR="003245F5">
        <w:t>–</w:t>
      </w:r>
      <w:r>
        <w:t xml:space="preserve"> </w:t>
      </w:r>
      <w:r w:rsidR="003245F5" w:rsidRPr="003245F5">
        <w:t>Modulzuordnung bei Anw</w:t>
      </w:r>
      <w:r w:rsidR="00CF37E7">
        <w:t>endbarkeit des § 274 Abs. 1 SGB </w:t>
      </w:r>
      <w:r w:rsidR="003245F5" w:rsidRPr="003245F5">
        <w:t>V</w:t>
      </w:r>
      <w:bookmarkEnd w:id="232"/>
    </w:p>
    <w:p w:rsidR="00891674" w:rsidRDefault="00891674" w:rsidP="00891674">
      <w:pPr>
        <w:pStyle w:val="gemStandard"/>
      </w:pPr>
      <w:r>
        <w:t>Für ausgewählte Anb</w:t>
      </w:r>
      <w:r w:rsidR="00CF37E7">
        <w:t>ieter legt der § 274 Abs. 1 SGB </w:t>
      </w:r>
      <w:r>
        <w:t>V eine Aufsichtsbehörde und einen Prüfzyklus fest, nach dem die dort benannte Aufsichtsbehörde die Geschäfts-, Rechnungs- und Betriebsführung beim Anbieter prüft. Die Prüfung erstreckt sich auf den gesamten Geschäftsbetrieb des Anbieters und umfasst die Prüfung seiner Gesetzmäßigkeit und Wirtschaftlichkeit. Die Prüfung beinhaltet die Einhaltung der Vorschriften des Datenschutzes und die Maßnahmen zur Informationssicherheit.</w:t>
      </w:r>
    </w:p>
    <w:p w:rsidR="00DA41AE" w:rsidRDefault="00891674" w:rsidP="00A44E9A">
      <w:pPr>
        <w:pStyle w:val="gemStandard"/>
      </w:pPr>
      <w:r>
        <w:t xml:space="preserve">Da die Prüfung des Datenschutzes und der Informationssicherheit </w:t>
      </w:r>
      <w:r w:rsidRPr="00A77E6A">
        <w:rPr>
          <w:strike/>
          <w:highlight w:val="yellow"/>
        </w:rPr>
        <w:t>für diese Anbieter</w:t>
      </w:r>
      <w:r>
        <w:t xml:space="preserve"> inklusive Prüfzyklus gesetzlich geregelt ist, </w:t>
      </w:r>
      <w:r w:rsidR="002663A2">
        <w:t>entfallen</w:t>
      </w:r>
      <w:r>
        <w:t xml:space="preserve"> die Module zum Reporting und </w:t>
      </w:r>
      <w:r w:rsidR="00B4520A">
        <w:t xml:space="preserve">das Modul </w:t>
      </w:r>
      <w:r w:rsidR="00CF37E7">
        <w:t>„</w:t>
      </w:r>
      <w:r>
        <w:t>Erweitertes ISMS</w:t>
      </w:r>
      <w:r w:rsidR="00CF37E7">
        <w:t>“</w:t>
      </w:r>
      <w:r w:rsidR="00A77E6A">
        <w:t xml:space="preserve"> </w:t>
      </w:r>
      <w:r w:rsidR="00A77E6A" w:rsidRPr="00A77E6A">
        <w:rPr>
          <w:highlight w:val="yellow"/>
        </w:rPr>
        <w:t xml:space="preserve">für Anbieter der Fachdienste VSDM und Anbieter weiterer </w:t>
      </w:r>
      <w:r w:rsidR="00A77E6A" w:rsidRPr="00F25915">
        <w:rPr>
          <w:highlight w:val="yellow"/>
        </w:rPr>
        <w:t>Anwendungen</w:t>
      </w:r>
      <w:r w:rsidR="00F25915" w:rsidRPr="00F25915">
        <w:rPr>
          <w:highlight w:val="yellow"/>
        </w:rPr>
        <w:t xml:space="preserve">, für die der § 274 Abs. 1 SGB V anwendbar </w:t>
      </w:r>
      <w:commentRangeStart w:id="233"/>
      <w:r w:rsidR="00F25915" w:rsidRPr="00F25915">
        <w:rPr>
          <w:highlight w:val="yellow"/>
        </w:rPr>
        <w:t>ist</w:t>
      </w:r>
      <w:commentRangeEnd w:id="233"/>
      <w:r w:rsidR="005E7EAC">
        <w:rPr>
          <w:rStyle w:val="Kommentarzeichen"/>
        </w:rPr>
        <w:commentReference w:id="233"/>
      </w:r>
      <w:r>
        <w:t xml:space="preserve"> (</w:t>
      </w:r>
      <w:r w:rsidR="00FA7F17">
        <w:t xml:space="preserve">siehe </w:t>
      </w:r>
      <w:r>
        <w:fldChar w:fldCharType="begin"/>
      </w:r>
      <w:r>
        <w:instrText xml:space="preserve"> REF _Ref476323789 \h </w:instrText>
      </w:r>
      <w:r>
        <w:fldChar w:fldCharType="separate"/>
      </w:r>
      <w:r w:rsidR="002F3BBF">
        <w:t xml:space="preserve">Abbildung </w:t>
      </w:r>
      <w:r w:rsidR="002F3BBF">
        <w:rPr>
          <w:noProof/>
        </w:rPr>
        <w:t>7</w:t>
      </w:r>
      <w:r>
        <w:fldChar w:fldCharType="end"/>
      </w:r>
      <w:r>
        <w:t>).</w:t>
      </w:r>
      <w:r w:rsidR="00DA41AE">
        <w:t xml:space="preserve"> </w:t>
      </w:r>
    </w:p>
    <w:p w:rsidR="00891674" w:rsidRDefault="00225D73" w:rsidP="00891674">
      <w:pPr>
        <w:pStyle w:val="gemStandard"/>
        <w:keepNext/>
        <w:jc w:val="center"/>
      </w:pPr>
      <w:r>
        <w:rPr>
          <w:noProof/>
        </w:rPr>
        <w:drawing>
          <wp:inline distT="0" distB="0" distL="0" distR="0" wp14:anchorId="09962D50" wp14:editId="6155191F">
            <wp:extent cx="3438525" cy="2499360"/>
            <wp:effectExtent l="0" t="0" r="9525" b="0"/>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8525" cy="2499360"/>
                    </a:xfrm>
                    <a:prstGeom prst="rect">
                      <a:avLst/>
                    </a:prstGeom>
                    <a:noFill/>
                  </pic:spPr>
                </pic:pic>
              </a:graphicData>
            </a:graphic>
          </wp:inline>
        </w:drawing>
      </w:r>
    </w:p>
    <w:p w:rsidR="00891674" w:rsidRDefault="00891674" w:rsidP="0071250F">
      <w:pPr>
        <w:pStyle w:val="Beschriftung"/>
        <w:jc w:val="center"/>
      </w:pPr>
      <w:bookmarkStart w:id="234" w:name="_Ref476323789"/>
      <w:bookmarkStart w:id="235" w:name="_Toc496518437"/>
      <w:r>
        <w:t xml:space="preserve">Abbildung </w:t>
      </w:r>
      <w:fldSimple w:instr=" SEQ Abbildung \* ARABIC ">
        <w:r w:rsidR="002F3BBF">
          <w:rPr>
            <w:noProof/>
          </w:rPr>
          <w:t>7</w:t>
        </w:r>
      </w:fldSimple>
      <w:bookmarkEnd w:id="234"/>
      <w:r>
        <w:t xml:space="preserve"> </w:t>
      </w:r>
      <w:r w:rsidR="00556D48">
        <w:t>–</w:t>
      </w:r>
      <w:r>
        <w:t xml:space="preserve"> Auswirkungen des § 274 SGB V auf die Modulzuordnung (grau = entfällt)</w:t>
      </w:r>
      <w:bookmarkEnd w:id="235"/>
    </w:p>
    <w:p w:rsidR="00BC03EF" w:rsidRDefault="00BC03EF" w:rsidP="00891674">
      <w:pPr>
        <w:pStyle w:val="gemStandard"/>
      </w:pPr>
    </w:p>
    <w:sectPr w:rsidR="00BC03EF" w:rsidSect="007B74C1">
      <w:pgSz w:w="11906" w:h="16838" w:code="9"/>
      <w:pgMar w:top="1916" w:right="1418" w:bottom="1134" w:left="1701" w:header="539" w:footer="43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3" w:author="gemPU" w:date="2017-11-24T14:08:00Z" w:initials="gemPU">
    <w:p w:rsidR="0051578F" w:rsidRDefault="0051578F">
      <w:pPr>
        <w:pStyle w:val="Kommentartext"/>
      </w:pPr>
      <w:r>
        <w:rPr>
          <w:rStyle w:val="Kommentarzeichen"/>
        </w:rPr>
        <w:annotationRef/>
      </w:r>
      <w:r>
        <w:t>GKV_SV_09</w:t>
      </w:r>
    </w:p>
  </w:comment>
  <w:comment w:id="64" w:author="gemPU" w:date="2017-11-24T14:09:00Z" w:initials="gemPU">
    <w:p w:rsidR="0051578F" w:rsidRDefault="0051578F" w:rsidP="00F0547E">
      <w:pPr>
        <w:pStyle w:val="Kommentartext"/>
      </w:pPr>
      <w:r>
        <w:rPr>
          <w:rStyle w:val="Kommentarzeichen"/>
        </w:rPr>
        <w:annotationRef/>
      </w:r>
      <w:r>
        <w:t>GKV_SV_09</w:t>
      </w:r>
    </w:p>
  </w:comment>
  <w:comment w:id="66" w:author="gemPU" w:date="2017-11-24T14:18:00Z" w:initials="gemPU">
    <w:p w:rsidR="0051578F" w:rsidRDefault="0051578F">
      <w:pPr>
        <w:pStyle w:val="Kommentartext"/>
      </w:pPr>
      <w:r>
        <w:rPr>
          <w:rStyle w:val="Kommentarzeichen"/>
        </w:rPr>
        <w:annotationRef/>
      </w:r>
      <w:r>
        <w:t>GKV_SV_02, GKV_SV_11</w:t>
      </w:r>
    </w:p>
  </w:comment>
  <w:comment w:id="69" w:author="gemPU" w:date="2017-11-24T14:02:00Z" w:initials="gemPU">
    <w:p w:rsidR="0051578F" w:rsidRDefault="0051578F">
      <w:pPr>
        <w:pStyle w:val="Kommentartext"/>
      </w:pPr>
      <w:r>
        <w:rPr>
          <w:rStyle w:val="Kommentarzeichen"/>
        </w:rPr>
        <w:annotationRef/>
      </w:r>
      <w:r>
        <w:t>GKV_SV_03, GKV_SV_05</w:t>
      </w:r>
    </w:p>
  </w:comment>
  <w:comment w:id="71" w:author="gemPU" w:date="2017-12-11T16:22:00Z" w:initials="gemPU">
    <w:p w:rsidR="0051578F" w:rsidRDefault="0051578F">
      <w:pPr>
        <w:pStyle w:val="Kommentartext"/>
      </w:pPr>
      <w:r>
        <w:rPr>
          <w:rStyle w:val="Kommentarzeichen"/>
        </w:rPr>
        <w:annotationRef/>
      </w:r>
      <w:r w:rsidR="00B524AE">
        <w:t>KZ</w:t>
      </w:r>
      <w:r>
        <w:t>B</w:t>
      </w:r>
      <w:r w:rsidR="00B524AE">
        <w:t>V</w:t>
      </w:r>
      <w:r>
        <w:t>_03</w:t>
      </w:r>
    </w:p>
  </w:comment>
  <w:comment w:id="74" w:author="gemPU" w:date="2017-11-24T14:02:00Z" w:initials="gemPU">
    <w:p w:rsidR="0051578F" w:rsidRDefault="0051578F">
      <w:pPr>
        <w:pStyle w:val="Kommentartext"/>
      </w:pPr>
      <w:r>
        <w:rPr>
          <w:rStyle w:val="Kommentarzeichen"/>
        </w:rPr>
        <w:annotationRef/>
      </w:r>
      <w:r>
        <w:t>GKV_SV_03, GKV_SV_05</w:t>
      </w:r>
    </w:p>
  </w:comment>
  <w:comment w:id="79" w:author="gemPU" w:date="2017-11-27T15:29:00Z" w:initials="gemPU">
    <w:p w:rsidR="0051578F" w:rsidRDefault="0051578F">
      <w:pPr>
        <w:pStyle w:val="Kommentartext"/>
      </w:pPr>
      <w:r>
        <w:rPr>
          <w:rStyle w:val="Kommentarzeichen"/>
        </w:rPr>
        <w:annotationRef/>
      </w:r>
      <w:r>
        <w:t>KZBV_10, KZBV_15</w:t>
      </w:r>
    </w:p>
    <w:p w:rsidR="0051578F" w:rsidRDefault="0051578F">
      <w:pPr>
        <w:pStyle w:val="Kommentartext"/>
      </w:pPr>
      <w:r>
        <w:t>Die provisorischen Anforderungs-nummern wurden ersetzt.</w:t>
      </w:r>
    </w:p>
  </w:comment>
  <w:comment w:id="82" w:author="gemPU" w:date="2017-11-24T15:15:00Z" w:initials="gemPU">
    <w:p w:rsidR="0051578F" w:rsidRDefault="0051578F">
      <w:pPr>
        <w:pStyle w:val="Kommentartext"/>
      </w:pPr>
      <w:r>
        <w:rPr>
          <w:rStyle w:val="Kommentarzeichen"/>
        </w:rPr>
        <w:annotationRef/>
      </w:r>
      <w:r>
        <w:t>KZBV_05</w:t>
      </w:r>
    </w:p>
  </w:comment>
  <w:comment w:id="83" w:author="gemPU" w:date="2017-11-24T14:04:00Z" w:initials="gemPU">
    <w:p w:rsidR="0051578F" w:rsidRDefault="0051578F">
      <w:pPr>
        <w:pStyle w:val="Kommentartext"/>
      </w:pPr>
      <w:r>
        <w:rPr>
          <w:rStyle w:val="Kommentarzeichen"/>
        </w:rPr>
        <w:annotationRef/>
      </w:r>
      <w:r>
        <w:t xml:space="preserve">KBV_01, GKV_SV_08 </w:t>
      </w:r>
    </w:p>
  </w:comment>
  <w:comment w:id="84" w:author="gemPU" w:date="2017-11-23T18:40:00Z" w:initials="gemPU">
    <w:p w:rsidR="0051578F" w:rsidRDefault="0051578F">
      <w:pPr>
        <w:pStyle w:val="Kommentartext"/>
      </w:pPr>
      <w:r>
        <w:rPr>
          <w:rStyle w:val="Kommentarzeichen"/>
        </w:rPr>
        <w:annotationRef/>
      </w:r>
      <w:r>
        <w:t>KZBV_02</w:t>
      </w:r>
    </w:p>
  </w:comment>
  <w:comment w:id="85" w:author="gemPU" w:date="2017-11-23T18:20:00Z" w:initials="gemPU">
    <w:p w:rsidR="0051578F" w:rsidRDefault="0051578F">
      <w:pPr>
        <w:pStyle w:val="Kommentartext"/>
      </w:pPr>
      <w:r>
        <w:rPr>
          <w:rStyle w:val="Kommentarzeichen"/>
        </w:rPr>
        <w:annotationRef/>
      </w:r>
      <w:r>
        <w:t>KBV_02</w:t>
      </w:r>
    </w:p>
  </w:comment>
  <w:comment w:id="86" w:author="gemPU" w:date="2017-11-23T18:41:00Z" w:initials="gemPU">
    <w:p w:rsidR="0051578F" w:rsidRDefault="0051578F">
      <w:pPr>
        <w:pStyle w:val="Kommentartext"/>
      </w:pPr>
      <w:r>
        <w:rPr>
          <w:rStyle w:val="Kommentarzeichen"/>
        </w:rPr>
        <w:annotationRef/>
      </w:r>
      <w:r>
        <w:t>KZBV_02</w:t>
      </w:r>
    </w:p>
  </w:comment>
  <w:comment w:id="87" w:author="gemPU" w:date="2017-11-23T18:25:00Z" w:initials="gemPU">
    <w:p w:rsidR="0051578F" w:rsidRDefault="0051578F">
      <w:pPr>
        <w:pStyle w:val="Kommentartext"/>
      </w:pPr>
      <w:r>
        <w:rPr>
          <w:rStyle w:val="Kommentarzeichen"/>
        </w:rPr>
        <w:annotationRef/>
      </w:r>
      <w:r>
        <w:t>KBV_03</w:t>
      </w:r>
    </w:p>
  </w:comment>
  <w:comment w:id="88" w:author="gemPU" w:date="2017-11-24T15:18:00Z" w:initials="gemPU">
    <w:p w:rsidR="0051578F" w:rsidRDefault="0051578F">
      <w:pPr>
        <w:pStyle w:val="Kommentartext"/>
      </w:pPr>
      <w:r>
        <w:rPr>
          <w:rStyle w:val="Kommentarzeichen"/>
        </w:rPr>
        <w:annotationRef/>
      </w:r>
      <w:r>
        <w:t>KZBV_05, KZBV_07</w:t>
      </w:r>
    </w:p>
  </w:comment>
  <w:comment w:id="95" w:author="gemPU" w:date="2017-11-24T14:21:00Z" w:initials="gemPU">
    <w:p w:rsidR="0051578F" w:rsidRDefault="0051578F">
      <w:pPr>
        <w:pStyle w:val="Kommentartext"/>
      </w:pPr>
      <w:r>
        <w:rPr>
          <w:rStyle w:val="Kommentarzeichen"/>
        </w:rPr>
        <w:annotationRef/>
      </w:r>
      <w:r>
        <w:t>GKV_SV_10</w:t>
      </w:r>
    </w:p>
  </w:comment>
  <w:comment w:id="96" w:author="gemPU" w:date="2017-11-24T16:36:00Z" w:initials="gemPU">
    <w:p w:rsidR="0051578F" w:rsidRDefault="0051578F">
      <w:pPr>
        <w:pStyle w:val="Kommentartext"/>
      </w:pPr>
      <w:r>
        <w:rPr>
          <w:rStyle w:val="Kommentarzeichen"/>
        </w:rPr>
        <w:annotationRef/>
      </w:r>
      <w:r>
        <w:t>GKV_SV_10</w:t>
      </w:r>
    </w:p>
  </w:comment>
  <w:comment w:id="97" w:author="gemPU" w:date="2017-11-23T18:25:00Z" w:initials="gemPU">
    <w:p w:rsidR="0051578F" w:rsidRDefault="0051578F">
      <w:pPr>
        <w:pStyle w:val="Kommentartext"/>
      </w:pPr>
      <w:r>
        <w:rPr>
          <w:rStyle w:val="Kommentarzeichen"/>
        </w:rPr>
        <w:annotationRef/>
      </w:r>
      <w:r>
        <w:t>KBV_03</w:t>
      </w:r>
    </w:p>
  </w:comment>
  <w:comment w:id="98" w:author="gemPU" w:date="2017-11-24T15:17:00Z" w:initials="gemPU">
    <w:p w:rsidR="0051578F" w:rsidRDefault="0051578F">
      <w:pPr>
        <w:pStyle w:val="Kommentartext"/>
      </w:pPr>
      <w:r>
        <w:rPr>
          <w:rStyle w:val="Kommentarzeichen"/>
        </w:rPr>
        <w:annotationRef/>
      </w:r>
      <w:r>
        <w:t>KZBV_07</w:t>
      </w:r>
    </w:p>
  </w:comment>
  <w:comment w:id="99" w:author="gemPU" w:date="2017-11-24T13:03:00Z" w:initials="gemPU">
    <w:p w:rsidR="0051578F" w:rsidRDefault="0051578F">
      <w:pPr>
        <w:pStyle w:val="Kommentartext"/>
      </w:pPr>
      <w:r>
        <w:rPr>
          <w:rStyle w:val="Kommentarzeichen"/>
        </w:rPr>
        <w:annotationRef/>
      </w:r>
      <w:r>
        <w:t>KBV_02, KZBV_02, KZBV_06</w:t>
      </w:r>
    </w:p>
  </w:comment>
  <w:comment w:id="106" w:author="gemPU" w:date="2017-11-24T13:05:00Z" w:initials="gemPU">
    <w:p w:rsidR="0051578F" w:rsidRDefault="0051578F">
      <w:pPr>
        <w:pStyle w:val="Kommentartext"/>
      </w:pPr>
      <w:r>
        <w:rPr>
          <w:rStyle w:val="Kommentarzeichen"/>
        </w:rPr>
        <w:annotationRef/>
      </w:r>
      <w:r>
        <w:t>KZBV_11</w:t>
      </w:r>
    </w:p>
  </w:comment>
  <w:comment w:id="107" w:author="gemPU" w:date="2017-11-24T14:19:00Z" w:initials="gemPU">
    <w:p w:rsidR="0051578F" w:rsidRDefault="0051578F">
      <w:pPr>
        <w:pStyle w:val="Kommentartext"/>
      </w:pPr>
      <w:r>
        <w:rPr>
          <w:rStyle w:val="Kommentarzeichen"/>
        </w:rPr>
        <w:annotationRef/>
      </w:r>
      <w:r>
        <w:t>GKV_SV_13</w:t>
      </w:r>
    </w:p>
  </w:comment>
  <w:comment w:id="108" w:author="gemPU" w:date="2017-11-24T13:10:00Z" w:initials="gemPU">
    <w:p w:rsidR="0051578F" w:rsidRDefault="0051578F">
      <w:pPr>
        <w:pStyle w:val="Kommentartext"/>
      </w:pPr>
      <w:r>
        <w:rPr>
          <w:rStyle w:val="Kommentarzeichen"/>
        </w:rPr>
        <w:annotationRef/>
      </w:r>
      <w:r>
        <w:t>KZBV_13</w:t>
      </w:r>
    </w:p>
  </w:comment>
  <w:comment w:id="109" w:author="gemPU" w:date="2017-11-24T13:07:00Z" w:initials="gemPU">
    <w:p w:rsidR="0051578F" w:rsidRDefault="0051578F" w:rsidP="0023375B">
      <w:pPr>
        <w:pStyle w:val="Kommentartext"/>
      </w:pPr>
      <w:r>
        <w:rPr>
          <w:rStyle w:val="Kommentarzeichen"/>
        </w:rPr>
        <w:annotationRef/>
      </w:r>
      <w:r>
        <w:t>KZBV_12</w:t>
      </w:r>
    </w:p>
  </w:comment>
  <w:comment w:id="110" w:author="gemPU" w:date="2017-11-24T13:12:00Z" w:initials="gemPU">
    <w:p w:rsidR="0051578F" w:rsidRDefault="0051578F">
      <w:pPr>
        <w:pStyle w:val="Kommentartext"/>
      </w:pPr>
      <w:r>
        <w:rPr>
          <w:rStyle w:val="Kommentarzeichen"/>
        </w:rPr>
        <w:annotationRef/>
      </w:r>
      <w:r>
        <w:t>KZBV_14</w:t>
      </w:r>
    </w:p>
  </w:comment>
  <w:comment w:id="111" w:author="gemPU" w:date="2017-12-11T16:24:00Z" w:initials="gemPU">
    <w:p w:rsidR="0088608F" w:rsidRDefault="0088608F">
      <w:pPr>
        <w:pStyle w:val="Kommentartext"/>
      </w:pPr>
      <w:r>
        <w:rPr>
          <w:rStyle w:val="Kommentarzeichen"/>
        </w:rPr>
        <w:annotationRef/>
      </w:r>
      <w:r>
        <w:t>gematik_03</w:t>
      </w:r>
    </w:p>
  </w:comment>
  <w:comment w:id="112" w:author="gemPU" w:date="2017-12-11T16:24:00Z" w:initials="gemPU">
    <w:p w:rsidR="0088608F" w:rsidRDefault="0088608F">
      <w:pPr>
        <w:pStyle w:val="Kommentartext"/>
      </w:pPr>
      <w:r>
        <w:rPr>
          <w:rStyle w:val="Kommentarzeichen"/>
        </w:rPr>
        <w:annotationRef/>
      </w:r>
      <w:r>
        <w:t>gematik_03</w:t>
      </w:r>
    </w:p>
  </w:comment>
  <w:comment w:id="113" w:author="gemPU" w:date="2017-12-11T16:24:00Z" w:initials="gemPU">
    <w:p w:rsidR="0088608F" w:rsidRDefault="0088608F">
      <w:pPr>
        <w:pStyle w:val="Kommentartext"/>
      </w:pPr>
      <w:r>
        <w:rPr>
          <w:rStyle w:val="Kommentarzeichen"/>
        </w:rPr>
        <w:annotationRef/>
      </w:r>
      <w:r>
        <w:t>gematik_03</w:t>
      </w:r>
    </w:p>
  </w:comment>
  <w:comment w:id="114" w:author="gemPU" w:date="2017-11-24T13:07:00Z" w:initials="gemPU">
    <w:p w:rsidR="0051578F" w:rsidRDefault="0051578F" w:rsidP="0023375B">
      <w:pPr>
        <w:pStyle w:val="Kommentartext"/>
      </w:pPr>
      <w:r>
        <w:rPr>
          <w:rStyle w:val="Kommentarzeichen"/>
        </w:rPr>
        <w:annotationRef/>
      </w:r>
      <w:r>
        <w:t>KZBV_12</w:t>
      </w:r>
    </w:p>
  </w:comment>
  <w:comment w:id="115" w:author="gemPU" w:date="2017-11-24T13:13:00Z" w:initials="gemPU">
    <w:p w:rsidR="0051578F" w:rsidRDefault="0051578F">
      <w:pPr>
        <w:pStyle w:val="Kommentartext"/>
      </w:pPr>
      <w:r>
        <w:rPr>
          <w:rStyle w:val="Kommentarzeichen"/>
        </w:rPr>
        <w:annotationRef/>
      </w:r>
      <w:r>
        <w:t>KZBV_14</w:t>
      </w:r>
    </w:p>
  </w:comment>
  <w:comment w:id="118" w:author="gemPU" w:date="2017-11-24T13:17:00Z" w:initials="gemPU">
    <w:p w:rsidR="0051578F" w:rsidRDefault="0051578F">
      <w:pPr>
        <w:pStyle w:val="Kommentartext"/>
      </w:pPr>
      <w:r>
        <w:rPr>
          <w:rStyle w:val="Kommentarzeichen"/>
        </w:rPr>
        <w:annotationRef/>
      </w:r>
      <w:r>
        <w:t>KZBV_17</w:t>
      </w:r>
    </w:p>
  </w:comment>
  <w:comment w:id="119" w:author="gemPU" w:date="2017-11-24T13:14:00Z" w:initials="gemPU">
    <w:p w:rsidR="0051578F" w:rsidRDefault="0051578F">
      <w:pPr>
        <w:pStyle w:val="Kommentartext"/>
      </w:pPr>
      <w:r>
        <w:rPr>
          <w:rStyle w:val="Kommentarzeichen"/>
        </w:rPr>
        <w:annotationRef/>
      </w:r>
      <w:r>
        <w:t>KZBV_16</w:t>
      </w:r>
    </w:p>
  </w:comment>
  <w:comment w:id="120" w:author="gemPU" w:date="2017-11-23T18:38:00Z" w:initials="gemPU">
    <w:p w:rsidR="0051578F" w:rsidRDefault="0051578F">
      <w:pPr>
        <w:pStyle w:val="Kommentartext"/>
      </w:pPr>
      <w:r>
        <w:rPr>
          <w:rStyle w:val="Kommentarzeichen"/>
        </w:rPr>
        <w:annotationRef/>
      </w:r>
      <w:r>
        <w:t>KZBV_02</w:t>
      </w:r>
    </w:p>
  </w:comment>
  <w:comment w:id="121" w:author="gemPU" w:date="2017-11-23T18:39:00Z" w:initials="gemPU">
    <w:p w:rsidR="0051578F" w:rsidRDefault="0051578F">
      <w:pPr>
        <w:pStyle w:val="Kommentartext"/>
      </w:pPr>
      <w:r>
        <w:rPr>
          <w:rStyle w:val="Kommentarzeichen"/>
        </w:rPr>
        <w:annotationRef/>
      </w:r>
      <w:r>
        <w:t>KZBV_02</w:t>
      </w:r>
    </w:p>
  </w:comment>
  <w:comment w:id="122" w:author="gemPU" w:date="2017-11-24T14:06:00Z" w:initials="gemPU">
    <w:p w:rsidR="0051578F" w:rsidRDefault="0051578F" w:rsidP="00F0547E">
      <w:pPr>
        <w:pStyle w:val="Kommentartext"/>
      </w:pPr>
      <w:r>
        <w:rPr>
          <w:rStyle w:val="Kommentarzeichen"/>
        </w:rPr>
        <w:annotationRef/>
      </w:r>
      <w:r>
        <w:t>KBV_01, GKV_SV_08</w:t>
      </w:r>
    </w:p>
  </w:comment>
  <w:comment w:id="126" w:author="gemPU" w:date="2017-11-24T13:19:00Z" w:initials="gemPU">
    <w:p w:rsidR="0051578F" w:rsidRDefault="0051578F">
      <w:pPr>
        <w:pStyle w:val="Kommentartext"/>
      </w:pPr>
      <w:r>
        <w:rPr>
          <w:rStyle w:val="Kommentarzeichen"/>
        </w:rPr>
        <w:annotationRef/>
      </w:r>
      <w:r>
        <w:t>KZBV_18</w:t>
      </w:r>
    </w:p>
  </w:comment>
  <w:comment w:id="129" w:author="gemPU" w:date="2017-11-27T15:29:00Z" w:initials="gemPU">
    <w:p w:rsidR="0051578F" w:rsidRDefault="0051578F" w:rsidP="000710C4">
      <w:pPr>
        <w:pStyle w:val="Kommentartext"/>
      </w:pPr>
      <w:r>
        <w:rPr>
          <w:rStyle w:val="Kommentarzeichen"/>
        </w:rPr>
        <w:annotationRef/>
      </w:r>
      <w:r>
        <w:t>KZBV_10, KZBV_15</w:t>
      </w:r>
    </w:p>
    <w:p w:rsidR="0051578F" w:rsidRDefault="0051578F" w:rsidP="000710C4">
      <w:pPr>
        <w:pStyle w:val="Kommentartext"/>
      </w:pPr>
      <w:r>
        <w:t>Die provisorischen Anforderungs-nummern wurden ersetzt.</w:t>
      </w:r>
    </w:p>
  </w:comment>
  <w:comment w:id="132" w:author="gemPU" w:date="2017-11-30T11:15:00Z" w:initials="gemPU">
    <w:p w:rsidR="0051578F" w:rsidRDefault="0051578F">
      <w:pPr>
        <w:pStyle w:val="Kommentartext"/>
      </w:pPr>
      <w:r>
        <w:rPr>
          <w:rStyle w:val="Kommentarzeichen"/>
        </w:rPr>
        <w:annotationRef/>
      </w:r>
      <w:r>
        <w:t>gematik_01</w:t>
      </w:r>
    </w:p>
  </w:comment>
  <w:comment w:id="133" w:author="gemPU" w:date="2017-11-24T13:25:00Z" w:initials="gemPU">
    <w:p w:rsidR="0051578F" w:rsidRDefault="0051578F">
      <w:pPr>
        <w:pStyle w:val="Kommentartext"/>
      </w:pPr>
      <w:r>
        <w:rPr>
          <w:rStyle w:val="Kommentarzeichen"/>
        </w:rPr>
        <w:annotationRef/>
      </w:r>
      <w:r>
        <w:t>KZBV_19</w:t>
      </w:r>
    </w:p>
  </w:comment>
  <w:comment w:id="134" w:author="gemPU" w:date="2017-11-24T13:25:00Z" w:initials="gemPU">
    <w:p w:rsidR="0051578F" w:rsidRDefault="0051578F">
      <w:pPr>
        <w:pStyle w:val="Kommentartext"/>
      </w:pPr>
      <w:r>
        <w:rPr>
          <w:rStyle w:val="Kommentarzeichen"/>
        </w:rPr>
        <w:annotationRef/>
      </w:r>
      <w:r>
        <w:t>KZBV_19</w:t>
      </w:r>
    </w:p>
  </w:comment>
  <w:comment w:id="135" w:author="gemPU" w:date="2017-11-23T18:18:00Z" w:initials="gemPU">
    <w:p w:rsidR="0051578F" w:rsidRDefault="0051578F">
      <w:pPr>
        <w:pStyle w:val="Kommentartext"/>
      </w:pPr>
      <w:r>
        <w:rPr>
          <w:rStyle w:val="Kommentarzeichen"/>
        </w:rPr>
        <w:annotationRef/>
      </w:r>
      <w:r>
        <w:t>KBV_01</w:t>
      </w:r>
    </w:p>
  </w:comment>
  <w:comment w:id="146" w:author="gemPU" w:date="2017-11-24T15:08:00Z" w:initials="gemPU">
    <w:p w:rsidR="0051578F" w:rsidRDefault="0051578F">
      <w:pPr>
        <w:pStyle w:val="Kommentartext"/>
      </w:pPr>
      <w:r>
        <w:rPr>
          <w:rStyle w:val="Kommentarzeichen"/>
        </w:rPr>
        <w:annotationRef/>
      </w:r>
      <w:r>
        <w:t>GKV-Kommentierung zu Afo-Anpassung_DSGVO_Gesamt.xlsx zu Anforderung GS-A_4463.</w:t>
      </w:r>
    </w:p>
  </w:comment>
  <w:comment w:id="147" w:author="gemPU" w:date="2017-11-24T14:06:00Z" w:initials="gemPU">
    <w:p w:rsidR="0051578F" w:rsidRDefault="0051578F">
      <w:pPr>
        <w:pStyle w:val="Kommentartext"/>
      </w:pPr>
      <w:r>
        <w:rPr>
          <w:rStyle w:val="Kommentarzeichen"/>
        </w:rPr>
        <w:annotationRef/>
      </w:r>
      <w:r>
        <w:t>KBV_01, KBV_04, GKV_SV_08</w:t>
      </w:r>
    </w:p>
  </w:comment>
  <w:comment w:id="152" w:author="gemPU" w:date="2017-11-27T15:29:00Z" w:initials="gemPU">
    <w:p w:rsidR="0051578F" w:rsidRDefault="0051578F" w:rsidP="000710C4">
      <w:pPr>
        <w:pStyle w:val="Kommentartext"/>
      </w:pPr>
      <w:r>
        <w:rPr>
          <w:rStyle w:val="Kommentarzeichen"/>
        </w:rPr>
        <w:annotationRef/>
      </w:r>
      <w:r>
        <w:t>KZBV_10, KZBV_15</w:t>
      </w:r>
    </w:p>
    <w:p w:rsidR="0051578F" w:rsidRDefault="0051578F" w:rsidP="000710C4">
      <w:pPr>
        <w:pStyle w:val="Kommentartext"/>
      </w:pPr>
      <w:r>
        <w:t>Die provisorischen Anforderungs-nummern wurden ersetzt.</w:t>
      </w:r>
    </w:p>
  </w:comment>
  <w:comment w:id="153" w:author="gemPU" w:date="2017-11-23T18:36:00Z" w:initials="gemPU">
    <w:p w:rsidR="0051578F" w:rsidRDefault="0051578F">
      <w:pPr>
        <w:pStyle w:val="Kommentartext"/>
      </w:pPr>
      <w:r>
        <w:rPr>
          <w:rStyle w:val="Kommentarzeichen"/>
        </w:rPr>
        <w:annotationRef/>
      </w:r>
      <w:r>
        <w:t>KBV_08</w:t>
      </w:r>
    </w:p>
  </w:comment>
  <w:comment w:id="156" w:author="gemPU" w:date="2017-11-24T14:04:00Z" w:initials="gemPU">
    <w:p w:rsidR="0051578F" w:rsidRDefault="0051578F">
      <w:pPr>
        <w:pStyle w:val="Kommentartext"/>
      </w:pPr>
      <w:r>
        <w:rPr>
          <w:rStyle w:val="Kommentarzeichen"/>
        </w:rPr>
        <w:annotationRef/>
      </w:r>
      <w:r>
        <w:t>GKV_SV_03, GKV_SV_05</w:t>
      </w:r>
    </w:p>
  </w:comment>
  <w:comment w:id="161" w:author="gemPU" w:date="2017-11-24T14:29:00Z" w:initials="gemPU">
    <w:p w:rsidR="0051578F" w:rsidRDefault="0051578F">
      <w:pPr>
        <w:pStyle w:val="Kommentartext"/>
      </w:pPr>
      <w:r>
        <w:rPr>
          <w:rStyle w:val="Kommentarzeichen"/>
        </w:rPr>
        <w:annotationRef/>
      </w:r>
      <w:r>
        <w:t>GKV_SV_18</w:t>
      </w:r>
    </w:p>
  </w:comment>
  <w:comment w:id="226" w:author="gemPU" w:date="2017-11-24T14:01:00Z" w:initials="gemPU">
    <w:p w:rsidR="0051578F" w:rsidRDefault="0051578F">
      <w:pPr>
        <w:pStyle w:val="Kommentartext"/>
      </w:pPr>
      <w:r>
        <w:rPr>
          <w:rStyle w:val="Kommentarzeichen"/>
        </w:rPr>
        <w:annotationRef/>
      </w:r>
      <w:r>
        <w:t>GKV_SV_03</w:t>
      </w:r>
    </w:p>
  </w:comment>
  <w:comment w:id="231" w:author="gemPU" w:date="2017-11-23T18:34:00Z" w:initials="gemPU">
    <w:p w:rsidR="0051578F" w:rsidRDefault="0051578F">
      <w:pPr>
        <w:pStyle w:val="Kommentartext"/>
      </w:pPr>
      <w:r>
        <w:rPr>
          <w:rStyle w:val="Kommentarzeichen"/>
        </w:rPr>
        <w:annotationRef/>
      </w:r>
      <w:r>
        <w:t>KBV_07</w:t>
      </w:r>
    </w:p>
  </w:comment>
  <w:comment w:id="233" w:author="gemPU" w:date="2017-12-07T15:08:00Z" w:initials="gemPU">
    <w:p w:rsidR="0051578F" w:rsidRDefault="0051578F">
      <w:pPr>
        <w:pStyle w:val="Kommentartext"/>
      </w:pPr>
      <w:r>
        <w:rPr>
          <w:rStyle w:val="Kommentarzeichen"/>
        </w:rPr>
        <w:annotationRef/>
      </w:r>
      <w:r>
        <w:t>gematik_02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78F" w:rsidRDefault="0051578F" w:rsidP="005073B5">
      <w:pPr>
        <w:pStyle w:val="Kurzberschrift"/>
      </w:pPr>
      <w:r>
        <w:separator/>
      </w:r>
    </w:p>
  </w:endnote>
  <w:endnote w:type="continuationSeparator" w:id="0">
    <w:p w:rsidR="0051578F" w:rsidRDefault="0051578F" w:rsidP="005073B5">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51578F" w:rsidTr="00845BB5">
      <w:tc>
        <w:tcPr>
          <w:tcW w:w="6644" w:type="dxa"/>
          <w:gridSpan w:val="2"/>
          <w:tcBorders>
            <w:top w:val="nil"/>
            <w:bottom w:val="single" w:sz="4" w:space="0" w:color="auto"/>
          </w:tcBorders>
          <w:shd w:val="clear" w:color="auto" w:fill="auto"/>
        </w:tcPr>
        <w:p w:rsidR="0051578F" w:rsidRDefault="0051578F" w:rsidP="00845BB5">
          <w:pPr>
            <w:pStyle w:val="Fuzeile"/>
            <w:spacing w:before="60" w:after="0"/>
          </w:pPr>
        </w:p>
      </w:tc>
      <w:tc>
        <w:tcPr>
          <w:tcW w:w="2308" w:type="dxa"/>
          <w:tcBorders>
            <w:top w:val="nil"/>
            <w:bottom w:val="single" w:sz="4" w:space="0" w:color="auto"/>
          </w:tcBorders>
          <w:shd w:val="clear" w:color="auto" w:fill="auto"/>
        </w:tcPr>
        <w:p w:rsidR="0051578F" w:rsidRDefault="0051578F" w:rsidP="00845BB5">
          <w:pPr>
            <w:pStyle w:val="Fuzeile"/>
            <w:spacing w:before="60" w:after="0"/>
            <w:jc w:val="right"/>
          </w:pPr>
        </w:p>
      </w:tc>
    </w:tr>
    <w:tr w:rsidR="0051578F" w:rsidTr="00845BB5">
      <w:tc>
        <w:tcPr>
          <w:tcW w:w="6644" w:type="dxa"/>
          <w:gridSpan w:val="2"/>
          <w:tcBorders>
            <w:top w:val="single" w:sz="4" w:space="0" w:color="auto"/>
            <w:bottom w:val="nil"/>
          </w:tcBorders>
          <w:shd w:val="clear" w:color="auto" w:fill="auto"/>
        </w:tcPr>
        <w:p w:rsidR="0051578F" w:rsidRDefault="0071250F" w:rsidP="00845BB5">
          <w:pPr>
            <w:pStyle w:val="Fuzeile"/>
            <w:spacing w:before="60" w:after="0"/>
          </w:pPr>
          <w:fldSimple w:instr=" FILENAME   \* MERGEFORMAT ">
            <w:r w:rsidR="0051578F">
              <w:rPr>
                <w:noProof/>
              </w:rPr>
              <w:t>gemSpec_Datenschutz_Sicherheit_Anbieter.docx</w:t>
            </w:r>
          </w:fldSimple>
        </w:p>
      </w:tc>
      <w:tc>
        <w:tcPr>
          <w:tcW w:w="2308" w:type="dxa"/>
          <w:tcBorders>
            <w:top w:val="single" w:sz="4" w:space="0" w:color="auto"/>
            <w:bottom w:val="nil"/>
          </w:tcBorders>
          <w:shd w:val="clear" w:color="auto" w:fill="auto"/>
        </w:tcPr>
        <w:p w:rsidR="0051578F" w:rsidRDefault="0051578F" w:rsidP="00845BB5">
          <w:pPr>
            <w:pStyle w:val="Fuzeile"/>
            <w:spacing w:before="60" w:after="0"/>
            <w:jc w:val="right"/>
          </w:pPr>
          <w:r>
            <w:t xml:space="preserve">Seite </w:t>
          </w:r>
          <w:r w:rsidRPr="008F5DB7">
            <w:rPr>
              <w:rStyle w:val="Seitenzahl"/>
              <w:sz w:val="16"/>
              <w:szCs w:val="16"/>
            </w:rPr>
            <w:fldChar w:fldCharType="begin"/>
          </w:r>
          <w:r w:rsidRPr="008F5DB7">
            <w:rPr>
              <w:rStyle w:val="Seitenzahl"/>
              <w:sz w:val="16"/>
              <w:szCs w:val="16"/>
            </w:rPr>
            <w:instrText xml:space="preserve"> PAGE </w:instrText>
          </w:r>
          <w:r w:rsidRPr="008F5DB7">
            <w:rPr>
              <w:rStyle w:val="Seitenzahl"/>
              <w:sz w:val="16"/>
              <w:szCs w:val="16"/>
            </w:rPr>
            <w:fldChar w:fldCharType="separate"/>
          </w:r>
          <w:r w:rsidR="002E6160">
            <w:rPr>
              <w:rStyle w:val="Seitenzahl"/>
              <w:noProof/>
              <w:sz w:val="16"/>
              <w:szCs w:val="16"/>
            </w:rPr>
            <w:t>44</w:t>
          </w:r>
          <w:r w:rsidRPr="008F5DB7">
            <w:rPr>
              <w:rStyle w:val="Seitenzahl"/>
              <w:sz w:val="16"/>
              <w:szCs w:val="16"/>
            </w:rPr>
            <w:fldChar w:fldCharType="end"/>
          </w:r>
          <w:r w:rsidRPr="008F5DB7">
            <w:rPr>
              <w:rStyle w:val="Seitenzahl"/>
              <w:sz w:val="18"/>
              <w:szCs w:val="18"/>
            </w:rPr>
            <w:t xml:space="preserve"> von </w:t>
          </w:r>
          <w:r w:rsidRPr="008F5DB7">
            <w:rPr>
              <w:rStyle w:val="Seitenzahl"/>
              <w:sz w:val="16"/>
              <w:szCs w:val="16"/>
            </w:rPr>
            <w:fldChar w:fldCharType="begin"/>
          </w:r>
          <w:r w:rsidRPr="008F5DB7">
            <w:rPr>
              <w:rStyle w:val="Seitenzahl"/>
              <w:sz w:val="16"/>
              <w:szCs w:val="16"/>
            </w:rPr>
            <w:instrText xml:space="preserve"> NUMPAGES </w:instrText>
          </w:r>
          <w:r w:rsidRPr="008F5DB7">
            <w:rPr>
              <w:rStyle w:val="Seitenzahl"/>
              <w:sz w:val="16"/>
              <w:szCs w:val="16"/>
            </w:rPr>
            <w:fldChar w:fldCharType="separate"/>
          </w:r>
          <w:r w:rsidR="002E6160">
            <w:rPr>
              <w:rStyle w:val="Seitenzahl"/>
              <w:noProof/>
              <w:sz w:val="16"/>
              <w:szCs w:val="16"/>
            </w:rPr>
            <w:t>44</w:t>
          </w:r>
          <w:r w:rsidRPr="008F5DB7">
            <w:rPr>
              <w:rStyle w:val="Seitenzahl"/>
              <w:sz w:val="16"/>
              <w:szCs w:val="16"/>
            </w:rPr>
            <w:fldChar w:fldCharType="end"/>
          </w:r>
        </w:p>
      </w:tc>
    </w:tr>
    <w:tr w:rsidR="0051578F" w:rsidTr="00845BB5">
      <w:tc>
        <w:tcPr>
          <w:tcW w:w="3921" w:type="dxa"/>
          <w:tcBorders>
            <w:top w:val="nil"/>
          </w:tcBorders>
          <w:shd w:val="clear" w:color="auto" w:fill="auto"/>
        </w:tcPr>
        <w:p w:rsidR="0051578F" w:rsidRDefault="0051578F" w:rsidP="00845BB5">
          <w:pPr>
            <w:pStyle w:val="Fuzeile"/>
            <w:spacing w:before="60" w:after="0"/>
          </w:pPr>
          <w:r>
            <w:t xml:space="preserve">Version: </w:t>
          </w:r>
          <w:r>
            <w:fldChar w:fldCharType="begin"/>
          </w:r>
          <w:r>
            <w:instrText xml:space="preserve"> REF Version \h </w:instrText>
          </w:r>
          <w:r>
            <w:fldChar w:fldCharType="separate"/>
          </w:r>
          <w:r>
            <w:rPr>
              <w:rFonts w:eastAsia="Times New Roman"/>
            </w:rPr>
            <w:t>1.0.0 CC</w:t>
          </w:r>
          <w:r>
            <w:fldChar w:fldCharType="end"/>
          </w:r>
        </w:p>
      </w:tc>
      <w:tc>
        <w:tcPr>
          <w:tcW w:w="2723" w:type="dxa"/>
          <w:tcBorders>
            <w:top w:val="nil"/>
          </w:tcBorders>
          <w:shd w:val="clear" w:color="auto" w:fill="auto"/>
        </w:tcPr>
        <w:p w:rsidR="0051578F" w:rsidRDefault="0051578F" w:rsidP="00845BB5">
          <w:pPr>
            <w:pStyle w:val="Fuzeile"/>
            <w:spacing w:before="60" w:after="0"/>
          </w:pPr>
          <w:r w:rsidRPr="008F5DB7">
            <w:rPr>
              <w:rStyle w:val="Seitenzahl"/>
              <w:sz w:val="16"/>
            </w:rPr>
            <w:t xml:space="preserve">© </w:t>
          </w:r>
          <w:r w:rsidRPr="008F5DB7">
            <w:rPr>
              <w:rStyle w:val="Seitenzahl"/>
              <w:sz w:val="16"/>
              <w:szCs w:val="16"/>
            </w:rPr>
            <w:t xml:space="preserve">gematik – </w:t>
          </w:r>
          <w:r w:rsidRPr="008F5DB7">
            <w:rPr>
              <w:rStyle w:val="Seitenzahl"/>
              <w:sz w:val="16"/>
              <w:szCs w:val="16"/>
            </w:rPr>
            <w:fldChar w:fldCharType="begin"/>
          </w:r>
          <w:r w:rsidRPr="008F5DB7">
            <w:rPr>
              <w:rStyle w:val="Seitenzahl"/>
              <w:sz w:val="16"/>
              <w:szCs w:val="16"/>
            </w:rPr>
            <w:instrText xml:space="preserve"> REF Klasse \h </w:instrText>
          </w:r>
          <w:r w:rsidRPr="008F5DB7">
            <w:rPr>
              <w:rStyle w:val="Seitenzahl"/>
              <w:sz w:val="16"/>
              <w:szCs w:val="16"/>
            </w:rPr>
          </w:r>
          <w:r w:rsidRPr="008F5DB7">
            <w:rPr>
              <w:rStyle w:val="Seitenzahl"/>
              <w:sz w:val="16"/>
              <w:szCs w:val="16"/>
            </w:rPr>
            <w:fldChar w:fldCharType="separate"/>
          </w:r>
          <w:proofErr w:type="spellStart"/>
          <w:r>
            <w:rPr>
              <w:rFonts w:eastAsia="Times New Roman"/>
            </w:rPr>
            <w:t>vertraulich_LA</w:t>
          </w:r>
          <w:proofErr w:type="spellEnd"/>
          <w:r w:rsidRPr="008F5DB7">
            <w:rPr>
              <w:rStyle w:val="Seitenzahl"/>
              <w:sz w:val="16"/>
              <w:szCs w:val="16"/>
            </w:rPr>
            <w:fldChar w:fldCharType="end"/>
          </w:r>
        </w:p>
      </w:tc>
      <w:tc>
        <w:tcPr>
          <w:tcW w:w="2308" w:type="dxa"/>
          <w:tcBorders>
            <w:top w:val="nil"/>
          </w:tcBorders>
          <w:shd w:val="clear" w:color="auto" w:fill="auto"/>
        </w:tcPr>
        <w:p w:rsidR="0051578F" w:rsidRDefault="0051578F" w:rsidP="00845BB5">
          <w:pPr>
            <w:pStyle w:val="Fuzeile"/>
            <w:spacing w:before="60" w:after="0"/>
            <w:jc w:val="right"/>
          </w:pPr>
          <w:r>
            <w:t xml:space="preserve">Stand: </w:t>
          </w:r>
          <w:r>
            <w:fldChar w:fldCharType="begin"/>
          </w:r>
          <w:r>
            <w:instrText xml:space="preserve"> REF Stand \h </w:instrText>
          </w:r>
          <w:r>
            <w:fldChar w:fldCharType="separate"/>
          </w:r>
          <w:r>
            <w:rPr>
              <w:rFonts w:eastAsia="Times New Roman"/>
            </w:rPr>
            <w:t>25.10.2017</w:t>
          </w:r>
          <w:r>
            <w:fldChar w:fldCharType="end"/>
          </w:r>
          <w:r>
            <w:t xml:space="preserve"> </w:t>
          </w:r>
        </w:p>
      </w:tc>
    </w:tr>
  </w:tbl>
  <w:p w:rsidR="0051578F" w:rsidRPr="00F06C0E" w:rsidRDefault="0051578F">
    <w:pPr>
      <w:pStyle w:val="Fuzeile"/>
      <w:rPr>
        <w:sz w:val="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51578F" w:rsidTr="007B74C1">
      <w:tc>
        <w:tcPr>
          <w:tcW w:w="6644" w:type="dxa"/>
          <w:gridSpan w:val="2"/>
          <w:tcBorders>
            <w:top w:val="nil"/>
            <w:bottom w:val="single" w:sz="4" w:space="0" w:color="auto"/>
          </w:tcBorders>
          <w:shd w:val="clear" w:color="auto" w:fill="auto"/>
        </w:tcPr>
        <w:p w:rsidR="0051578F" w:rsidRDefault="0051578F" w:rsidP="007B74C1">
          <w:pPr>
            <w:pStyle w:val="Fuzeile"/>
            <w:spacing w:before="60" w:after="0"/>
          </w:pPr>
        </w:p>
      </w:tc>
      <w:tc>
        <w:tcPr>
          <w:tcW w:w="2308" w:type="dxa"/>
          <w:tcBorders>
            <w:top w:val="nil"/>
            <w:bottom w:val="single" w:sz="4" w:space="0" w:color="auto"/>
          </w:tcBorders>
          <w:shd w:val="clear" w:color="auto" w:fill="auto"/>
        </w:tcPr>
        <w:p w:rsidR="0051578F" w:rsidRDefault="0051578F" w:rsidP="007B74C1">
          <w:pPr>
            <w:pStyle w:val="Fuzeile"/>
            <w:spacing w:before="60" w:after="0"/>
            <w:jc w:val="right"/>
          </w:pPr>
        </w:p>
      </w:tc>
    </w:tr>
    <w:tr w:rsidR="0051578F" w:rsidTr="007B74C1">
      <w:tc>
        <w:tcPr>
          <w:tcW w:w="6644" w:type="dxa"/>
          <w:gridSpan w:val="2"/>
          <w:tcBorders>
            <w:top w:val="single" w:sz="4" w:space="0" w:color="auto"/>
            <w:bottom w:val="nil"/>
          </w:tcBorders>
          <w:shd w:val="clear" w:color="auto" w:fill="auto"/>
        </w:tcPr>
        <w:p w:rsidR="0051578F" w:rsidRDefault="0071250F" w:rsidP="007B74C1">
          <w:pPr>
            <w:pStyle w:val="Fuzeile"/>
            <w:spacing w:before="60" w:after="0"/>
          </w:pPr>
          <w:fldSimple w:instr=" FILENAME   \* MERGEFORMAT ">
            <w:r w:rsidR="0051578F">
              <w:rPr>
                <w:noProof/>
              </w:rPr>
              <w:t>gemSpec_Datenschutz_Sicherheit_Anbieter.docx</w:t>
            </w:r>
          </w:fldSimple>
        </w:p>
      </w:tc>
      <w:tc>
        <w:tcPr>
          <w:tcW w:w="2308" w:type="dxa"/>
          <w:tcBorders>
            <w:top w:val="single" w:sz="4" w:space="0" w:color="auto"/>
            <w:bottom w:val="nil"/>
          </w:tcBorders>
          <w:shd w:val="clear" w:color="auto" w:fill="auto"/>
        </w:tcPr>
        <w:p w:rsidR="0051578F" w:rsidRDefault="0051578F" w:rsidP="007B74C1">
          <w:pPr>
            <w:pStyle w:val="Fuzeile"/>
            <w:spacing w:before="60" w:after="0"/>
            <w:jc w:val="right"/>
          </w:pPr>
          <w:r>
            <w:t xml:space="preserve">Seite </w:t>
          </w:r>
          <w:r w:rsidRPr="008F5DB7">
            <w:rPr>
              <w:rStyle w:val="Seitenzahl"/>
              <w:sz w:val="16"/>
              <w:szCs w:val="16"/>
            </w:rPr>
            <w:fldChar w:fldCharType="begin"/>
          </w:r>
          <w:r w:rsidRPr="008F5DB7">
            <w:rPr>
              <w:rStyle w:val="Seitenzahl"/>
              <w:sz w:val="16"/>
              <w:szCs w:val="16"/>
            </w:rPr>
            <w:instrText xml:space="preserve"> PAGE </w:instrText>
          </w:r>
          <w:r w:rsidRPr="008F5DB7">
            <w:rPr>
              <w:rStyle w:val="Seitenzahl"/>
              <w:sz w:val="16"/>
              <w:szCs w:val="16"/>
            </w:rPr>
            <w:fldChar w:fldCharType="separate"/>
          </w:r>
          <w:r w:rsidR="002E6160">
            <w:rPr>
              <w:rStyle w:val="Seitenzahl"/>
              <w:noProof/>
              <w:sz w:val="16"/>
              <w:szCs w:val="16"/>
            </w:rPr>
            <w:t>3</w:t>
          </w:r>
          <w:r w:rsidRPr="008F5DB7">
            <w:rPr>
              <w:rStyle w:val="Seitenzahl"/>
              <w:sz w:val="16"/>
              <w:szCs w:val="16"/>
            </w:rPr>
            <w:fldChar w:fldCharType="end"/>
          </w:r>
          <w:r w:rsidRPr="008F5DB7">
            <w:rPr>
              <w:rStyle w:val="Seitenzahl"/>
              <w:sz w:val="18"/>
              <w:szCs w:val="18"/>
            </w:rPr>
            <w:t xml:space="preserve"> von </w:t>
          </w:r>
          <w:r w:rsidRPr="008F5DB7">
            <w:rPr>
              <w:rStyle w:val="Seitenzahl"/>
              <w:sz w:val="16"/>
              <w:szCs w:val="16"/>
            </w:rPr>
            <w:fldChar w:fldCharType="begin"/>
          </w:r>
          <w:r w:rsidRPr="008F5DB7">
            <w:rPr>
              <w:rStyle w:val="Seitenzahl"/>
              <w:sz w:val="16"/>
              <w:szCs w:val="16"/>
            </w:rPr>
            <w:instrText xml:space="preserve"> NUMPAGES </w:instrText>
          </w:r>
          <w:r w:rsidRPr="008F5DB7">
            <w:rPr>
              <w:rStyle w:val="Seitenzahl"/>
              <w:sz w:val="16"/>
              <w:szCs w:val="16"/>
            </w:rPr>
            <w:fldChar w:fldCharType="separate"/>
          </w:r>
          <w:r w:rsidR="002E6160">
            <w:rPr>
              <w:rStyle w:val="Seitenzahl"/>
              <w:noProof/>
              <w:sz w:val="16"/>
              <w:szCs w:val="16"/>
            </w:rPr>
            <w:t>26</w:t>
          </w:r>
          <w:r w:rsidRPr="008F5DB7">
            <w:rPr>
              <w:rStyle w:val="Seitenzahl"/>
              <w:sz w:val="16"/>
              <w:szCs w:val="16"/>
            </w:rPr>
            <w:fldChar w:fldCharType="end"/>
          </w:r>
        </w:p>
      </w:tc>
    </w:tr>
    <w:tr w:rsidR="0051578F" w:rsidTr="007B74C1">
      <w:tc>
        <w:tcPr>
          <w:tcW w:w="3921" w:type="dxa"/>
          <w:tcBorders>
            <w:top w:val="nil"/>
          </w:tcBorders>
          <w:shd w:val="clear" w:color="auto" w:fill="auto"/>
        </w:tcPr>
        <w:p w:rsidR="0051578F" w:rsidRDefault="0051578F" w:rsidP="007B74C1">
          <w:pPr>
            <w:pStyle w:val="Fuzeile"/>
            <w:spacing w:before="60" w:after="0"/>
          </w:pPr>
          <w:r>
            <w:t xml:space="preserve">Version: </w:t>
          </w:r>
          <w:r>
            <w:fldChar w:fldCharType="begin"/>
          </w:r>
          <w:r>
            <w:instrText xml:space="preserve"> REF Version \h </w:instrText>
          </w:r>
          <w:r>
            <w:fldChar w:fldCharType="separate"/>
          </w:r>
          <w:r>
            <w:rPr>
              <w:rFonts w:eastAsia="Times New Roman"/>
            </w:rPr>
            <w:t>1.0.0 CC</w:t>
          </w:r>
          <w:r>
            <w:fldChar w:fldCharType="end"/>
          </w:r>
        </w:p>
      </w:tc>
      <w:tc>
        <w:tcPr>
          <w:tcW w:w="2723" w:type="dxa"/>
          <w:tcBorders>
            <w:top w:val="nil"/>
          </w:tcBorders>
          <w:shd w:val="clear" w:color="auto" w:fill="auto"/>
        </w:tcPr>
        <w:p w:rsidR="0051578F" w:rsidRDefault="0051578F" w:rsidP="007B74C1">
          <w:pPr>
            <w:pStyle w:val="Fuzeile"/>
            <w:spacing w:before="60" w:after="0"/>
          </w:pPr>
          <w:r w:rsidRPr="008F5DB7">
            <w:rPr>
              <w:rStyle w:val="Seitenzahl"/>
              <w:sz w:val="16"/>
            </w:rPr>
            <w:t xml:space="preserve">© </w:t>
          </w:r>
          <w:r w:rsidRPr="008F5DB7">
            <w:rPr>
              <w:rStyle w:val="Seitenzahl"/>
              <w:sz w:val="16"/>
              <w:szCs w:val="16"/>
            </w:rPr>
            <w:t xml:space="preserve">gematik – </w:t>
          </w:r>
          <w:r w:rsidRPr="008F5DB7">
            <w:rPr>
              <w:rStyle w:val="Seitenzahl"/>
              <w:sz w:val="16"/>
              <w:szCs w:val="16"/>
            </w:rPr>
            <w:fldChar w:fldCharType="begin"/>
          </w:r>
          <w:r w:rsidRPr="008F5DB7">
            <w:rPr>
              <w:rStyle w:val="Seitenzahl"/>
              <w:sz w:val="16"/>
              <w:szCs w:val="16"/>
            </w:rPr>
            <w:instrText xml:space="preserve"> REF Klasse \h </w:instrText>
          </w:r>
          <w:r w:rsidRPr="008F5DB7">
            <w:rPr>
              <w:rStyle w:val="Seitenzahl"/>
              <w:sz w:val="16"/>
              <w:szCs w:val="16"/>
            </w:rPr>
          </w:r>
          <w:r w:rsidRPr="008F5DB7">
            <w:rPr>
              <w:rStyle w:val="Seitenzahl"/>
              <w:sz w:val="16"/>
              <w:szCs w:val="16"/>
            </w:rPr>
            <w:fldChar w:fldCharType="separate"/>
          </w:r>
          <w:proofErr w:type="spellStart"/>
          <w:r>
            <w:rPr>
              <w:rFonts w:eastAsia="Times New Roman"/>
            </w:rPr>
            <w:t>vertraulich_LA</w:t>
          </w:r>
          <w:proofErr w:type="spellEnd"/>
          <w:r w:rsidRPr="008F5DB7">
            <w:rPr>
              <w:rStyle w:val="Seitenzahl"/>
              <w:sz w:val="16"/>
              <w:szCs w:val="16"/>
            </w:rPr>
            <w:fldChar w:fldCharType="end"/>
          </w:r>
        </w:p>
      </w:tc>
      <w:tc>
        <w:tcPr>
          <w:tcW w:w="2308" w:type="dxa"/>
          <w:tcBorders>
            <w:top w:val="nil"/>
          </w:tcBorders>
          <w:shd w:val="clear" w:color="auto" w:fill="auto"/>
        </w:tcPr>
        <w:p w:rsidR="0051578F" w:rsidRDefault="0051578F" w:rsidP="007B74C1">
          <w:pPr>
            <w:pStyle w:val="Fuzeile"/>
            <w:spacing w:before="60" w:after="0"/>
            <w:jc w:val="right"/>
          </w:pPr>
          <w:r>
            <w:t xml:space="preserve">Stand: </w:t>
          </w:r>
          <w:r>
            <w:fldChar w:fldCharType="begin"/>
          </w:r>
          <w:r>
            <w:instrText xml:space="preserve"> REF Stand \h </w:instrText>
          </w:r>
          <w:r>
            <w:fldChar w:fldCharType="separate"/>
          </w:r>
          <w:r>
            <w:rPr>
              <w:rFonts w:eastAsia="Times New Roman"/>
            </w:rPr>
            <w:t>25.10.2017</w:t>
          </w:r>
          <w:r>
            <w:fldChar w:fldCharType="end"/>
          </w:r>
          <w:r>
            <w:t xml:space="preserve"> </w:t>
          </w:r>
        </w:p>
      </w:tc>
    </w:tr>
  </w:tbl>
  <w:p w:rsidR="0051578F" w:rsidRPr="007B74C1" w:rsidRDefault="0051578F" w:rsidP="007B74C1">
    <w:pPr>
      <w:pStyle w:val="Fuzeile"/>
    </w:pPr>
    <w:r>
      <w:rPr>
        <w:noProof/>
      </w:rPr>
      <w:drawing>
        <wp:anchor distT="0" distB="0" distL="114300" distR="114300" simplePos="0" relativeHeight="251659264" behindDoc="1" locked="0" layoutInCell="1" allowOverlap="1" wp14:anchorId="23DC9B7E" wp14:editId="61460033">
          <wp:simplePos x="0" y="0"/>
          <wp:positionH relativeFrom="column">
            <wp:posOffset>3658235</wp:posOffset>
          </wp:positionH>
          <wp:positionV relativeFrom="paragraph">
            <wp:posOffset>-9746615</wp:posOffset>
          </wp:positionV>
          <wp:extent cx="1904400" cy="712800"/>
          <wp:effectExtent l="0" t="0" r="635" b="0"/>
          <wp:wrapTight wrapText="bothSides">
            <wp:wrapPolygon edited="0">
              <wp:start x="0" y="0"/>
              <wp:lineTo x="0" y="20791"/>
              <wp:lineTo x="21391" y="20791"/>
              <wp:lineTo x="21391" y="0"/>
              <wp:lineTo x="0" y="0"/>
            </wp:wrapPolygon>
          </wp:wrapTight>
          <wp:docPr id="7" name="Bild 7"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400" cy="7128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78F" w:rsidRDefault="0051578F" w:rsidP="005073B5">
      <w:pPr>
        <w:pStyle w:val="Kurzberschrift"/>
      </w:pPr>
      <w:r>
        <w:separator/>
      </w:r>
    </w:p>
  </w:footnote>
  <w:footnote w:type="continuationSeparator" w:id="0">
    <w:p w:rsidR="0051578F" w:rsidRDefault="0051578F" w:rsidP="005073B5">
      <w:pPr>
        <w:pStyle w:val="Kurzberschrift"/>
      </w:pPr>
      <w:r>
        <w:continuationSeparator/>
      </w:r>
    </w:p>
  </w:footnote>
  <w:footnote w:id="1">
    <w:p w:rsidR="0051578F" w:rsidRDefault="0051578F" w:rsidP="001E14FA">
      <w:pPr>
        <w:pStyle w:val="Funotentext"/>
      </w:pPr>
      <w:r w:rsidRPr="00B37A8C">
        <w:rPr>
          <w:rStyle w:val="Funotenzeichen"/>
          <w:sz w:val="14"/>
        </w:rPr>
        <w:footnoteRef/>
      </w:r>
      <w:r>
        <w:t xml:space="preserve"> </w:t>
      </w:r>
      <w:r w:rsidRPr="00B37A8C">
        <w:rPr>
          <w:sz w:val="16"/>
        </w:rPr>
        <w:t>Die Art der Anbindungstechnik für weitere Anwendungen an die TI wird von der gematik geprüft, mit dem Ziel, die Anbindung für weitere Anwendungen zu vereinfachen und die Sicherheitsanforderungen an die Anbieter zu reduzieren. Ziel ist es, dass auch den aAdG und aAdG-NetG-TI das Modul „Weitere Anwendungen (ohne TI-Beeinträchtigung)“ zugeordnet werden kann.</w:t>
      </w:r>
    </w:p>
  </w:footnote>
  <w:footnote w:id="2">
    <w:p w:rsidR="0051578F" w:rsidRDefault="0051578F">
      <w:pPr>
        <w:pStyle w:val="Funotentext"/>
      </w:pPr>
      <w:r w:rsidRPr="00F62F95">
        <w:rPr>
          <w:rStyle w:val="Funotenzeichen"/>
          <w:highlight w:val="yellow"/>
        </w:rPr>
        <w:footnoteRef/>
      </w:r>
      <w:r w:rsidRPr="00F62F95">
        <w:rPr>
          <w:highlight w:val="yellow"/>
        </w:rPr>
        <w:t xml:space="preserve"> Die betroffenen zentralen Produkttypen sind CVC-Root, gematik Root-CA, Intermediär VSDM, Namensdienst, TSP CVC, TSP X.509 nonQES (HBA, SMC-B, gSMC, FD, ZD), TSL-Dienst, Fachdienst KOM-LE.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51578F" w:rsidTr="008F5DB7">
      <w:tc>
        <w:tcPr>
          <w:tcW w:w="6503" w:type="dxa"/>
          <w:shd w:val="clear" w:color="auto" w:fill="auto"/>
        </w:tcPr>
        <w:p w:rsidR="0051578F" w:rsidRPr="002F3BBF" w:rsidRDefault="0051578F" w:rsidP="002F3BBF">
          <w:pPr>
            <w:pStyle w:val="gemTitelKopf"/>
            <w:rPr>
              <w:rFonts w:ascii="Tahoma" w:hAnsi="Tahoma" w:cs="Tahoma"/>
              <w:sz w:val="24"/>
            </w:rPr>
          </w:pPr>
          <w:r w:rsidRPr="00174C2F">
            <w:rPr>
              <w:rFonts w:ascii="Tahoma" w:hAnsi="Tahoma" w:cs="Tahoma"/>
              <w:sz w:val="24"/>
            </w:rPr>
            <w:fldChar w:fldCharType="begin"/>
          </w:r>
          <w:r w:rsidRPr="00174C2F">
            <w:rPr>
              <w:rFonts w:ascii="Tahoma" w:hAnsi="Tahoma" w:cs="Tahoma"/>
              <w:sz w:val="24"/>
            </w:rPr>
            <w:instrText xml:space="preserve"> REF  DokTitel \h  \* MERGEFORMAT </w:instrText>
          </w:r>
          <w:r w:rsidRPr="00174C2F">
            <w:rPr>
              <w:rFonts w:ascii="Tahoma" w:hAnsi="Tahoma" w:cs="Tahoma"/>
              <w:sz w:val="24"/>
            </w:rPr>
          </w:r>
          <w:r w:rsidRPr="00174C2F">
            <w:rPr>
              <w:rFonts w:ascii="Tahoma" w:hAnsi="Tahoma" w:cs="Tahoma"/>
              <w:sz w:val="24"/>
            </w:rPr>
            <w:fldChar w:fldCharType="separate"/>
          </w:r>
          <w:r w:rsidRPr="002F3BBF">
            <w:rPr>
              <w:rFonts w:ascii="Tahoma" w:hAnsi="Tahoma" w:cs="Tahoma"/>
              <w:sz w:val="24"/>
            </w:rPr>
            <w:t xml:space="preserve">Spezifikation Datenschutz- und Sicherheitsanforderungen der TI an Anbieter </w:t>
          </w:r>
        </w:p>
        <w:p w:rsidR="0051578F" w:rsidRDefault="0051578F" w:rsidP="00B666A1">
          <w:pPr>
            <w:pStyle w:val="gemTitelKopf"/>
          </w:pPr>
          <w:r w:rsidRPr="00174C2F">
            <w:rPr>
              <w:rFonts w:ascii="Tahoma" w:hAnsi="Tahoma" w:cs="Tahoma"/>
              <w:sz w:val="24"/>
            </w:rPr>
            <w:fldChar w:fldCharType="end"/>
          </w:r>
        </w:p>
      </w:tc>
      <w:tc>
        <w:tcPr>
          <w:tcW w:w="2442" w:type="dxa"/>
          <w:shd w:val="clear" w:color="auto" w:fill="auto"/>
        </w:tcPr>
        <w:p w:rsidR="0051578F" w:rsidRDefault="0051578F" w:rsidP="008F5DB7">
          <w:pPr>
            <w:pStyle w:val="gemTitelKopf"/>
            <w:jc w:val="right"/>
          </w:pPr>
          <w:r>
            <w:rPr>
              <w:noProof/>
            </w:rPr>
            <w:drawing>
              <wp:inline distT="0" distB="0" distL="0" distR="0" wp14:anchorId="238D6812" wp14:editId="02DE43D3">
                <wp:extent cx="1409700" cy="523875"/>
                <wp:effectExtent l="0" t="0" r="0" b="9525"/>
                <wp:docPr id="2" name="Bild 1"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r>
  </w:tbl>
  <w:p w:rsidR="0051578F" w:rsidRDefault="0051578F" w:rsidP="007913B1">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78F" w:rsidRDefault="005157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7A47"/>
    <w:multiLevelType w:val="hybridMultilevel"/>
    <w:tmpl w:val="6F685B5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5A18D9"/>
    <w:multiLevelType w:val="hybridMultilevel"/>
    <w:tmpl w:val="CA5E2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80E2851"/>
    <w:multiLevelType w:val="hybridMultilevel"/>
    <w:tmpl w:val="A00ECB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83C1346"/>
    <w:multiLevelType w:val="hybridMultilevel"/>
    <w:tmpl w:val="2D54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B7520F"/>
    <w:multiLevelType w:val="hybridMultilevel"/>
    <w:tmpl w:val="C20CE358"/>
    <w:lvl w:ilvl="0" w:tplc="0407000F">
      <w:start w:val="1"/>
      <w:numFmt w:val="decimal"/>
      <w:lvlText w:val="%1."/>
      <w:lvlJc w:val="left"/>
      <w:pPr>
        <w:ind w:left="1069" w:hanging="360"/>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5">
    <w:nsid w:val="138B024A"/>
    <w:multiLevelType w:val="hybridMultilevel"/>
    <w:tmpl w:val="C20CE358"/>
    <w:lvl w:ilvl="0" w:tplc="0407000F">
      <w:start w:val="1"/>
      <w:numFmt w:val="decimal"/>
      <w:lvlText w:val="%1."/>
      <w:lvlJc w:val="left"/>
      <w:pPr>
        <w:ind w:left="1069" w:hanging="360"/>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6">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7">
    <w:nsid w:val="1DF7449C"/>
    <w:multiLevelType w:val="hybridMultilevel"/>
    <w:tmpl w:val="ABF8F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B06882"/>
    <w:multiLevelType w:val="hybridMultilevel"/>
    <w:tmpl w:val="E51272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28F503A4"/>
    <w:multiLevelType w:val="hybridMultilevel"/>
    <w:tmpl w:val="ABD8F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C131C9E"/>
    <w:multiLevelType w:val="hybridMultilevel"/>
    <w:tmpl w:val="C20CE358"/>
    <w:lvl w:ilvl="0" w:tplc="0407000F">
      <w:start w:val="1"/>
      <w:numFmt w:val="decimal"/>
      <w:lvlText w:val="%1."/>
      <w:lvlJc w:val="left"/>
      <w:pPr>
        <w:ind w:left="1069" w:hanging="360"/>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2">
    <w:nsid w:val="30236003"/>
    <w:multiLevelType w:val="hybridMultilevel"/>
    <w:tmpl w:val="59C8B36A"/>
    <w:lvl w:ilvl="0" w:tplc="E2AC82BA">
      <w:start w:val="1"/>
      <w:numFmt w:val="bullet"/>
      <w:lvlText w:val=""/>
      <w:lvlJc w:val="left"/>
      <w:pPr>
        <w:tabs>
          <w:tab w:val="num" w:pos="1713"/>
        </w:tabs>
        <w:ind w:left="1713" w:hanging="360"/>
      </w:pPr>
      <w:rPr>
        <w:rFonts w:ascii="Symbol" w:hAnsi="Symbol" w:hint="default"/>
      </w:rPr>
    </w:lvl>
    <w:lvl w:ilvl="1" w:tplc="04070003" w:tentative="1">
      <w:start w:val="1"/>
      <w:numFmt w:val="bullet"/>
      <w:lvlText w:val="o"/>
      <w:lvlJc w:val="left"/>
      <w:pPr>
        <w:tabs>
          <w:tab w:val="num" w:pos="2433"/>
        </w:tabs>
        <w:ind w:left="2433" w:hanging="360"/>
      </w:pPr>
      <w:rPr>
        <w:rFonts w:ascii="Courier New" w:hAnsi="Courier New" w:cs="Courier New" w:hint="default"/>
      </w:rPr>
    </w:lvl>
    <w:lvl w:ilvl="2" w:tplc="04070005" w:tentative="1">
      <w:start w:val="1"/>
      <w:numFmt w:val="bullet"/>
      <w:lvlText w:val=""/>
      <w:lvlJc w:val="left"/>
      <w:pPr>
        <w:tabs>
          <w:tab w:val="num" w:pos="3153"/>
        </w:tabs>
        <w:ind w:left="3153" w:hanging="360"/>
      </w:pPr>
      <w:rPr>
        <w:rFonts w:ascii="Wingdings" w:hAnsi="Wingdings" w:hint="default"/>
      </w:rPr>
    </w:lvl>
    <w:lvl w:ilvl="3" w:tplc="04070001" w:tentative="1">
      <w:start w:val="1"/>
      <w:numFmt w:val="bullet"/>
      <w:lvlText w:val=""/>
      <w:lvlJc w:val="left"/>
      <w:pPr>
        <w:tabs>
          <w:tab w:val="num" w:pos="3873"/>
        </w:tabs>
        <w:ind w:left="3873" w:hanging="360"/>
      </w:pPr>
      <w:rPr>
        <w:rFonts w:ascii="Symbol" w:hAnsi="Symbol" w:hint="default"/>
      </w:rPr>
    </w:lvl>
    <w:lvl w:ilvl="4" w:tplc="04070003" w:tentative="1">
      <w:start w:val="1"/>
      <w:numFmt w:val="bullet"/>
      <w:lvlText w:val="o"/>
      <w:lvlJc w:val="left"/>
      <w:pPr>
        <w:tabs>
          <w:tab w:val="num" w:pos="4593"/>
        </w:tabs>
        <w:ind w:left="4593" w:hanging="360"/>
      </w:pPr>
      <w:rPr>
        <w:rFonts w:ascii="Courier New" w:hAnsi="Courier New" w:cs="Courier New" w:hint="default"/>
      </w:rPr>
    </w:lvl>
    <w:lvl w:ilvl="5" w:tplc="04070005" w:tentative="1">
      <w:start w:val="1"/>
      <w:numFmt w:val="bullet"/>
      <w:lvlText w:val=""/>
      <w:lvlJc w:val="left"/>
      <w:pPr>
        <w:tabs>
          <w:tab w:val="num" w:pos="5313"/>
        </w:tabs>
        <w:ind w:left="5313" w:hanging="360"/>
      </w:pPr>
      <w:rPr>
        <w:rFonts w:ascii="Wingdings" w:hAnsi="Wingdings" w:hint="default"/>
      </w:rPr>
    </w:lvl>
    <w:lvl w:ilvl="6" w:tplc="04070001" w:tentative="1">
      <w:start w:val="1"/>
      <w:numFmt w:val="bullet"/>
      <w:lvlText w:val=""/>
      <w:lvlJc w:val="left"/>
      <w:pPr>
        <w:tabs>
          <w:tab w:val="num" w:pos="6033"/>
        </w:tabs>
        <w:ind w:left="6033" w:hanging="360"/>
      </w:pPr>
      <w:rPr>
        <w:rFonts w:ascii="Symbol" w:hAnsi="Symbol" w:hint="default"/>
      </w:rPr>
    </w:lvl>
    <w:lvl w:ilvl="7" w:tplc="04070003" w:tentative="1">
      <w:start w:val="1"/>
      <w:numFmt w:val="bullet"/>
      <w:lvlText w:val="o"/>
      <w:lvlJc w:val="left"/>
      <w:pPr>
        <w:tabs>
          <w:tab w:val="num" w:pos="6753"/>
        </w:tabs>
        <w:ind w:left="6753" w:hanging="360"/>
      </w:pPr>
      <w:rPr>
        <w:rFonts w:ascii="Courier New" w:hAnsi="Courier New" w:cs="Courier New" w:hint="default"/>
      </w:rPr>
    </w:lvl>
    <w:lvl w:ilvl="8" w:tplc="04070005" w:tentative="1">
      <w:start w:val="1"/>
      <w:numFmt w:val="bullet"/>
      <w:lvlText w:val=""/>
      <w:lvlJc w:val="left"/>
      <w:pPr>
        <w:tabs>
          <w:tab w:val="num" w:pos="7473"/>
        </w:tabs>
        <w:ind w:left="7473" w:hanging="360"/>
      </w:pPr>
      <w:rPr>
        <w:rFonts w:ascii="Wingdings" w:hAnsi="Wingdings" w:hint="default"/>
      </w:rPr>
    </w:lvl>
  </w:abstractNum>
  <w:abstractNum w:abstractNumId="13">
    <w:nsid w:val="324D75E4"/>
    <w:multiLevelType w:val="hybridMultilevel"/>
    <w:tmpl w:val="E8C66FF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nsid w:val="339E73DF"/>
    <w:multiLevelType w:val="hybridMultilevel"/>
    <w:tmpl w:val="6E226F04"/>
    <w:lvl w:ilvl="0" w:tplc="F806A7D8">
      <w:start w:val="1"/>
      <w:numFmt w:val="bullet"/>
      <w:pStyle w:val="gemAufzhlung"/>
      <w:lvlText w:val=""/>
      <w:lvlJc w:val="left"/>
      <w:pPr>
        <w:tabs>
          <w:tab w:val="num" w:pos="1701"/>
        </w:tabs>
        <w:ind w:left="1701" w:hanging="283"/>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15">
    <w:nsid w:val="390778C2"/>
    <w:multiLevelType w:val="hybridMultilevel"/>
    <w:tmpl w:val="1152FCC2"/>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6">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9F949B5"/>
    <w:multiLevelType w:val="hybridMultilevel"/>
    <w:tmpl w:val="B14A16C6"/>
    <w:lvl w:ilvl="0" w:tplc="0D106A22">
      <w:start w:val="1"/>
      <w:numFmt w:val="decimal"/>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1">
      <w:start w:val="1"/>
      <w:numFmt w:val="lowerRoman"/>
      <w:lvlText w:val="%3."/>
      <w:lvlJc w:val="right"/>
      <w:pPr>
        <w:tabs>
          <w:tab w:val="num" w:pos="2702"/>
        </w:tabs>
        <w:ind w:left="2702" w:hanging="180"/>
      </w:pPr>
    </w:lvl>
    <w:lvl w:ilvl="3" w:tplc="0407000F" w:tentative="1">
      <w:start w:val="1"/>
      <w:numFmt w:val="decimal"/>
      <w:lvlText w:val="%4."/>
      <w:lvlJc w:val="left"/>
      <w:pPr>
        <w:tabs>
          <w:tab w:val="num" w:pos="3422"/>
        </w:tabs>
        <w:ind w:left="3422" w:hanging="360"/>
      </w:pPr>
    </w:lvl>
    <w:lvl w:ilvl="4" w:tplc="04070019" w:tentative="1">
      <w:start w:val="1"/>
      <w:numFmt w:val="lowerLetter"/>
      <w:lvlText w:val="%5."/>
      <w:lvlJc w:val="left"/>
      <w:pPr>
        <w:tabs>
          <w:tab w:val="num" w:pos="4142"/>
        </w:tabs>
        <w:ind w:left="4142" w:hanging="360"/>
      </w:pPr>
    </w:lvl>
    <w:lvl w:ilvl="5" w:tplc="0407001B" w:tentative="1">
      <w:start w:val="1"/>
      <w:numFmt w:val="lowerRoman"/>
      <w:lvlText w:val="%6."/>
      <w:lvlJc w:val="right"/>
      <w:pPr>
        <w:tabs>
          <w:tab w:val="num" w:pos="4862"/>
        </w:tabs>
        <w:ind w:left="4862" w:hanging="180"/>
      </w:pPr>
    </w:lvl>
    <w:lvl w:ilvl="6" w:tplc="0407000F" w:tentative="1">
      <w:start w:val="1"/>
      <w:numFmt w:val="decimal"/>
      <w:lvlText w:val="%7."/>
      <w:lvlJc w:val="left"/>
      <w:pPr>
        <w:tabs>
          <w:tab w:val="num" w:pos="5582"/>
        </w:tabs>
        <w:ind w:left="5582" w:hanging="360"/>
      </w:pPr>
    </w:lvl>
    <w:lvl w:ilvl="7" w:tplc="04070019" w:tentative="1">
      <w:start w:val="1"/>
      <w:numFmt w:val="lowerLetter"/>
      <w:lvlText w:val="%8."/>
      <w:lvlJc w:val="left"/>
      <w:pPr>
        <w:tabs>
          <w:tab w:val="num" w:pos="6302"/>
        </w:tabs>
        <w:ind w:left="6302" w:hanging="360"/>
      </w:pPr>
    </w:lvl>
    <w:lvl w:ilvl="8" w:tplc="0407001B" w:tentative="1">
      <w:start w:val="1"/>
      <w:numFmt w:val="lowerRoman"/>
      <w:lvlText w:val="%9."/>
      <w:lvlJc w:val="right"/>
      <w:pPr>
        <w:tabs>
          <w:tab w:val="num" w:pos="7022"/>
        </w:tabs>
        <w:ind w:left="7022" w:hanging="180"/>
      </w:pPr>
    </w:lvl>
  </w:abstractNum>
  <w:abstractNum w:abstractNumId="18">
    <w:nsid w:val="3E075A88"/>
    <w:multiLevelType w:val="hybridMultilevel"/>
    <w:tmpl w:val="D3D88E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FE337A1"/>
    <w:multiLevelType w:val="hybridMultilevel"/>
    <w:tmpl w:val="C20CE358"/>
    <w:lvl w:ilvl="0" w:tplc="0407000F">
      <w:start w:val="1"/>
      <w:numFmt w:val="decimal"/>
      <w:lvlText w:val="%1."/>
      <w:lvlJc w:val="left"/>
      <w:pPr>
        <w:ind w:left="1069" w:hanging="360"/>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0">
    <w:nsid w:val="4CDD06EF"/>
    <w:multiLevelType w:val="hybridMultilevel"/>
    <w:tmpl w:val="2AA43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FFD5632"/>
    <w:multiLevelType w:val="multilevel"/>
    <w:tmpl w:val="C25834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3023A87"/>
    <w:multiLevelType w:val="hybridMultilevel"/>
    <w:tmpl w:val="3F12F9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554E56FA"/>
    <w:multiLevelType w:val="hybridMultilevel"/>
    <w:tmpl w:val="FFDEB14E"/>
    <w:lvl w:ilvl="0" w:tplc="7C821C30">
      <w:start w:val="1"/>
      <w:numFmt w:val="bullet"/>
      <w:pStyle w:val="gemZwischenberschrift"/>
      <w:lvlText w:val=""/>
      <w:lvlJc w:val="left"/>
      <w:pPr>
        <w:tabs>
          <w:tab w:val="num" w:pos="720"/>
        </w:tabs>
        <w:ind w:left="720" w:hanging="360"/>
      </w:pPr>
      <w:rPr>
        <w:rFonts w:ascii="Symbol" w:hAnsi="Symbol" w:hint="default"/>
      </w:rPr>
    </w:lvl>
    <w:lvl w:ilvl="1" w:tplc="A2C87AAA" w:tentative="1">
      <w:start w:val="1"/>
      <w:numFmt w:val="bullet"/>
      <w:lvlText w:val="o"/>
      <w:lvlJc w:val="left"/>
      <w:pPr>
        <w:tabs>
          <w:tab w:val="num" w:pos="1440"/>
        </w:tabs>
        <w:ind w:left="1440" w:hanging="360"/>
      </w:pPr>
      <w:rPr>
        <w:rFonts w:ascii="Courier New" w:hAnsi="Courier New" w:cs="Courier New" w:hint="default"/>
      </w:rPr>
    </w:lvl>
    <w:lvl w:ilvl="2" w:tplc="28E086F8" w:tentative="1">
      <w:start w:val="1"/>
      <w:numFmt w:val="bullet"/>
      <w:lvlText w:val=""/>
      <w:lvlJc w:val="left"/>
      <w:pPr>
        <w:tabs>
          <w:tab w:val="num" w:pos="2160"/>
        </w:tabs>
        <w:ind w:left="2160" w:hanging="360"/>
      </w:pPr>
      <w:rPr>
        <w:rFonts w:ascii="Wingdings" w:hAnsi="Wingdings" w:hint="default"/>
      </w:rPr>
    </w:lvl>
    <w:lvl w:ilvl="3" w:tplc="77349C56" w:tentative="1">
      <w:start w:val="1"/>
      <w:numFmt w:val="bullet"/>
      <w:lvlText w:val=""/>
      <w:lvlJc w:val="left"/>
      <w:pPr>
        <w:tabs>
          <w:tab w:val="num" w:pos="2880"/>
        </w:tabs>
        <w:ind w:left="2880" w:hanging="360"/>
      </w:pPr>
      <w:rPr>
        <w:rFonts w:ascii="Symbol" w:hAnsi="Symbol" w:hint="default"/>
      </w:rPr>
    </w:lvl>
    <w:lvl w:ilvl="4" w:tplc="FC60B6C6" w:tentative="1">
      <w:start w:val="1"/>
      <w:numFmt w:val="bullet"/>
      <w:lvlText w:val="o"/>
      <w:lvlJc w:val="left"/>
      <w:pPr>
        <w:tabs>
          <w:tab w:val="num" w:pos="3600"/>
        </w:tabs>
        <w:ind w:left="3600" w:hanging="360"/>
      </w:pPr>
      <w:rPr>
        <w:rFonts w:ascii="Courier New" w:hAnsi="Courier New" w:cs="Courier New" w:hint="default"/>
      </w:rPr>
    </w:lvl>
    <w:lvl w:ilvl="5" w:tplc="76B68D86" w:tentative="1">
      <w:start w:val="1"/>
      <w:numFmt w:val="bullet"/>
      <w:lvlText w:val=""/>
      <w:lvlJc w:val="left"/>
      <w:pPr>
        <w:tabs>
          <w:tab w:val="num" w:pos="4320"/>
        </w:tabs>
        <w:ind w:left="4320" w:hanging="360"/>
      </w:pPr>
      <w:rPr>
        <w:rFonts w:ascii="Wingdings" w:hAnsi="Wingdings" w:hint="default"/>
      </w:rPr>
    </w:lvl>
    <w:lvl w:ilvl="6" w:tplc="B2DE89CE" w:tentative="1">
      <w:start w:val="1"/>
      <w:numFmt w:val="bullet"/>
      <w:lvlText w:val=""/>
      <w:lvlJc w:val="left"/>
      <w:pPr>
        <w:tabs>
          <w:tab w:val="num" w:pos="5040"/>
        </w:tabs>
        <w:ind w:left="5040" w:hanging="360"/>
      </w:pPr>
      <w:rPr>
        <w:rFonts w:ascii="Symbol" w:hAnsi="Symbol" w:hint="default"/>
      </w:rPr>
    </w:lvl>
    <w:lvl w:ilvl="7" w:tplc="3B0A626A" w:tentative="1">
      <w:start w:val="1"/>
      <w:numFmt w:val="bullet"/>
      <w:lvlText w:val="o"/>
      <w:lvlJc w:val="left"/>
      <w:pPr>
        <w:tabs>
          <w:tab w:val="num" w:pos="5760"/>
        </w:tabs>
        <w:ind w:left="5760" w:hanging="360"/>
      </w:pPr>
      <w:rPr>
        <w:rFonts w:ascii="Courier New" w:hAnsi="Courier New" w:cs="Courier New" w:hint="default"/>
      </w:rPr>
    </w:lvl>
    <w:lvl w:ilvl="8" w:tplc="056C7AC2" w:tentative="1">
      <w:start w:val="1"/>
      <w:numFmt w:val="bullet"/>
      <w:lvlText w:val=""/>
      <w:lvlJc w:val="left"/>
      <w:pPr>
        <w:tabs>
          <w:tab w:val="num" w:pos="6480"/>
        </w:tabs>
        <w:ind w:left="6480" w:hanging="360"/>
      </w:pPr>
      <w:rPr>
        <w:rFonts w:ascii="Wingdings" w:hAnsi="Wingdings" w:hint="default"/>
      </w:rPr>
    </w:lvl>
  </w:abstractNum>
  <w:abstractNum w:abstractNumId="24">
    <w:nsid w:val="58F327B3"/>
    <w:multiLevelType w:val="hybridMultilevel"/>
    <w:tmpl w:val="87F8D95E"/>
    <w:lvl w:ilvl="0" w:tplc="04070001">
      <w:start w:val="1"/>
      <w:numFmt w:val="bullet"/>
      <w:lvlText w:val=""/>
      <w:lvlJc w:val="left"/>
      <w:pPr>
        <w:ind w:left="916" w:hanging="360"/>
      </w:pPr>
      <w:rPr>
        <w:rFonts w:ascii="Symbol" w:hAnsi="Symbol" w:hint="default"/>
      </w:rPr>
    </w:lvl>
    <w:lvl w:ilvl="1" w:tplc="04070003" w:tentative="1">
      <w:start w:val="1"/>
      <w:numFmt w:val="bullet"/>
      <w:lvlText w:val="o"/>
      <w:lvlJc w:val="left"/>
      <w:pPr>
        <w:ind w:left="1636" w:hanging="360"/>
      </w:pPr>
      <w:rPr>
        <w:rFonts w:ascii="Courier New" w:hAnsi="Courier New" w:cs="Courier New" w:hint="default"/>
      </w:rPr>
    </w:lvl>
    <w:lvl w:ilvl="2" w:tplc="04070005" w:tentative="1">
      <w:start w:val="1"/>
      <w:numFmt w:val="bullet"/>
      <w:lvlText w:val=""/>
      <w:lvlJc w:val="left"/>
      <w:pPr>
        <w:ind w:left="2356" w:hanging="360"/>
      </w:pPr>
      <w:rPr>
        <w:rFonts w:ascii="Wingdings" w:hAnsi="Wingdings" w:hint="default"/>
      </w:rPr>
    </w:lvl>
    <w:lvl w:ilvl="3" w:tplc="04070001" w:tentative="1">
      <w:start w:val="1"/>
      <w:numFmt w:val="bullet"/>
      <w:lvlText w:val=""/>
      <w:lvlJc w:val="left"/>
      <w:pPr>
        <w:ind w:left="3076" w:hanging="360"/>
      </w:pPr>
      <w:rPr>
        <w:rFonts w:ascii="Symbol" w:hAnsi="Symbol" w:hint="default"/>
      </w:rPr>
    </w:lvl>
    <w:lvl w:ilvl="4" w:tplc="04070003" w:tentative="1">
      <w:start w:val="1"/>
      <w:numFmt w:val="bullet"/>
      <w:lvlText w:val="o"/>
      <w:lvlJc w:val="left"/>
      <w:pPr>
        <w:ind w:left="3796" w:hanging="360"/>
      </w:pPr>
      <w:rPr>
        <w:rFonts w:ascii="Courier New" w:hAnsi="Courier New" w:cs="Courier New" w:hint="default"/>
      </w:rPr>
    </w:lvl>
    <w:lvl w:ilvl="5" w:tplc="04070005" w:tentative="1">
      <w:start w:val="1"/>
      <w:numFmt w:val="bullet"/>
      <w:lvlText w:val=""/>
      <w:lvlJc w:val="left"/>
      <w:pPr>
        <w:ind w:left="4516" w:hanging="360"/>
      </w:pPr>
      <w:rPr>
        <w:rFonts w:ascii="Wingdings" w:hAnsi="Wingdings" w:hint="default"/>
      </w:rPr>
    </w:lvl>
    <w:lvl w:ilvl="6" w:tplc="04070001" w:tentative="1">
      <w:start w:val="1"/>
      <w:numFmt w:val="bullet"/>
      <w:lvlText w:val=""/>
      <w:lvlJc w:val="left"/>
      <w:pPr>
        <w:ind w:left="5236" w:hanging="360"/>
      </w:pPr>
      <w:rPr>
        <w:rFonts w:ascii="Symbol" w:hAnsi="Symbol" w:hint="default"/>
      </w:rPr>
    </w:lvl>
    <w:lvl w:ilvl="7" w:tplc="04070003" w:tentative="1">
      <w:start w:val="1"/>
      <w:numFmt w:val="bullet"/>
      <w:lvlText w:val="o"/>
      <w:lvlJc w:val="left"/>
      <w:pPr>
        <w:ind w:left="5956" w:hanging="360"/>
      </w:pPr>
      <w:rPr>
        <w:rFonts w:ascii="Courier New" w:hAnsi="Courier New" w:cs="Courier New" w:hint="default"/>
      </w:rPr>
    </w:lvl>
    <w:lvl w:ilvl="8" w:tplc="04070005" w:tentative="1">
      <w:start w:val="1"/>
      <w:numFmt w:val="bullet"/>
      <w:lvlText w:val=""/>
      <w:lvlJc w:val="left"/>
      <w:pPr>
        <w:ind w:left="6676" w:hanging="360"/>
      </w:pPr>
      <w:rPr>
        <w:rFonts w:ascii="Wingdings" w:hAnsi="Wingdings" w:hint="default"/>
      </w:rPr>
    </w:lvl>
  </w:abstractNum>
  <w:abstractNum w:abstractNumId="25">
    <w:nsid w:val="5E250D21"/>
    <w:multiLevelType w:val="hybridMultilevel"/>
    <w:tmpl w:val="A634A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6D536BA"/>
    <w:multiLevelType w:val="hybridMultilevel"/>
    <w:tmpl w:val="59C8E0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90D586F"/>
    <w:multiLevelType w:val="hybridMultilevel"/>
    <w:tmpl w:val="A46E7F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6A951210"/>
    <w:multiLevelType w:val="hybridMultilevel"/>
    <w:tmpl w:val="4E4AD5C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70714CB"/>
    <w:multiLevelType w:val="hybridMultilevel"/>
    <w:tmpl w:val="D62A84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A2243D3"/>
    <w:multiLevelType w:val="hybridMultilevel"/>
    <w:tmpl w:val="C20CE358"/>
    <w:lvl w:ilvl="0" w:tplc="0407000F">
      <w:start w:val="1"/>
      <w:numFmt w:val="decimal"/>
      <w:lvlText w:val="%1."/>
      <w:lvlJc w:val="left"/>
      <w:pPr>
        <w:ind w:left="1069" w:hanging="360"/>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31">
    <w:nsid w:val="7A3B7125"/>
    <w:multiLevelType w:val="hybridMultilevel"/>
    <w:tmpl w:val="CF94E9C0"/>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21"/>
  </w:num>
  <w:num w:numId="2">
    <w:abstractNumId w:val="14"/>
  </w:num>
  <w:num w:numId="3">
    <w:abstractNumId w:val="17"/>
  </w:num>
  <w:num w:numId="4">
    <w:abstractNumId w:val="16"/>
  </w:num>
  <w:num w:numId="5">
    <w:abstractNumId w:val="23"/>
  </w:num>
  <w:num w:numId="6">
    <w:abstractNumId w:val="14"/>
  </w:num>
  <w:num w:numId="7">
    <w:abstractNumId w:val="6"/>
  </w:num>
  <w:num w:numId="8">
    <w:abstractNumId w:val="4"/>
  </w:num>
  <w:num w:numId="9">
    <w:abstractNumId w:val="19"/>
  </w:num>
  <w:num w:numId="10">
    <w:abstractNumId w:val="30"/>
  </w:num>
  <w:num w:numId="11">
    <w:abstractNumId w:val="11"/>
  </w:num>
  <w:num w:numId="12">
    <w:abstractNumId w:val="12"/>
  </w:num>
  <w:num w:numId="13">
    <w:abstractNumId w:val="24"/>
  </w:num>
  <w:num w:numId="14">
    <w:abstractNumId w:val="25"/>
  </w:num>
  <w:num w:numId="15">
    <w:abstractNumId w:val="10"/>
  </w:num>
  <w:num w:numId="16">
    <w:abstractNumId w:val="29"/>
  </w:num>
  <w:num w:numId="17">
    <w:abstractNumId w:val="16"/>
  </w:num>
  <w:num w:numId="18">
    <w:abstractNumId w:val="27"/>
  </w:num>
  <w:num w:numId="19">
    <w:abstractNumId w:val="26"/>
  </w:num>
  <w:num w:numId="20">
    <w:abstractNumId w:val="20"/>
  </w:num>
  <w:num w:numId="21">
    <w:abstractNumId w:val="2"/>
  </w:num>
  <w:num w:numId="22">
    <w:abstractNumId w:val="22"/>
  </w:num>
  <w:num w:numId="23">
    <w:abstractNumId w:val="8"/>
  </w:num>
  <w:num w:numId="24">
    <w:abstractNumId w:val="1"/>
  </w:num>
  <w:num w:numId="25">
    <w:abstractNumId w:val="7"/>
  </w:num>
  <w:num w:numId="26">
    <w:abstractNumId w:val="5"/>
  </w:num>
  <w:num w:numId="27">
    <w:abstractNumId w:val="14"/>
  </w:num>
  <w:num w:numId="28">
    <w:abstractNumId w:val="31"/>
  </w:num>
  <w:num w:numId="29">
    <w:abstractNumId w:val="28"/>
  </w:num>
  <w:num w:numId="30">
    <w:abstractNumId w:val="18"/>
  </w:num>
  <w:num w:numId="31">
    <w:abstractNumId w:val="0"/>
  </w:num>
  <w:num w:numId="32">
    <w:abstractNumId w:val="14"/>
  </w:num>
  <w:num w:numId="33">
    <w:abstractNumId w:val="3"/>
  </w:num>
  <w:num w:numId="34">
    <w:abstractNumId w:val="15"/>
  </w:num>
  <w:num w:numId="35">
    <w:abstractNumId w:val="13"/>
  </w:num>
  <w:num w:numId="36">
    <w:abstractNumId w:val="9"/>
  </w:num>
  <w:num w:numId="37">
    <w:abstractNumId w:val="9"/>
  </w:num>
  <w:num w:numId="38">
    <w:abstractNumId w:val="9"/>
  </w:num>
  <w:num w:numId="39">
    <w:abstractNumId w:val="9"/>
  </w:num>
  <w:num w:numId="40">
    <w:abstractNumId w:val="9"/>
  </w:num>
  <w:num w:numId="41">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69633"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32D"/>
    <w:rsid w:val="00000F7A"/>
    <w:rsid w:val="00001618"/>
    <w:rsid w:val="00005026"/>
    <w:rsid w:val="00006D55"/>
    <w:rsid w:val="00006D7B"/>
    <w:rsid w:val="0000773E"/>
    <w:rsid w:val="0001219C"/>
    <w:rsid w:val="00014499"/>
    <w:rsid w:val="0001464C"/>
    <w:rsid w:val="00014B04"/>
    <w:rsid w:val="00014B9A"/>
    <w:rsid w:val="00014E74"/>
    <w:rsid w:val="0001530F"/>
    <w:rsid w:val="00015546"/>
    <w:rsid w:val="000155F3"/>
    <w:rsid w:val="00015CBE"/>
    <w:rsid w:val="00016308"/>
    <w:rsid w:val="00017F0D"/>
    <w:rsid w:val="00020E2B"/>
    <w:rsid w:val="000240F9"/>
    <w:rsid w:val="00025A81"/>
    <w:rsid w:val="00027203"/>
    <w:rsid w:val="000278CC"/>
    <w:rsid w:val="00027D54"/>
    <w:rsid w:val="000308B2"/>
    <w:rsid w:val="000312DE"/>
    <w:rsid w:val="00032F96"/>
    <w:rsid w:val="00033AD7"/>
    <w:rsid w:val="0003625D"/>
    <w:rsid w:val="00036683"/>
    <w:rsid w:val="00036B72"/>
    <w:rsid w:val="0004073C"/>
    <w:rsid w:val="00040FAF"/>
    <w:rsid w:val="00041FF8"/>
    <w:rsid w:val="00042081"/>
    <w:rsid w:val="000439AA"/>
    <w:rsid w:val="00051500"/>
    <w:rsid w:val="00051840"/>
    <w:rsid w:val="00053843"/>
    <w:rsid w:val="00053FC4"/>
    <w:rsid w:val="0005489B"/>
    <w:rsid w:val="00054FA6"/>
    <w:rsid w:val="000565A8"/>
    <w:rsid w:val="00057467"/>
    <w:rsid w:val="0006009E"/>
    <w:rsid w:val="00061842"/>
    <w:rsid w:val="00061929"/>
    <w:rsid w:val="000628C1"/>
    <w:rsid w:val="00063CA3"/>
    <w:rsid w:val="00063DF6"/>
    <w:rsid w:val="00064A0C"/>
    <w:rsid w:val="0007042A"/>
    <w:rsid w:val="0007085F"/>
    <w:rsid w:val="000710C4"/>
    <w:rsid w:val="0007276D"/>
    <w:rsid w:val="000745A9"/>
    <w:rsid w:val="00076937"/>
    <w:rsid w:val="00077959"/>
    <w:rsid w:val="00077ACE"/>
    <w:rsid w:val="00077D1E"/>
    <w:rsid w:val="0008005B"/>
    <w:rsid w:val="000800A9"/>
    <w:rsid w:val="0008031F"/>
    <w:rsid w:val="00080434"/>
    <w:rsid w:val="0008319F"/>
    <w:rsid w:val="00083D70"/>
    <w:rsid w:val="0008477E"/>
    <w:rsid w:val="000859BB"/>
    <w:rsid w:val="00086BC6"/>
    <w:rsid w:val="00086FC1"/>
    <w:rsid w:val="00090DB7"/>
    <w:rsid w:val="00091E72"/>
    <w:rsid w:val="000921A7"/>
    <w:rsid w:val="000925E8"/>
    <w:rsid w:val="00094740"/>
    <w:rsid w:val="00094984"/>
    <w:rsid w:val="00094ADC"/>
    <w:rsid w:val="000951CA"/>
    <w:rsid w:val="0009573B"/>
    <w:rsid w:val="00095B8B"/>
    <w:rsid w:val="00095DDD"/>
    <w:rsid w:val="00097749"/>
    <w:rsid w:val="000A07C5"/>
    <w:rsid w:val="000A1C70"/>
    <w:rsid w:val="000A2AF0"/>
    <w:rsid w:val="000A7280"/>
    <w:rsid w:val="000B272D"/>
    <w:rsid w:val="000B37C3"/>
    <w:rsid w:val="000B3AEF"/>
    <w:rsid w:val="000B6C04"/>
    <w:rsid w:val="000B7EA2"/>
    <w:rsid w:val="000C18A5"/>
    <w:rsid w:val="000C1E0A"/>
    <w:rsid w:val="000C212D"/>
    <w:rsid w:val="000C234B"/>
    <w:rsid w:val="000C3AB7"/>
    <w:rsid w:val="000C4435"/>
    <w:rsid w:val="000C4555"/>
    <w:rsid w:val="000C6E82"/>
    <w:rsid w:val="000D1625"/>
    <w:rsid w:val="000D2AA2"/>
    <w:rsid w:val="000D5852"/>
    <w:rsid w:val="000E0AAC"/>
    <w:rsid w:val="000E121C"/>
    <w:rsid w:val="000E3AB8"/>
    <w:rsid w:val="000E3EA6"/>
    <w:rsid w:val="000E5611"/>
    <w:rsid w:val="000E77BE"/>
    <w:rsid w:val="000F417E"/>
    <w:rsid w:val="000F43F4"/>
    <w:rsid w:val="000F6534"/>
    <w:rsid w:val="000F767F"/>
    <w:rsid w:val="00100701"/>
    <w:rsid w:val="00100DD6"/>
    <w:rsid w:val="001021C8"/>
    <w:rsid w:val="001036B1"/>
    <w:rsid w:val="00105C14"/>
    <w:rsid w:val="00110C1D"/>
    <w:rsid w:val="00111294"/>
    <w:rsid w:val="001119AE"/>
    <w:rsid w:val="00111A7E"/>
    <w:rsid w:val="001167E7"/>
    <w:rsid w:val="001178EE"/>
    <w:rsid w:val="00117B92"/>
    <w:rsid w:val="00120774"/>
    <w:rsid w:val="00121BD1"/>
    <w:rsid w:val="00123A54"/>
    <w:rsid w:val="00123F2F"/>
    <w:rsid w:val="00124308"/>
    <w:rsid w:val="00125B19"/>
    <w:rsid w:val="00126BA4"/>
    <w:rsid w:val="00133EE7"/>
    <w:rsid w:val="001346D2"/>
    <w:rsid w:val="001349D3"/>
    <w:rsid w:val="00134E42"/>
    <w:rsid w:val="00135A57"/>
    <w:rsid w:val="00135BDB"/>
    <w:rsid w:val="00140BAD"/>
    <w:rsid w:val="0014273D"/>
    <w:rsid w:val="00142AED"/>
    <w:rsid w:val="00145114"/>
    <w:rsid w:val="0014582A"/>
    <w:rsid w:val="00146092"/>
    <w:rsid w:val="001460F7"/>
    <w:rsid w:val="00146198"/>
    <w:rsid w:val="00146CFF"/>
    <w:rsid w:val="00146EBE"/>
    <w:rsid w:val="001514A3"/>
    <w:rsid w:val="00154156"/>
    <w:rsid w:val="00155117"/>
    <w:rsid w:val="001601B1"/>
    <w:rsid w:val="001609A7"/>
    <w:rsid w:val="00161AEF"/>
    <w:rsid w:val="001629F6"/>
    <w:rsid w:val="001653E5"/>
    <w:rsid w:val="001661FD"/>
    <w:rsid w:val="001676D3"/>
    <w:rsid w:val="001705FD"/>
    <w:rsid w:val="00170CAD"/>
    <w:rsid w:val="0017318F"/>
    <w:rsid w:val="00174C2F"/>
    <w:rsid w:val="001808CE"/>
    <w:rsid w:val="001809E9"/>
    <w:rsid w:val="00180D04"/>
    <w:rsid w:val="0018195E"/>
    <w:rsid w:val="001828BC"/>
    <w:rsid w:val="00184A69"/>
    <w:rsid w:val="0019036F"/>
    <w:rsid w:val="001905C7"/>
    <w:rsid w:val="00191622"/>
    <w:rsid w:val="00195918"/>
    <w:rsid w:val="00195ACC"/>
    <w:rsid w:val="00195F53"/>
    <w:rsid w:val="00196693"/>
    <w:rsid w:val="001A2CB6"/>
    <w:rsid w:val="001A3C0E"/>
    <w:rsid w:val="001A4C6C"/>
    <w:rsid w:val="001A5AC8"/>
    <w:rsid w:val="001A6348"/>
    <w:rsid w:val="001A73E7"/>
    <w:rsid w:val="001B15A7"/>
    <w:rsid w:val="001B16B2"/>
    <w:rsid w:val="001B2869"/>
    <w:rsid w:val="001B574E"/>
    <w:rsid w:val="001B6206"/>
    <w:rsid w:val="001B6591"/>
    <w:rsid w:val="001C0E4E"/>
    <w:rsid w:val="001C1875"/>
    <w:rsid w:val="001C22D1"/>
    <w:rsid w:val="001C3080"/>
    <w:rsid w:val="001C30E1"/>
    <w:rsid w:val="001C559E"/>
    <w:rsid w:val="001C77E2"/>
    <w:rsid w:val="001D0019"/>
    <w:rsid w:val="001D13AB"/>
    <w:rsid w:val="001D1EAE"/>
    <w:rsid w:val="001D249E"/>
    <w:rsid w:val="001D2FC7"/>
    <w:rsid w:val="001D3F0B"/>
    <w:rsid w:val="001D40E8"/>
    <w:rsid w:val="001D78FD"/>
    <w:rsid w:val="001D7FF7"/>
    <w:rsid w:val="001E041F"/>
    <w:rsid w:val="001E14B0"/>
    <w:rsid w:val="001E14FA"/>
    <w:rsid w:val="001E1CA9"/>
    <w:rsid w:val="001E35D1"/>
    <w:rsid w:val="001E3634"/>
    <w:rsid w:val="001E48C7"/>
    <w:rsid w:val="001E4EA7"/>
    <w:rsid w:val="001E50EC"/>
    <w:rsid w:val="001E7534"/>
    <w:rsid w:val="001F0277"/>
    <w:rsid w:val="001F4931"/>
    <w:rsid w:val="001F6E85"/>
    <w:rsid w:val="00200938"/>
    <w:rsid w:val="00200983"/>
    <w:rsid w:val="00200D68"/>
    <w:rsid w:val="00201834"/>
    <w:rsid w:val="00201C9D"/>
    <w:rsid w:val="00201E43"/>
    <w:rsid w:val="00203AD0"/>
    <w:rsid w:val="00203C49"/>
    <w:rsid w:val="00204CCF"/>
    <w:rsid w:val="00207440"/>
    <w:rsid w:val="0020777F"/>
    <w:rsid w:val="00207F80"/>
    <w:rsid w:val="00211D5F"/>
    <w:rsid w:val="0021438C"/>
    <w:rsid w:val="00217A7D"/>
    <w:rsid w:val="0022092F"/>
    <w:rsid w:val="00220E6F"/>
    <w:rsid w:val="0022128A"/>
    <w:rsid w:val="00221FD8"/>
    <w:rsid w:val="00223505"/>
    <w:rsid w:val="00223ECD"/>
    <w:rsid w:val="00224040"/>
    <w:rsid w:val="00224C20"/>
    <w:rsid w:val="0022529A"/>
    <w:rsid w:val="00225D73"/>
    <w:rsid w:val="00230E1B"/>
    <w:rsid w:val="00231951"/>
    <w:rsid w:val="00231CDC"/>
    <w:rsid w:val="002324B2"/>
    <w:rsid w:val="0023375B"/>
    <w:rsid w:val="00233824"/>
    <w:rsid w:val="00233E18"/>
    <w:rsid w:val="00235DC8"/>
    <w:rsid w:val="00235F83"/>
    <w:rsid w:val="0023747C"/>
    <w:rsid w:val="00237725"/>
    <w:rsid w:val="00237C87"/>
    <w:rsid w:val="00240100"/>
    <w:rsid w:val="00240BFB"/>
    <w:rsid w:val="002412BA"/>
    <w:rsid w:val="00242215"/>
    <w:rsid w:val="00242345"/>
    <w:rsid w:val="00243800"/>
    <w:rsid w:val="0024429D"/>
    <w:rsid w:val="00244D03"/>
    <w:rsid w:val="00245122"/>
    <w:rsid w:val="00246DA7"/>
    <w:rsid w:val="00247F7A"/>
    <w:rsid w:val="00250CCA"/>
    <w:rsid w:val="0025103F"/>
    <w:rsid w:val="00251E5B"/>
    <w:rsid w:val="00253418"/>
    <w:rsid w:val="002539BF"/>
    <w:rsid w:val="0025634E"/>
    <w:rsid w:val="002564C6"/>
    <w:rsid w:val="00256C0F"/>
    <w:rsid w:val="00257B67"/>
    <w:rsid w:val="00260B61"/>
    <w:rsid w:val="00262F15"/>
    <w:rsid w:val="00265EEA"/>
    <w:rsid w:val="002663A2"/>
    <w:rsid w:val="0026735A"/>
    <w:rsid w:val="00267746"/>
    <w:rsid w:val="00275F19"/>
    <w:rsid w:val="00276551"/>
    <w:rsid w:val="0028086F"/>
    <w:rsid w:val="00281D37"/>
    <w:rsid w:val="00282D0D"/>
    <w:rsid w:val="002847EF"/>
    <w:rsid w:val="00284C89"/>
    <w:rsid w:val="00290C63"/>
    <w:rsid w:val="00290F64"/>
    <w:rsid w:val="0029127A"/>
    <w:rsid w:val="00294D72"/>
    <w:rsid w:val="00294FE7"/>
    <w:rsid w:val="00295DA9"/>
    <w:rsid w:val="00296E55"/>
    <w:rsid w:val="002A0969"/>
    <w:rsid w:val="002A0D62"/>
    <w:rsid w:val="002A14BA"/>
    <w:rsid w:val="002A2A33"/>
    <w:rsid w:val="002A36D3"/>
    <w:rsid w:val="002A5A7D"/>
    <w:rsid w:val="002A6FF4"/>
    <w:rsid w:val="002B09E8"/>
    <w:rsid w:val="002B1A87"/>
    <w:rsid w:val="002B1AA5"/>
    <w:rsid w:val="002B356C"/>
    <w:rsid w:val="002B425A"/>
    <w:rsid w:val="002B48ED"/>
    <w:rsid w:val="002B7A8B"/>
    <w:rsid w:val="002C118D"/>
    <w:rsid w:val="002C13CE"/>
    <w:rsid w:val="002C300C"/>
    <w:rsid w:val="002C4375"/>
    <w:rsid w:val="002C4CE7"/>
    <w:rsid w:val="002C61BC"/>
    <w:rsid w:val="002D0190"/>
    <w:rsid w:val="002D2B03"/>
    <w:rsid w:val="002D32CC"/>
    <w:rsid w:val="002D3905"/>
    <w:rsid w:val="002D3A31"/>
    <w:rsid w:val="002D470E"/>
    <w:rsid w:val="002D5046"/>
    <w:rsid w:val="002D54C8"/>
    <w:rsid w:val="002D57A3"/>
    <w:rsid w:val="002D5EA5"/>
    <w:rsid w:val="002E1BF5"/>
    <w:rsid w:val="002E2961"/>
    <w:rsid w:val="002E29C7"/>
    <w:rsid w:val="002E476A"/>
    <w:rsid w:val="002E4E57"/>
    <w:rsid w:val="002E5F72"/>
    <w:rsid w:val="002E6160"/>
    <w:rsid w:val="002F1CAE"/>
    <w:rsid w:val="002F292C"/>
    <w:rsid w:val="002F325F"/>
    <w:rsid w:val="002F3BBF"/>
    <w:rsid w:val="002F4D3C"/>
    <w:rsid w:val="002F5238"/>
    <w:rsid w:val="002F556C"/>
    <w:rsid w:val="002F5E2B"/>
    <w:rsid w:val="002F6961"/>
    <w:rsid w:val="002F6ABF"/>
    <w:rsid w:val="002F6B1B"/>
    <w:rsid w:val="002F6CCB"/>
    <w:rsid w:val="002F79FE"/>
    <w:rsid w:val="003003A2"/>
    <w:rsid w:val="0030069E"/>
    <w:rsid w:val="0030140D"/>
    <w:rsid w:val="00301601"/>
    <w:rsid w:val="00301651"/>
    <w:rsid w:val="00301D81"/>
    <w:rsid w:val="003020A4"/>
    <w:rsid w:val="00302AF1"/>
    <w:rsid w:val="00302CAC"/>
    <w:rsid w:val="00302D01"/>
    <w:rsid w:val="00304F38"/>
    <w:rsid w:val="00305302"/>
    <w:rsid w:val="003073B2"/>
    <w:rsid w:val="00310786"/>
    <w:rsid w:val="003145CD"/>
    <w:rsid w:val="003155E3"/>
    <w:rsid w:val="0031628C"/>
    <w:rsid w:val="003205BE"/>
    <w:rsid w:val="00320B92"/>
    <w:rsid w:val="00321B8B"/>
    <w:rsid w:val="00321E5C"/>
    <w:rsid w:val="00323799"/>
    <w:rsid w:val="00323E48"/>
    <w:rsid w:val="003245F5"/>
    <w:rsid w:val="003249BF"/>
    <w:rsid w:val="003256F1"/>
    <w:rsid w:val="003267FE"/>
    <w:rsid w:val="003272B1"/>
    <w:rsid w:val="003309BF"/>
    <w:rsid w:val="0033305B"/>
    <w:rsid w:val="00333181"/>
    <w:rsid w:val="00333E9D"/>
    <w:rsid w:val="0033422D"/>
    <w:rsid w:val="00334699"/>
    <w:rsid w:val="00335547"/>
    <w:rsid w:val="0033762A"/>
    <w:rsid w:val="0034236E"/>
    <w:rsid w:val="00344DA1"/>
    <w:rsid w:val="00345E1B"/>
    <w:rsid w:val="00346DF3"/>
    <w:rsid w:val="00347620"/>
    <w:rsid w:val="00347EEA"/>
    <w:rsid w:val="00350386"/>
    <w:rsid w:val="00351F00"/>
    <w:rsid w:val="00353712"/>
    <w:rsid w:val="003555F8"/>
    <w:rsid w:val="003568E4"/>
    <w:rsid w:val="00356F2A"/>
    <w:rsid w:val="003617F3"/>
    <w:rsid w:val="003618CD"/>
    <w:rsid w:val="0036211B"/>
    <w:rsid w:val="00362AC6"/>
    <w:rsid w:val="00362CFD"/>
    <w:rsid w:val="00362DCC"/>
    <w:rsid w:val="003639D6"/>
    <w:rsid w:val="00363B1A"/>
    <w:rsid w:val="00363BAA"/>
    <w:rsid w:val="0036533D"/>
    <w:rsid w:val="00366598"/>
    <w:rsid w:val="00367118"/>
    <w:rsid w:val="0036751B"/>
    <w:rsid w:val="00367780"/>
    <w:rsid w:val="00367E22"/>
    <w:rsid w:val="00372289"/>
    <w:rsid w:val="00372DAD"/>
    <w:rsid w:val="00373A87"/>
    <w:rsid w:val="00373B96"/>
    <w:rsid w:val="003741FD"/>
    <w:rsid w:val="003757BF"/>
    <w:rsid w:val="00376065"/>
    <w:rsid w:val="00376549"/>
    <w:rsid w:val="00376D70"/>
    <w:rsid w:val="00376F58"/>
    <w:rsid w:val="00377677"/>
    <w:rsid w:val="003802F2"/>
    <w:rsid w:val="00380401"/>
    <w:rsid w:val="00382213"/>
    <w:rsid w:val="0038230E"/>
    <w:rsid w:val="003823F5"/>
    <w:rsid w:val="00384E88"/>
    <w:rsid w:val="00385150"/>
    <w:rsid w:val="00385D6A"/>
    <w:rsid w:val="0038632B"/>
    <w:rsid w:val="00386D09"/>
    <w:rsid w:val="00387DC4"/>
    <w:rsid w:val="003900CE"/>
    <w:rsid w:val="00391D9F"/>
    <w:rsid w:val="00395178"/>
    <w:rsid w:val="003A0513"/>
    <w:rsid w:val="003A201B"/>
    <w:rsid w:val="003A4072"/>
    <w:rsid w:val="003A445F"/>
    <w:rsid w:val="003A5FE2"/>
    <w:rsid w:val="003B2442"/>
    <w:rsid w:val="003B4ECD"/>
    <w:rsid w:val="003B5A16"/>
    <w:rsid w:val="003B5B69"/>
    <w:rsid w:val="003B5EC5"/>
    <w:rsid w:val="003B6205"/>
    <w:rsid w:val="003B6EF8"/>
    <w:rsid w:val="003B7FE7"/>
    <w:rsid w:val="003C0AE7"/>
    <w:rsid w:val="003C16F1"/>
    <w:rsid w:val="003C38CE"/>
    <w:rsid w:val="003C3DFB"/>
    <w:rsid w:val="003C3E2A"/>
    <w:rsid w:val="003C3FD2"/>
    <w:rsid w:val="003C4550"/>
    <w:rsid w:val="003C4725"/>
    <w:rsid w:val="003C5FA4"/>
    <w:rsid w:val="003C6F1D"/>
    <w:rsid w:val="003C7557"/>
    <w:rsid w:val="003D2220"/>
    <w:rsid w:val="003D2BA7"/>
    <w:rsid w:val="003D6D9D"/>
    <w:rsid w:val="003E1616"/>
    <w:rsid w:val="003E2709"/>
    <w:rsid w:val="003E2A54"/>
    <w:rsid w:val="003E3130"/>
    <w:rsid w:val="003E3979"/>
    <w:rsid w:val="003E39F0"/>
    <w:rsid w:val="003E4A2C"/>
    <w:rsid w:val="003E4E25"/>
    <w:rsid w:val="003E4EB9"/>
    <w:rsid w:val="003E656F"/>
    <w:rsid w:val="003E6A9C"/>
    <w:rsid w:val="003F1F9E"/>
    <w:rsid w:val="003F2C7A"/>
    <w:rsid w:val="003F3238"/>
    <w:rsid w:val="003F63EE"/>
    <w:rsid w:val="003F65F5"/>
    <w:rsid w:val="003F6C58"/>
    <w:rsid w:val="003F6E3F"/>
    <w:rsid w:val="0040458A"/>
    <w:rsid w:val="00404AD9"/>
    <w:rsid w:val="0040671C"/>
    <w:rsid w:val="004075BA"/>
    <w:rsid w:val="00407D4D"/>
    <w:rsid w:val="0041065A"/>
    <w:rsid w:val="00410D8E"/>
    <w:rsid w:val="00414FDE"/>
    <w:rsid w:val="004155C9"/>
    <w:rsid w:val="004159DE"/>
    <w:rsid w:val="004166FE"/>
    <w:rsid w:val="00416849"/>
    <w:rsid w:val="00416CE8"/>
    <w:rsid w:val="00417A6B"/>
    <w:rsid w:val="00425F2D"/>
    <w:rsid w:val="00426516"/>
    <w:rsid w:val="00427FDF"/>
    <w:rsid w:val="004301F1"/>
    <w:rsid w:val="0043106C"/>
    <w:rsid w:val="004310BE"/>
    <w:rsid w:val="004349C4"/>
    <w:rsid w:val="004349D8"/>
    <w:rsid w:val="00434EA5"/>
    <w:rsid w:val="00437A60"/>
    <w:rsid w:val="00440F4C"/>
    <w:rsid w:val="004419FD"/>
    <w:rsid w:val="00442A79"/>
    <w:rsid w:val="00443013"/>
    <w:rsid w:val="004438D9"/>
    <w:rsid w:val="00443A9C"/>
    <w:rsid w:val="0044454D"/>
    <w:rsid w:val="00444A74"/>
    <w:rsid w:val="0044529C"/>
    <w:rsid w:val="00447249"/>
    <w:rsid w:val="0044745A"/>
    <w:rsid w:val="004506F3"/>
    <w:rsid w:val="004508DA"/>
    <w:rsid w:val="00450D80"/>
    <w:rsid w:val="00451F49"/>
    <w:rsid w:val="004526C8"/>
    <w:rsid w:val="00454A4D"/>
    <w:rsid w:val="0045628B"/>
    <w:rsid w:val="00460B14"/>
    <w:rsid w:val="00460DB5"/>
    <w:rsid w:val="004627A7"/>
    <w:rsid w:val="00464360"/>
    <w:rsid w:val="004650BC"/>
    <w:rsid w:val="00467037"/>
    <w:rsid w:val="00470D33"/>
    <w:rsid w:val="00471460"/>
    <w:rsid w:val="00471E0F"/>
    <w:rsid w:val="00472E21"/>
    <w:rsid w:val="0047622B"/>
    <w:rsid w:val="0047623C"/>
    <w:rsid w:val="00476FD4"/>
    <w:rsid w:val="004812BF"/>
    <w:rsid w:val="00484B42"/>
    <w:rsid w:val="00485722"/>
    <w:rsid w:val="004861A6"/>
    <w:rsid w:val="00490170"/>
    <w:rsid w:val="00490DA1"/>
    <w:rsid w:val="00491ECD"/>
    <w:rsid w:val="00493A32"/>
    <w:rsid w:val="00493E2A"/>
    <w:rsid w:val="00494604"/>
    <w:rsid w:val="004955B1"/>
    <w:rsid w:val="00497B64"/>
    <w:rsid w:val="004A06E2"/>
    <w:rsid w:val="004A07E9"/>
    <w:rsid w:val="004A0B74"/>
    <w:rsid w:val="004A0FDD"/>
    <w:rsid w:val="004A113B"/>
    <w:rsid w:val="004A1266"/>
    <w:rsid w:val="004A2601"/>
    <w:rsid w:val="004A2692"/>
    <w:rsid w:val="004A3FA3"/>
    <w:rsid w:val="004A6E81"/>
    <w:rsid w:val="004A72D0"/>
    <w:rsid w:val="004B3124"/>
    <w:rsid w:val="004B3463"/>
    <w:rsid w:val="004B52EB"/>
    <w:rsid w:val="004B55A7"/>
    <w:rsid w:val="004B585D"/>
    <w:rsid w:val="004B5D26"/>
    <w:rsid w:val="004B70F0"/>
    <w:rsid w:val="004B781D"/>
    <w:rsid w:val="004C145A"/>
    <w:rsid w:val="004C1F9F"/>
    <w:rsid w:val="004C2F41"/>
    <w:rsid w:val="004C3343"/>
    <w:rsid w:val="004C39A0"/>
    <w:rsid w:val="004C39C0"/>
    <w:rsid w:val="004C424C"/>
    <w:rsid w:val="004C4D01"/>
    <w:rsid w:val="004C52B5"/>
    <w:rsid w:val="004C5626"/>
    <w:rsid w:val="004D113D"/>
    <w:rsid w:val="004D2EED"/>
    <w:rsid w:val="004D3D17"/>
    <w:rsid w:val="004D3F26"/>
    <w:rsid w:val="004D47AD"/>
    <w:rsid w:val="004D527D"/>
    <w:rsid w:val="004D55C8"/>
    <w:rsid w:val="004D6777"/>
    <w:rsid w:val="004D6A51"/>
    <w:rsid w:val="004D76A3"/>
    <w:rsid w:val="004E0CFA"/>
    <w:rsid w:val="004E0FCD"/>
    <w:rsid w:val="004E15CB"/>
    <w:rsid w:val="004E1B97"/>
    <w:rsid w:val="004E3EF8"/>
    <w:rsid w:val="004E5C10"/>
    <w:rsid w:val="004E7D3A"/>
    <w:rsid w:val="004F0D75"/>
    <w:rsid w:val="004F50F2"/>
    <w:rsid w:val="004F5F07"/>
    <w:rsid w:val="004F7855"/>
    <w:rsid w:val="004F7AC9"/>
    <w:rsid w:val="00500114"/>
    <w:rsid w:val="005002AD"/>
    <w:rsid w:val="00501620"/>
    <w:rsid w:val="005018F0"/>
    <w:rsid w:val="00501AFC"/>
    <w:rsid w:val="00503376"/>
    <w:rsid w:val="00503766"/>
    <w:rsid w:val="00504AE9"/>
    <w:rsid w:val="00504F15"/>
    <w:rsid w:val="005067D4"/>
    <w:rsid w:val="005073B5"/>
    <w:rsid w:val="00511353"/>
    <w:rsid w:val="005125F7"/>
    <w:rsid w:val="005143B3"/>
    <w:rsid w:val="00514A96"/>
    <w:rsid w:val="0051578F"/>
    <w:rsid w:val="00516612"/>
    <w:rsid w:val="00516D53"/>
    <w:rsid w:val="0051766B"/>
    <w:rsid w:val="005209BE"/>
    <w:rsid w:val="00520C30"/>
    <w:rsid w:val="005210D5"/>
    <w:rsid w:val="005219D4"/>
    <w:rsid w:val="00521B06"/>
    <w:rsid w:val="0052251D"/>
    <w:rsid w:val="00522F38"/>
    <w:rsid w:val="005269C0"/>
    <w:rsid w:val="00530429"/>
    <w:rsid w:val="00533E03"/>
    <w:rsid w:val="005355DF"/>
    <w:rsid w:val="005356CD"/>
    <w:rsid w:val="0053574D"/>
    <w:rsid w:val="00536542"/>
    <w:rsid w:val="00536E0D"/>
    <w:rsid w:val="005374E3"/>
    <w:rsid w:val="00540031"/>
    <w:rsid w:val="005415FC"/>
    <w:rsid w:val="00541630"/>
    <w:rsid w:val="00547531"/>
    <w:rsid w:val="00551F1D"/>
    <w:rsid w:val="00552B8E"/>
    <w:rsid w:val="00552DF6"/>
    <w:rsid w:val="00555CB6"/>
    <w:rsid w:val="005563AB"/>
    <w:rsid w:val="00556D48"/>
    <w:rsid w:val="00557713"/>
    <w:rsid w:val="00557A50"/>
    <w:rsid w:val="00557E03"/>
    <w:rsid w:val="005613E3"/>
    <w:rsid w:val="00563CDE"/>
    <w:rsid w:val="00563F51"/>
    <w:rsid w:val="005640E9"/>
    <w:rsid w:val="00565653"/>
    <w:rsid w:val="00565F7F"/>
    <w:rsid w:val="0056771D"/>
    <w:rsid w:val="005704C8"/>
    <w:rsid w:val="00572D5A"/>
    <w:rsid w:val="005734FD"/>
    <w:rsid w:val="005747BF"/>
    <w:rsid w:val="0057518C"/>
    <w:rsid w:val="00581B4C"/>
    <w:rsid w:val="00583E05"/>
    <w:rsid w:val="00584399"/>
    <w:rsid w:val="005843CC"/>
    <w:rsid w:val="00587230"/>
    <w:rsid w:val="00590FC3"/>
    <w:rsid w:val="00591115"/>
    <w:rsid w:val="0059175C"/>
    <w:rsid w:val="00592D2D"/>
    <w:rsid w:val="005936C9"/>
    <w:rsid w:val="005948AC"/>
    <w:rsid w:val="0059513B"/>
    <w:rsid w:val="00596A26"/>
    <w:rsid w:val="005970F8"/>
    <w:rsid w:val="00597CCE"/>
    <w:rsid w:val="005A09E4"/>
    <w:rsid w:val="005A0A18"/>
    <w:rsid w:val="005A0E87"/>
    <w:rsid w:val="005A2B20"/>
    <w:rsid w:val="005A2EE5"/>
    <w:rsid w:val="005A3ECA"/>
    <w:rsid w:val="005A6791"/>
    <w:rsid w:val="005B03D9"/>
    <w:rsid w:val="005B1B9B"/>
    <w:rsid w:val="005B20B6"/>
    <w:rsid w:val="005B2DC4"/>
    <w:rsid w:val="005B38C8"/>
    <w:rsid w:val="005B415A"/>
    <w:rsid w:val="005B529B"/>
    <w:rsid w:val="005B5811"/>
    <w:rsid w:val="005B7059"/>
    <w:rsid w:val="005B73FE"/>
    <w:rsid w:val="005C1810"/>
    <w:rsid w:val="005C64D2"/>
    <w:rsid w:val="005C6893"/>
    <w:rsid w:val="005C6C2F"/>
    <w:rsid w:val="005C71CC"/>
    <w:rsid w:val="005C735B"/>
    <w:rsid w:val="005C7DD7"/>
    <w:rsid w:val="005D1E3A"/>
    <w:rsid w:val="005D1F33"/>
    <w:rsid w:val="005D2550"/>
    <w:rsid w:val="005D3C22"/>
    <w:rsid w:val="005D44FA"/>
    <w:rsid w:val="005D54A7"/>
    <w:rsid w:val="005D6B06"/>
    <w:rsid w:val="005D6B31"/>
    <w:rsid w:val="005D6C2A"/>
    <w:rsid w:val="005D7D42"/>
    <w:rsid w:val="005E1DD4"/>
    <w:rsid w:val="005E24E0"/>
    <w:rsid w:val="005E2A47"/>
    <w:rsid w:val="005E6229"/>
    <w:rsid w:val="005E7C7D"/>
    <w:rsid w:val="005E7EAC"/>
    <w:rsid w:val="005F0065"/>
    <w:rsid w:val="005F1B6B"/>
    <w:rsid w:val="005F2DC6"/>
    <w:rsid w:val="005F4967"/>
    <w:rsid w:val="005F5C03"/>
    <w:rsid w:val="005F6FAF"/>
    <w:rsid w:val="006009D3"/>
    <w:rsid w:val="00601312"/>
    <w:rsid w:val="0060431D"/>
    <w:rsid w:val="00606514"/>
    <w:rsid w:val="00606E1A"/>
    <w:rsid w:val="00612C3A"/>
    <w:rsid w:val="00614F22"/>
    <w:rsid w:val="00616829"/>
    <w:rsid w:val="00617A05"/>
    <w:rsid w:val="00617C19"/>
    <w:rsid w:val="00622B22"/>
    <w:rsid w:val="00622FF4"/>
    <w:rsid w:val="006258D0"/>
    <w:rsid w:val="006306EC"/>
    <w:rsid w:val="00630F18"/>
    <w:rsid w:val="00631551"/>
    <w:rsid w:val="00632E78"/>
    <w:rsid w:val="00632E9B"/>
    <w:rsid w:val="00634538"/>
    <w:rsid w:val="006379AE"/>
    <w:rsid w:val="00640A6C"/>
    <w:rsid w:val="00644812"/>
    <w:rsid w:val="006456F8"/>
    <w:rsid w:val="00645FB2"/>
    <w:rsid w:val="00645FBE"/>
    <w:rsid w:val="00646B93"/>
    <w:rsid w:val="00647E10"/>
    <w:rsid w:val="00650111"/>
    <w:rsid w:val="006507E6"/>
    <w:rsid w:val="00652367"/>
    <w:rsid w:val="00652AE4"/>
    <w:rsid w:val="00652E81"/>
    <w:rsid w:val="006541E2"/>
    <w:rsid w:val="00656272"/>
    <w:rsid w:val="0065688E"/>
    <w:rsid w:val="00657EE7"/>
    <w:rsid w:val="0066189C"/>
    <w:rsid w:val="00662F08"/>
    <w:rsid w:val="006636C3"/>
    <w:rsid w:val="00664A9B"/>
    <w:rsid w:val="00664CE1"/>
    <w:rsid w:val="006677E4"/>
    <w:rsid w:val="00670747"/>
    <w:rsid w:val="00670E30"/>
    <w:rsid w:val="006734CF"/>
    <w:rsid w:val="00673DE7"/>
    <w:rsid w:val="00673F8F"/>
    <w:rsid w:val="00675561"/>
    <w:rsid w:val="00675AA8"/>
    <w:rsid w:val="00682F59"/>
    <w:rsid w:val="0068313E"/>
    <w:rsid w:val="0068785C"/>
    <w:rsid w:val="00687D4E"/>
    <w:rsid w:val="006912DD"/>
    <w:rsid w:val="00691A72"/>
    <w:rsid w:val="00691FF2"/>
    <w:rsid w:val="0069208C"/>
    <w:rsid w:val="00692347"/>
    <w:rsid w:val="00695B59"/>
    <w:rsid w:val="00695EB3"/>
    <w:rsid w:val="0069654A"/>
    <w:rsid w:val="0069698E"/>
    <w:rsid w:val="006A0333"/>
    <w:rsid w:val="006A0FCC"/>
    <w:rsid w:val="006A20FB"/>
    <w:rsid w:val="006A3114"/>
    <w:rsid w:val="006A44D4"/>
    <w:rsid w:val="006A489C"/>
    <w:rsid w:val="006A4C57"/>
    <w:rsid w:val="006A562C"/>
    <w:rsid w:val="006A5E17"/>
    <w:rsid w:val="006A6732"/>
    <w:rsid w:val="006A7C09"/>
    <w:rsid w:val="006B0524"/>
    <w:rsid w:val="006B0635"/>
    <w:rsid w:val="006B0BD3"/>
    <w:rsid w:val="006B10DE"/>
    <w:rsid w:val="006B4293"/>
    <w:rsid w:val="006B5364"/>
    <w:rsid w:val="006B6E5F"/>
    <w:rsid w:val="006C14A4"/>
    <w:rsid w:val="006C4062"/>
    <w:rsid w:val="006C4AFC"/>
    <w:rsid w:val="006C4BCD"/>
    <w:rsid w:val="006C7BEC"/>
    <w:rsid w:val="006D036C"/>
    <w:rsid w:val="006D39EA"/>
    <w:rsid w:val="006D4F20"/>
    <w:rsid w:val="006E5816"/>
    <w:rsid w:val="006E63FE"/>
    <w:rsid w:val="006F020D"/>
    <w:rsid w:val="006F0F4F"/>
    <w:rsid w:val="006F20BA"/>
    <w:rsid w:val="006F21A7"/>
    <w:rsid w:val="006F22A6"/>
    <w:rsid w:val="006F3EE1"/>
    <w:rsid w:val="006F40B3"/>
    <w:rsid w:val="006F55DA"/>
    <w:rsid w:val="006F5B56"/>
    <w:rsid w:val="006F5CBB"/>
    <w:rsid w:val="006F7CFD"/>
    <w:rsid w:val="006F7D7E"/>
    <w:rsid w:val="007027CB"/>
    <w:rsid w:val="00703BBC"/>
    <w:rsid w:val="00706E18"/>
    <w:rsid w:val="00707494"/>
    <w:rsid w:val="00710C87"/>
    <w:rsid w:val="00710FE9"/>
    <w:rsid w:val="00711E38"/>
    <w:rsid w:val="00712154"/>
    <w:rsid w:val="0071250F"/>
    <w:rsid w:val="007127C8"/>
    <w:rsid w:val="00713B9F"/>
    <w:rsid w:val="00714731"/>
    <w:rsid w:val="00714A04"/>
    <w:rsid w:val="0071553D"/>
    <w:rsid w:val="00717E4A"/>
    <w:rsid w:val="0072112C"/>
    <w:rsid w:val="007211BE"/>
    <w:rsid w:val="00721B05"/>
    <w:rsid w:val="00722255"/>
    <w:rsid w:val="0072625F"/>
    <w:rsid w:val="00726973"/>
    <w:rsid w:val="00726A45"/>
    <w:rsid w:val="00727C0A"/>
    <w:rsid w:val="00727D23"/>
    <w:rsid w:val="00731AF8"/>
    <w:rsid w:val="0073287F"/>
    <w:rsid w:val="00732BAA"/>
    <w:rsid w:val="00733D55"/>
    <w:rsid w:val="00734DA2"/>
    <w:rsid w:val="0073547F"/>
    <w:rsid w:val="00735F85"/>
    <w:rsid w:val="00736065"/>
    <w:rsid w:val="00737CB2"/>
    <w:rsid w:val="0074168C"/>
    <w:rsid w:val="00742304"/>
    <w:rsid w:val="00744801"/>
    <w:rsid w:val="00745408"/>
    <w:rsid w:val="0074565F"/>
    <w:rsid w:val="007459DB"/>
    <w:rsid w:val="00747141"/>
    <w:rsid w:val="0075066F"/>
    <w:rsid w:val="0075494B"/>
    <w:rsid w:val="007562EE"/>
    <w:rsid w:val="0075728C"/>
    <w:rsid w:val="0076148F"/>
    <w:rsid w:val="007616B8"/>
    <w:rsid w:val="00762148"/>
    <w:rsid w:val="00763FF8"/>
    <w:rsid w:val="00764111"/>
    <w:rsid w:val="00764C7C"/>
    <w:rsid w:val="00766F70"/>
    <w:rsid w:val="0077013F"/>
    <w:rsid w:val="00770D67"/>
    <w:rsid w:val="00772F96"/>
    <w:rsid w:val="00774FEF"/>
    <w:rsid w:val="007759C9"/>
    <w:rsid w:val="00777C02"/>
    <w:rsid w:val="007801FC"/>
    <w:rsid w:val="0078051C"/>
    <w:rsid w:val="00780EE8"/>
    <w:rsid w:val="00783C29"/>
    <w:rsid w:val="00785EDB"/>
    <w:rsid w:val="007863C0"/>
    <w:rsid w:val="007879EF"/>
    <w:rsid w:val="007913B1"/>
    <w:rsid w:val="00791AFE"/>
    <w:rsid w:val="00795DE9"/>
    <w:rsid w:val="00795EF9"/>
    <w:rsid w:val="00796695"/>
    <w:rsid w:val="00796D48"/>
    <w:rsid w:val="007975E5"/>
    <w:rsid w:val="007A07FC"/>
    <w:rsid w:val="007A0D07"/>
    <w:rsid w:val="007A0E22"/>
    <w:rsid w:val="007A1A6A"/>
    <w:rsid w:val="007A1B24"/>
    <w:rsid w:val="007A3FCD"/>
    <w:rsid w:val="007A50D3"/>
    <w:rsid w:val="007B0536"/>
    <w:rsid w:val="007B073E"/>
    <w:rsid w:val="007B0E3E"/>
    <w:rsid w:val="007B1D0A"/>
    <w:rsid w:val="007B1D8B"/>
    <w:rsid w:val="007B250F"/>
    <w:rsid w:val="007B55CB"/>
    <w:rsid w:val="007B5829"/>
    <w:rsid w:val="007B5AD5"/>
    <w:rsid w:val="007B6AC5"/>
    <w:rsid w:val="007B74C1"/>
    <w:rsid w:val="007C10C9"/>
    <w:rsid w:val="007C2534"/>
    <w:rsid w:val="007C26FE"/>
    <w:rsid w:val="007C3741"/>
    <w:rsid w:val="007C50EC"/>
    <w:rsid w:val="007C6C9D"/>
    <w:rsid w:val="007C77BC"/>
    <w:rsid w:val="007D0418"/>
    <w:rsid w:val="007D09FE"/>
    <w:rsid w:val="007D1619"/>
    <w:rsid w:val="007D24BB"/>
    <w:rsid w:val="007D4AC6"/>
    <w:rsid w:val="007D575D"/>
    <w:rsid w:val="007D57B4"/>
    <w:rsid w:val="007D59B6"/>
    <w:rsid w:val="007D5E36"/>
    <w:rsid w:val="007D7A2B"/>
    <w:rsid w:val="007E011C"/>
    <w:rsid w:val="007E0641"/>
    <w:rsid w:val="007E1738"/>
    <w:rsid w:val="007E1762"/>
    <w:rsid w:val="007E51E1"/>
    <w:rsid w:val="007E6A37"/>
    <w:rsid w:val="007F04E4"/>
    <w:rsid w:val="007F0EFC"/>
    <w:rsid w:val="007F232D"/>
    <w:rsid w:val="007F292A"/>
    <w:rsid w:val="007F2F73"/>
    <w:rsid w:val="007F51EB"/>
    <w:rsid w:val="007F6F14"/>
    <w:rsid w:val="007F73FD"/>
    <w:rsid w:val="00801343"/>
    <w:rsid w:val="00803404"/>
    <w:rsid w:val="008048B1"/>
    <w:rsid w:val="008054FB"/>
    <w:rsid w:val="0080626D"/>
    <w:rsid w:val="008068C2"/>
    <w:rsid w:val="00810806"/>
    <w:rsid w:val="00810CF6"/>
    <w:rsid w:val="00810D29"/>
    <w:rsid w:val="00810FA7"/>
    <w:rsid w:val="00813822"/>
    <w:rsid w:val="00813C77"/>
    <w:rsid w:val="00815302"/>
    <w:rsid w:val="00817F88"/>
    <w:rsid w:val="008204CA"/>
    <w:rsid w:val="008208F9"/>
    <w:rsid w:val="0082366F"/>
    <w:rsid w:val="00825694"/>
    <w:rsid w:val="008258BC"/>
    <w:rsid w:val="00826731"/>
    <w:rsid w:val="00831D72"/>
    <w:rsid w:val="008323FA"/>
    <w:rsid w:val="0083402F"/>
    <w:rsid w:val="008349A3"/>
    <w:rsid w:val="008366A0"/>
    <w:rsid w:val="00836E83"/>
    <w:rsid w:val="00836F4B"/>
    <w:rsid w:val="0084068C"/>
    <w:rsid w:val="008409C3"/>
    <w:rsid w:val="00841766"/>
    <w:rsid w:val="008431B6"/>
    <w:rsid w:val="008447F5"/>
    <w:rsid w:val="00845BB5"/>
    <w:rsid w:val="008468F1"/>
    <w:rsid w:val="008504F9"/>
    <w:rsid w:val="008510FE"/>
    <w:rsid w:val="0085113F"/>
    <w:rsid w:val="00853D61"/>
    <w:rsid w:val="008547C1"/>
    <w:rsid w:val="0085487E"/>
    <w:rsid w:val="00854CC9"/>
    <w:rsid w:val="00857AA2"/>
    <w:rsid w:val="00857E45"/>
    <w:rsid w:val="00860C19"/>
    <w:rsid w:val="00860F45"/>
    <w:rsid w:val="008614CE"/>
    <w:rsid w:val="008616FE"/>
    <w:rsid w:val="0086212D"/>
    <w:rsid w:val="00862387"/>
    <w:rsid w:val="00865760"/>
    <w:rsid w:val="0086663E"/>
    <w:rsid w:val="00866802"/>
    <w:rsid w:val="00866993"/>
    <w:rsid w:val="00871EE5"/>
    <w:rsid w:val="00872118"/>
    <w:rsid w:val="00873C68"/>
    <w:rsid w:val="00875266"/>
    <w:rsid w:val="00876354"/>
    <w:rsid w:val="0087727B"/>
    <w:rsid w:val="00884A07"/>
    <w:rsid w:val="0088608F"/>
    <w:rsid w:val="00890FD0"/>
    <w:rsid w:val="00891194"/>
    <w:rsid w:val="00891674"/>
    <w:rsid w:val="0089396C"/>
    <w:rsid w:val="008956AC"/>
    <w:rsid w:val="00895AF4"/>
    <w:rsid w:val="0089680F"/>
    <w:rsid w:val="008979AD"/>
    <w:rsid w:val="008A0904"/>
    <w:rsid w:val="008A16CC"/>
    <w:rsid w:val="008A2FF3"/>
    <w:rsid w:val="008A48D8"/>
    <w:rsid w:val="008A4E1A"/>
    <w:rsid w:val="008A70DA"/>
    <w:rsid w:val="008B0411"/>
    <w:rsid w:val="008B236F"/>
    <w:rsid w:val="008B4C32"/>
    <w:rsid w:val="008B56D8"/>
    <w:rsid w:val="008B768F"/>
    <w:rsid w:val="008B7CE2"/>
    <w:rsid w:val="008C0362"/>
    <w:rsid w:val="008C41AD"/>
    <w:rsid w:val="008C4523"/>
    <w:rsid w:val="008C48F5"/>
    <w:rsid w:val="008C4E1D"/>
    <w:rsid w:val="008C66ED"/>
    <w:rsid w:val="008C747D"/>
    <w:rsid w:val="008C7E69"/>
    <w:rsid w:val="008D0F9E"/>
    <w:rsid w:val="008D38E4"/>
    <w:rsid w:val="008D4E61"/>
    <w:rsid w:val="008D6152"/>
    <w:rsid w:val="008D636D"/>
    <w:rsid w:val="008D7EEA"/>
    <w:rsid w:val="008D7F68"/>
    <w:rsid w:val="008E0387"/>
    <w:rsid w:val="008E2246"/>
    <w:rsid w:val="008E2EC4"/>
    <w:rsid w:val="008E36AE"/>
    <w:rsid w:val="008E3AC5"/>
    <w:rsid w:val="008E4B1F"/>
    <w:rsid w:val="008E5509"/>
    <w:rsid w:val="008E573F"/>
    <w:rsid w:val="008F087D"/>
    <w:rsid w:val="008F27FD"/>
    <w:rsid w:val="008F4161"/>
    <w:rsid w:val="008F47C9"/>
    <w:rsid w:val="008F4997"/>
    <w:rsid w:val="008F5DB7"/>
    <w:rsid w:val="008F5F4C"/>
    <w:rsid w:val="008F70AF"/>
    <w:rsid w:val="008F79CD"/>
    <w:rsid w:val="008F7CFA"/>
    <w:rsid w:val="0090040A"/>
    <w:rsid w:val="009010DF"/>
    <w:rsid w:val="00901E56"/>
    <w:rsid w:val="00901EBA"/>
    <w:rsid w:val="009024EC"/>
    <w:rsid w:val="00902815"/>
    <w:rsid w:val="0090508B"/>
    <w:rsid w:val="00905414"/>
    <w:rsid w:val="0090697D"/>
    <w:rsid w:val="00906D78"/>
    <w:rsid w:val="00906DB6"/>
    <w:rsid w:val="00906DFD"/>
    <w:rsid w:val="009071C0"/>
    <w:rsid w:val="009119F7"/>
    <w:rsid w:val="00914893"/>
    <w:rsid w:val="00915154"/>
    <w:rsid w:val="00920041"/>
    <w:rsid w:val="00920935"/>
    <w:rsid w:val="009225E4"/>
    <w:rsid w:val="00923174"/>
    <w:rsid w:val="009240F2"/>
    <w:rsid w:val="00925018"/>
    <w:rsid w:val="00926831"/>
    <w:rsid w:val="00926F6A"/>
    <w:rsid w:val="00927AB2"/>
    <w:rsid w:val="00931D59"/>
    <w:rsid w:val="00932C36"/>
    <w:rsid w:val="00932F44"/>
    <w:rsid w:val="00932F83"/>
    <w:rsid w:val="00934805"/>
    <w:rsid w:val="00935051"/>
    <w:rsid w:val="0093633E"/>
    <w:rsid w:val="00936850"/>
    <w:rsid w:val="00941063"/>
    <w:rsid w:val="0094106C"/>
    <w:rsid w:val="009419AF"/>
    <w:rsid w:val="009449E7"/>
    <w:rsid w:val="00947CCC"/>
    <w:rsid w:val="00950991"/>
    <w:rsid w:val="00950CFF"/>
    <w:rsid w:val="00952AED"/>
    <w:rsid w:val="0095388B"/>
    <w:rsid w:val="0095502B"/>
    <w:rsid w:val="009551AF"/>
    <w:rsid w:val="009551B0"/>
    <w:rsid w:val="00955806"/>
    <w:rsid w:val="00955A88"/>
    <w:rsid w:val="00956F7A"/>
    <w:rsid w:val="0095746E"/>
    <w:rsid w:val="0095766F"/>
    <w:rsid w:val="0095785B"/>
    <w:rsid w:val="00960C63"/>
    <w:rsid w:val="00960C81"/>
    <w:rsid w:val="009618DF"/>
    <w:rsid w:val="009635AB"/>
    <w:rsid w:val="00964D8B"/>
    <w:rsid w:val="00967127"/>
    <w:rsid w:val="00972CDE"/>
    <w:rsid w:val="00973621"/>
    <w:rsid w:val="00973A17"/>
    <w:rsid w:val="00974EFE"/>
    <w:rsid w:val="009754AD"/>
    <w:rsid w:val="00977C5C"/>
    <w:rsid w:val="00981A47"/>
    <w:rsid w:val="00982D7C"/>
    <w:rsid w:val="00983E3B"/>
    <w:rsid w:val="0098496E"/>
    <w:rsid w:val="0098588B"/>
    <w:rsid w:val="00990339"/>
    <w:rsid w:val="00990D96"/>
    <w:rsid w:val="009933B5"/>
    <w:rsid w:val="00995209"/>
    <w:rsid w:val="009954B6"/>
    <w:rsid w:val="00995D09"/>
    <w:rsid w:val="009A0329"/>
    <w:rsid w:val="009A296F"/>
    <w:rsid w:val="009A3582"/>
    <w:rsid w:val="009A401C"/>
    <w:rsid w:val="009A436F"/>
    <w:rsid w:val="009A4DA2"/>
    <w:rsid w:val="009A5131"/>
    <w:rsid w:val="009A6130"/>
    <w:rsid w:val="009B01ED"/>
    <w:rsid w:val="009B1E51"/>
    <w:rsid w:val="009B30B1"/>
    <w:rsid w:val="009B30E1"/>
    <w:rsid w:val="009B46CF"/>
    <w:rsid w:val="009B4A69"/>
    <w:rsid w:val="009B549F"/>
    <w:rsid w:val="009B56E4"/>
    <w:rsid w:val="009B5BCE"/>
    <w:rsid w:val="009B69A0"/>
    <w:rsid w:val="009B7B5A"/>
    <w:rsid w:val="009C0C69"/>
    <w:rsid w:val="009C291F"/>
    <w:rsid w:val="009C49CF"/>
    <w:rsid w:val="009C50FD"/>
    <w:rsid w:val="009C5B0F"/>
    <w:rsid w:val="009C695D"/>
    <w:rsid w:val="009C7FB8"/>
    <w:rsid w:val="009D16A3"/>
    <w:rsid w:val="009D213B"/>
    <w:rsid w:val="009D4054"/>
    <w:rsid w:val="009D551F"/>
    <w:rsid w:val="009D6F1D"/>
    <w:rsid w:val="009D7F3C"/>
    <w:rsid w:val="009E1DE5"/>
    <w:rsid w:val="009E4C54"/>
    <w:rsid w:val="009E5E4E"/>
    <w:rsid w:val="009E6C21"/>
    <w:rsid w:val="009E7113"/>
    <w:rsid w:val="009E755F"/>
    <w:rsid w:val="009F165B"/>
    <w:rsid w:val="009F28F1"/>
    <w:rsid w:val="00A0070F"/>
    <w:rsid w:val="00A00B5E"/>
    <w:rsid w:val="00A00B7C"/>
    <w:rsid w:val="00A00EAA"/>
    <w:rsid w:val="00A015DF"/>
    <w:rsid w:val="00A02AA8"/>
    <w:rsid w:val="00A03DED"/>
    <w:rsid w:val="00A0435D"/>
    <w:rsid w:val="00A10818"/>
    <w:rsid w:val="00A10AAD"/>
    <w:rsid w:val="00A1134E"/>
    <w:rsid w:val="00A1196D"/>
    <w:rsid w:val="00A12C10"/>
    <w:rsid w:val="00A12F42"/>
    <w:rsid w:val="00A139FC"/>
    <w:rsid w:val="00A14A65"/>
    <w:rsid w:val="00A15E9C"/>
    <w:rsid w:val="00A162A1"/>
    <w:rsid w:val="00A16CDC"/>
    <w:rsid w:val="00A17661"/>
    <w:rsid w:val="00A21438"/>
    <w:rsid w:val="00A21C97"/>
    <w:rsid w:val="00A229C4"/>
    <w:rsid w:val="00A22A93"/>
    <w:rsid w:val="00A23EEA"/>
    <w:rsid w:val="00A2426E"/>
    <w:rsid w:val="00A25CD0"/>
    <w:rsid w:val="00A274DE"/>
    <w:rsid w:val="00A27B5E"/>
    <w:rsid w:val="00A27C9F"/>
    <w:rsid w:val="00A27CE8"/>
    <w:rsid w:val="00A30C9A"/>
    <w:rsid w:val="00A3218E"/>
    <w:rsid w:val="00A32D33"/>
    <w:rsid w:val="00A34747"/>
    <w:rsid w:val="00A35A6F"/>
    <w:rsid w:val="00A371FF"/>
    <w:rsid w:val="00A4029A"/>
    <w:rsid w:val="00A4070D"/>
    <w:rsid w:val="00A40DF1"/>
    <w:rsid w:val="00A423A1"/>
    <w:rsid w:val="00A42A59"/>
    <w:rsid w:val="00A42ECF"/>
    <w:rsid w:val="00A43247"/>
    <w:rsid w:val="00A433CD"/>
    <w:rsid w:val="00A4447F"/>
    <w:rsid w:val="00A44E9A"/>
    <w:rsid w:val="00A50211"/>
    <w:rsid w:val="00A5122B"/>
    <w:rsid w:val="00A514EF"/>
    <w:rsid w:val="00A606EF"/>
    <w:rsid w:val="00A632FA"/>
    <w:rsid w:val="00A638BA"/>
    <w:rsid w:val="00A63950"/>
    <w:rsid w:val="00A651D1"/>
    <w:rsid w:val="00A679D3"/>
    <w:rsid w:val="00A70225"/>
    <w:rsid w:val="00A70DC7"/>
    <w:rsid w:val="00A71C5B"/>
    <w:rsid w:val="00A71D1E"/>
    <w:rsid w:val="00A728AF"/>
    <w:rsid w:val="00A745A3"/>
    <w:rsid w:val="00A7530C"/>
    <w:rsid w:val="00A75DBB"/>
    <w:rsid w:val="00A7661D"/>
    <w:rsid w:val="00A77328"/>
    <w:rsid w:val="00A77403"/>
    <w:rsid w:val="00A77E6A"/>
    <w:rsid w:val="00A84108"/>
    <w:rsid w:val="00A84DC4"/>
    <w:rsid w:val="00A8540A"/>
    <w:rsid w:val="00A857E3"/>
    <w:rsid w:val="00A86084"/>
    <w:rsid w:val="00A87A86"/>
    <w:rsid w:val="00A87B2C"/>
    <w:rsid w:val="00A87F5F"/>
    <w:rsid w:val="00A907E9"/>
    <w:rsid w:val="00A90BB0"/>
    <w:rsid w:val="00A95B83"/>
    <w:rsid w:val="00A96BD9"/>
    <w:rsid w:val="00A96E82"/>
    <w:rsid w:val="00AA3730"/>
    <w:rsid w:val="00AA4307"/>
    <w:rsid w:val="00AA6F7A"/>
    <w:rsid w:val="00AA771D"/>
    <w:rsid w:val="00AA7DF4"/>
    <w:rsid w:val="00AB0E45"/>
    <w:rsid w:val="00AB1421"/>
    <w:rsid w:val="00AB3C36"/>
    <w:rsid w:val="00AB4505"/>
    <w:rsid w:val="00AB4652"/>
    <w:rsid w:val="00AB6621"/>
    <w:rsid w:val="00AC37F6"/>
    <w:rsid w:val="00AC3A4A"/>
    <w:rsid w:val="00AC409A"/>
    <w:rsid w:val="00AC7008"/>
    <w:rsid w:val="00AD2496"/>
    <w:rsid w:val="00AD319A"/>
    <w:rsid w:val="00AD4322"/>
    <w:rsid w:val="00AD4378"/>
    <w:rsid w:val="00AD4FCF"/>
    <w:rsid w:val="00AD6664"/>
    <w:rsid w:val="00AD6B2D"/>
    <w:rsid w:val="00AD6CD7"/>
    <w:rsid w:val="00AD74DC"/>
    <w:rsid w:val="00AD7CA9"/>
    <w:rsid w:val="00AD7E89"/>
    <w:rsid w:val="00AE0BB1"/>
    <w:rsid w:val="00AE1E56"/>
    <w:rsid w:val="00AE387F"/>
    <w:rsid w:val="00AE48E9"/>
    <w:rsid w:val="00AE49CF"/>
    <w:rsid w:val="00AE6B8F"/>
    <w:rsid w:val="00AF0F24"/>
    <w:rsid w:val="00AF141A"/>
    <w:rsid w:val="00AF183A"/>
    <w:rsid w:val="00AF1BB6"/>
    <w:rsid w:val="00AF20E8"/>
    <w:rsid w:val="00AF27E6"/>
    <w:rsid w:val="00AF323D"/>
    <w:rsid w:val="00AF35C2"/>
    <w:rsid w:val="00AF36CB"/>
    <w:rsid w:val="00AF5B92"/>
    <w:rsid w:val="00B00360"/>
    <w:rsid w:val="00B0484D"/>
    <w:rsid w:val="00B05571"/>
    <w:rsid w:val="00B058C8"/>
    <w:rsid w:val="00B0637F"/>
    <w:rsid w:val="00B10998"/>
    <w:rsid w:val="00B135F9"/>
    <w:rsid w:val="00B16066"/>
    <w:rsid w:val="00B1702E"/>
    <w:rsid w:val="00B175B2"/>
    <w:rsid w:val="00B175DE"/>
    <w:rsid w:val="00B17F7B"/>
    <w:rsid w:val="00B20535"/>
    <w:rsid w:val="00B20780"/>
    <w:rsid w:val="00B23133"/>
    <w:rsid w:val="00B23CC9"/>
    <w:rsid w:val="00B26F34"/>
    <w:rsid w:val="00B27CF7"/>
    <w:rsid w:val="00B27D06"/>
    <w:rsid w:val="00B31196"/>
    <w:rsid w:val="00B324EB"/>
    <w:rsid w:val="00B336E4"/>
    <w:rsid w:val="00B37A30"/>
    <w:rsid w:val="00B37A8C"/>
    <w:rsid w:val="00B42190"/>
    <w:rsid w:val="00B438F4"/>
    <w:rsid w:val="00B44B45"/>
    <w:rsid w:val="00B44D8A"/>
    <w:rsid w:val="00B4520A"/>
    <w:rsid w:val="00B45A69"/>
    <w:rsid w:val="00B46BE8"/>
    <w:rsid w:val="00B47653"/>
    <w:rsid w:val="00B4769F"/>
    <w:rsid w:val="00B50909"/>
    <w:rsid w:val="00B51CB6"/>
    <w:rsid w:val="00B524AE"/>
    <w:rsid w:val="00B52CA3"/>
    <w:rsid w:val="00B53175"/>
    <w:rsid w:val="00B54F8B"/>
    <w:rsid w:val="00B551E1"/>
    <w:rsid w:val="00B552C5"/>
    <w:rsid w:val="00B60A5B"/>
    <w:rsid w:val="00B60D37"/>
    <w:rsid w:val="00B61F5A"/>
    <w:rsid w:val="00B636B1"/>
    <w:rsid w:val="00B63F55"/>
    <w:rsid w:val="00B64606"/>
    <w:rsid w:val="00B66303"/>
    <w:rsid w:val="00B666A1"/>
    <w:rsid w:val="00B677C8"/>
    <w:rsid w:val="00B67E34"/>
    <w:rsid w:val="00B67F6B"/>
    <w:rsid w:val="00B71431"/>
    <w:rsid w:val="00B74531"/>
    <w:rsid w:val="00B75C9F"/>
    <w:rsid w:val="00B8103B"/>
    <w:rsid w:val="00B8381E"/>
    <w:rsid w:val="00B83A05"/>
    <w:rsid w:val="00B83D4C"/>
    <w:rsid w:val="00B83D80"/>
    <w:rsid w:val="00B85AD7"/>
    <w:rsid w:val="00B86D3D"/>
    <w:rsid w:val="00B92C60"/>
    <w:rsid w:val="00B9328D"/>
    <w:rsid w:val="00B94345"/>
    <w:rsid w:val="00B9479E"/>
    <w:rsid w:val="00B952FC"/>
    <w:rsid w:val="00B95BCC"/>
    <w:rsid w:val="00B96119"/>
    <w:rsid w:val="00B96722"/>
    <w:rsid w:val="00B97A6F"/>
    <w:rsid w:val="00BA017C"/>
    <w:rsid w:val="00BA1450"/>
    <w:rsid w:val="00BA5491"/>
    <w:rsid w:val="00BB00EC"/>
    <w:rsid w:val="00BB0CF6"/>
    <w:rsid w:val="00BB1D53"/>
    <w:rsid w:val="00BB30E5"/>
    <w:rsid w:val="00BB4A25"/>
    <w:rsid w:val="00BB553C"/>
    <w:rsid w:val="00BC03EF"/>
    <w:rsid w:val="00BC3338"/>
    <w:rsid w:val="00BC5B58"/>
    <w:rsid w:val="00BC7B0D"/>
    <w:rsid w:val="00BD0A09"/>
    <w:rsid w:val="00BD0C05"/>
    <w:rsid w:val="00BD0E70"/>
    <w:rsid w:val="00BD1699"/>
    <w:rsid w:val="00BD2D80"/>
    <w:rsid w:val="00BD4847"/>
    <w:rsid w:val="00BD4D60"/>
    <w:rsid w:val="00BD54A8"/>
    <w:rsid w:val="00BE1F9E"/>
    <w:rsid w:val="00BE1FA9"/>
    <w:rsid w:val="00BE38A1"/>
    <w:rsid w:val="00BE43FC"/>
    <w:rsid w:val="00BE4606"/>
    <w:rsid w:val="00BE475D"/>
    <w:rsid w:val="00BE548D"/>
    <w:rsid w:val="00BE5F55"/>
    <w:rsid w:val="00BE6CBB"/>
    <w:rsid w:val="00BF1CAE"/>
    <w:rsid w:val="00BF2FB7"/>
    <w:rsid w:val="00BF4475"/>
    <w:rsid w:val="00BF4B9D"/>
    <w:rsid w:val="00BF5874"/>
    <w:rsid w:val="00BF7645"/>
    <w:rsid w:val="00C00D7B"/>
    <w:rsid w:val="00C01275"/>
    <w:rsid w:val="00C06430"/>
    <w:rsid w:val="00C06C29"/>
    <w:rsid w:val="00C079B0"/>
    <w:rsid w:val="00C10019"/>
    <w:rsid w:val="00C1030D"/>
    <w:rsid w:val="00C107C6"/>
    <w:rsid w:val="00C12354"/>
    <w:rsid w:val="00C13913"/>
    <w:rsid w:val="00C1409E"/>
    <w:rsid w:val="00C1602A"/>
    <w:rsid w:val="00C176D6"/>
    <w:rsid w:val="00C17F94"/>
    <w:rsid w:val="00C2040C"/>
    <w:rsid w:val="00C2239C"/>
    <w:rsid w:val="00C226E1"/>
    <w:rsid w:val="00C22CF3"/>
    <w:rsid w:val="00C24B14"/>
    <w:rsid w:val="00C2596E"/>
    <w:rsid w:val="00C27926"/>
    <w:rsid w:val="00C305EC"/>
    <w:rsid w:val="00C311B0"/>
    <w:rsid w:val="00C32407"/>
    <w:rsid w:val="00C32683"/>
    <w:rsid w:val="00C33CEA"/>
    <w:rsid w:val="00C34086"/>
    <w:rsid w:val="00C357B7"/>
    <w:rsid w:val="00C403FC"/>
    <w:rsid w:val="00C40F05"/>
    <w:rsid w:val="00C4435F"/>
    <w:rsid w:val="00C45645"/>
    <w:rsid w:val="00C46AED"/>
    <w:rsid w:val="00C52F3C"/>
    <w:rsid w:val="00C55E2E"/>
    <w:rsid w:val="00C568CB"/>
    <w:rsid w:val="00C57880"/>
    <w:rsid w:val="00C60BFF"/>
    <w:rsid w:val="00C63D4D"/>
    <w:rsid w:val="00C64124"/>
    <w:rsid w:val="00C654EE"/>
    <w:rsid w:val="00C65502"/>
    <w:rsid w:val="00C662B2"/>
    <w:rsid w:val="00C664BE"/>
    <w:rsid w:val="00C66533"/>
    <w:rsid w:val="00C67AA7"/>
    <w:rsid w:val="00C67AAE"/>
    <w:rsid w:val="00C71FE9"/>
    <w:rsid w:val="00C72546"/>
    <w:rsid w:val="00C72C04"/>
    <w:rsid w:val="00C73BCB"/>
    <w:rsid w:val="00C7699C"/>
    <w:rsid w:val="00C77AE6"/>
    <w:rsid w:val="00C80C23"/>
    <w:rsid w:val="00C80F0D"/>
    <w:rsid w:val="00C81586"/>
    <w:rsid w:val="00C81A2B"/>
    <w:rsid w:val="00C832EE"/>
    <w:rsid w:val="00C84657"/>
    <w:rsid w:val="00C854E8"/>
    <w:rsid w:val="00C85C1C"/>
    <w:rsid w:val="00C85E83"/>
    <w:rsid w:val="00C8622E"/>
    <w:rsid w:val="00C87123"/>
    <w:rsid w:val="00C877C6"/>
    <w:rsid w:val="00C918B2"/>
    <w:rsid w:val="00C925D4"/>
    <w:rsid w:val="00C93E3E"/>
    <w:rsid w:val="00C940D1"/>
    <w:rsid w:val="00C94193"/>
    <w:rsid w:val="00C945B6"/>
    <w:rsid w:val="00C94778"/>
    <w:rsid w:val="00C94F21"/>
    <w:rsid w:val="00C95FAE"/>
    <w:rsid w:val="00CA0CDB"/>
    <w:rsid w:val="00CA1621"/>
    <w:rsid w:val="00CA2B40"/>
    <w:rsid w:val="00CA4DDD"/>
    <w:rsid w:val="00CA7742"/>
    <w:rsid w:val="00CA7B46"/>
    <w:rsid w:val="00CB08CC"/>
    <w:rsid w:val="00CB09F7"/>
    <w:rsid w:val="00CB155F"/>
    <w:rsid w:val="00CB1D7F"/>
    <w:rsid w:val="00CB7490"/>
    <w:rsid w:val="00CC1C42"/>
    <w:rsid w:val="00CC2260"/>
    <w:rsid w:val="00CC2DDC"/>
    <w:rsid w:val="00CC4839"/>
    <w:rsid w:val="00CC4A60"/>
    <w:rsid w:val="00CC66C9"/>
    <w:rsid w:val="00CD0E24"/>
    <w:rsid w:val="00CD0F80"/>
    <w:rsid w:val="00CD2DB3"/>
    <w:rsid w:val="00CD474B"/>
    <w:rsid w:val="00CD47D5"/>
    <w:rsid w:val="00CD6E3C"/>
    <w:rsid w:val="00CD713E"/>
    <w:rsid w:val="00CD7F55"/>
    <w:rsid w:val="00CE0C51"/>
    <w:rsid w:val="00CE1EF0"/>
    <w:rsid w:val="00CE39B2"/>
    <w:rsid w:val="00CE3EE8"/>
    <w:rsid w:val="00CE4839"/>
    <w:rsid w:val="00CE5091"/>
    <w:rsid w:val="00CE561A"/>
    <w:rsid w:val="00CE5751"/>
    <w:rsid w:val="00CE6A12"/>
    <w:rsid w:val="00CE72B5"/>
    <w:rsid w:val="00CF184F"/>
    <w:rsid w:val="00CF2876"/>
    <w:rsid w:val="00CF37E7"/>
    <w:rsid w:val="00CF3C3F"/>
    <w:rsid w:val="00CF3EC9"/>
    <w:rsid w:val="00CF5012"/>
    <w:rsid w:val="00CF555F"/>
    <w:rsid w:val="00CF5C53"/>
    <w:rsid w:val="00CF5D83"/>
    <w:rsid w:val="00D007F4"/>
    <w:rsid w:val="00D02533"/>
    <w:rsid w:val="00D02788"/>
    <w:rsid w:val="00D04B66"/>
    <w:rsid w:val="00D0668E"/>
    <w:rsid w:val="00D067FB"/>
    <w:rsid w:val="00D11059"/>
    <w:rsid w:val="00D11FB0"/>
    <w:rsid w:val="00D15F27"/>
    <w:rsid w:val="00D16C0A"/>
    <w:rsid w:val="00D20013"/>
    <w:rsid w:val="00D22717"/>
    <w:rsid w:val="00D228F8"/>
    <w:rsid w:val="00D2467B"/>
    <w:rsid w:val="00D319ED"/>
    <w:rsid w:val="00D33E92"/>
    <w:rsid w:val="00D34BC4"/>
    <w:rsid w:val="00D34EAB"/>
    <w:rsid w:val="00D34F93"/>
    <w:rsid w:val="00D356F3"/>
    <w:rsid w:val="00D37043"/>
    <w:rsid w:val="00D37512"/>
    <w:rsid w:val="00D42C77"/>
    <w:rsid w:val="00D43131"/>
    <w:rsid w:val="00D438DE"/>
    <w:rsid w:val="00D43BB0"/>
    <w:rsid w:val="00D44E33"/>
    <w:rsid w:val="00D470D4"/>
    <w:rsid w:val="00D51451"/>
    <w:rsid w:val="00D514E0"/>
    <w:rsid w:val="00D52C8A"/>
    <w:rsid w:val="00D542CC"/>
    <w:rsid w:val="00D54FD1"/>
    <w:rsid w:val="00D567C6"/>
    <w:rsid w:val="00D5748D"/>
    <w:rsid w:val="00D57D4B"/>
    <w:rsid w:val="00D6064B"/>
    <w:rsid w:val="00D613C4"/>
    <w:rsid w:val="00D624AF"/>
    <w:rsid w:val="00D65B20"/>
    <w:rsid w:val="00D6667E"/>
    <w:rsid w:val="00D67BB4"/>
    <w:rsid w:val="00D70D0F"/>
    <w:rsid w:val="00D7157C"/>
    <w:rsid w:val="00D718DD"/>
    <w:rsid w:val="00D72302"/>
    <w:rsid w:val="00D726B9"/>
    <w:rsid w:val="00D73017"/>
    <w:rsid w:val="00D73606"/>
    <w:rsid w:val="00D73D67"/>
    <w:rsid w:val="00D74252"/>
    <w:rsid w:val="00D8057C"/>
    <w:rsid w:val="00D81C8D"/>
    <w:rsid w:val="00D8218E"/>
    <w:rsid w:val="00D83750"/>
    <w:rsid w:val="00D85E6F"/>
    <w:rsid w:val="00D86A88"/>
    <w:rsid w:val="00D900B0"/>
    <w:rsid w:val="00D904C4"/>
    <w:rsid w:val="00D90CC4"/>
    <w:rsid w:val="00D90FED"/>
    <w:rsid w:val="00D91327"/>
    <w:rsid w:val="00DA00C0"/>
    <w:rsid w:val="00DA051E"/>
    <w:rsid w:val="00DA0A10"/>
    <w:rsid w:val="00DA41AE"/>
    <w:rsid w:val="00DA6100"/>
    <w:rsid w:val="00DB170F"/>
    <w:rsid w:val="00DB22C0"/>
    <w:rsid w:val="00DB24C9"/>
    <w:rsid w:val="00DB32B1"/>
    <w:rsid w:val="00DB4B88"/>
    <w:rsid w:val="00DB6480"/>
    <w:rsid w:val="00DB672A"/>
    <w:rsid w:val="00DB6C95"/>
    <w:rsid w:val="00DB752E"/>
    <w:rsid w:val="00DB7B23"/>
    <w:rsid w:val="00DC0F89"/>
    <w:rsid w:val="00DC3F37"/>
    <w:rsid w:val="00DC41B4"/>
    <w:rsid w:val="00DC60B4"/>
    <w:rsid w:val="00DC6AAD"/>
    <w:rsid w:val="00DC6CAD"/>
    <w:rsid w:val="00DD0C3C"/>
    <w:rsid w:val="00DD1221"/>
    <w:rsid w:val="00DD3705"/>
    <w:rsid w:val="00DD3791"/>
    <w:rsid w:val="00DD7471"/>
    <w:rsid w:val="00DD7AB6"/>
    <w:rsid w:val="00DE0981"/>
    <w:rsid w:val="00DE1202"/>
    <w:rsid w:val="00DE28B7"/>
    <w:rsid w:val="00DE2D7C"/>
    <w:rsid w:val="00DE2F97"/>
    <w:rsid w:val="00DE354A"/>
    <w:rsid w:val="00DE3740"/>
    <w:rsid w:val="00DE4F55"/>
    <w:rsid w:val="00DE6150"/>
    <w:rsid w:val="00DE61CB"/>
    <w:rsid w:val="00DE71F8"/>
    <w:rsid w:val="00DF0E3E"/>
    <w:rsid w:val="00DF158F"/>
    <w:rsid w:val="00DF18D3"/>
    <w:rsid w:val="00DF1A96"/>
    <w:rsid w:val="00DF2B98"/>
    <w:rsid w:val="00DF2E6D"/>
    <w:rsid w:val="00DF3DF4"/>
    <w:rsid w:val="00E00147"/>
    <w:rsid w:val="00E02142"/>
    <w:rsid w:val="00E02DEC"/>
    <w:rsid w:val="00E02FF6"/>
    <w:rsid w:val="00E059FC"/>
    <w:rsid w:val="00E06247"/>
    <w:rsid w:val="00E1092D"/>
    <w:rsid w:val="00E125F9"/>
    <w:rsid w:val="00E12F9B"/>
    <w:rsid w:val="00E14D0F"/>
    <w:rsid w:val="00E14DC8"/>
    <w:rsid w:val="00E14F9D"/>
    <w:rsid w:val="00E15ED9"/>
    <w:rsid w:val="00E16DA2"/>
    <w:rsid w:val="00E17076"/>
    <w:rsid w:val="00E21116"/>
    <w:rsid w:val="00E22A87"/>
    <w:rsid w:val="00E273CF"/>
    <w:rsid w:val="00E3012A"/>
    <w:rsid w:val="00E301D3"/>
    <w:rsid w:val="00E3238B"/>
    <w:rsid w:val="00E33EE5"/>
    <w:rsid w:val="00E34FD0"/>
    <w:rsid w:val="00E3666C"/>
    <w:rsid w:val="00E3721B"/>
    <w:rsid w:val="00E37E3D"/>
    <w:rsid w:val="00E400CE"/>
    <w:rsid w:val="00E4037E"/>
    <w:rsid w:val="00E42806"/>
    <w:rsid w:val="00E4395E"/>
    <w:rsid w:val="00E451D9"/>
    <w:rsid w:val="00E45F7D"/>
    <w:rsid w:val="00E4608F"/>
    <w:rsid w:val="00E47336"/>
    <w:rsid w:val="00E47F23"/>
    <w:rsid w:val="00E50F25"/>
    <w:rsid w:val="00E53EB5"/>
    <w:rsid w:val="00E5412B"/>
    <w:rsid w:val="00E5471F"/>
    <w:rsid w:val="00E55CD4"/>
    <w:rsid w:val="00E61255"/>
    <w:rsid w:val="00E61CDD"/>
    <w:rsid w:val="00E620AA"/>
    <w:rsid w:val="00E62927"/>
    <w:rsid w:val="00E634C8"/>
    <w:rsid w:val="00E646D6"/>
    <w:rsid w:val="00E657C9"/>
    <w:rsid w:val="00E712CA"/>
    <w:rsid w:val="00E71390"/>
    <w:rsid w:val="00E71AB0"/>
    <w:rsid w:val="00E72C1B"/>
    <w:rsid w:val="00E72E71"/>
    <w:rsid w:val="00E73409"/>
    <w:rsid w:val="00E73844"/>
    <w:rsid w:val="00E7469C"/>
    <w:rsid w:val="00E75A16"/>
    <w:rsid w:val="00E76AA9"/>
    <w:rsid w:val="00E76FB1"/>
    <w:rsid w:val="00E776DF"/>
    <w:rsid w:val="00E77CD1"/>
    <w:rsid w:val="00E80BEB"/>
    <w:rsid w:val="00E82097"/>
    <w:rsid w:val="00E83321"/>
    <w:rsid w:val="00E85D78"/>
    <w:rsid w:val="00E8768D"/>
    <w:rsid w:val="00E87ABC"/>
    <w:rsid w:val="00E87FB5"/>
    <w:rsid w:val="00E9054E"/>
    <w:rsid w:val="00E93095"/>
    <w:rsid w:val="00E93FDC"/>
    <w:rsid w:val="00E94AA2"/>
    <w:rsid w:val="00E95BDD"/>
    <w:rsid w:val="00E96041"/>
    <w:rsid w:val="00EA0491"/>
    <w:rsid w:val="00EA0B4D"/>
    <w:rsid w:val="00EA0BB3"/>
    <w:rsid w:val="00EA2567"/>
    <w:rsid w:val="00EA4665"/>
    <w:rsid w:val="00EA5399"/>
    <w:rsid w:val="00EA61EB"/>
    <w:rsid w:val="00EA6A6D"/>
    <w:rsid w:val="00EA7707"/>
    <w:rsid w:val="00EB0597"/>
    <w:rsid w:val="00EB3A25"/>
    <w:rsid w:val="00EB3B16"/>
    <w:rsid w:val="00EB48FB"/>
    <w:rsid w:val="00EB4BE5"/>
    <w:rsid w:val="00EB4C0E"/>
    <w:rsid w:val="00EB51AA"/>
    <w:rsid w:val="00EB6406"/>
    <w:rsid w:val="00EB792B"/>
    <w:rsid w:val="00EB7976"/>
    <w:rsid w:val="00EC0247"/>
    <w:rsid w:val="00EC0683"/>
    <w:rsid w:val="00EC0DC7"/>
    <w:rsid w:val="00EC13AA"/>
    <w:rsid w:val="00EC4337"/>
    <w:rsid w:val="00EC488E"/>
    <w:rsid w:val="00EC7A8B"/>
    <w:rsid w:val="00EC7F1A"/>
    <w:rsid w:val="00ED143C"/>
    <w:rsid w:val="00ED1B48"/>
    <w:rsid w:val="00ED3973"/>
    <w:rsid w:val="00ED3CA5"/>
    <w:rsid w:val="00ED41C8"/>
    <w:rsid w:val="00ED41F8"/>
    <w:rsid w:val="00ED4A51"/>
    <w:rsid w:val="00ED4C0D"/>
    <w:rsid w:val="00ED5518"/>
    <w:rsid w:val="00ED6001"/>
    <w:rsid w:val="00ED6006"/>
    <w:rsid w:val="00ED63D3"/>
    <w:rsid w:val="00ED735F"/>
    <w:rsid w:val="00EE1BA6"/>
    <w:rsid w:val="00EE2E69"/>
    <w:rsid w:val="00EE2EE2"/>
    <w:rsid w:val="00EE5411"/>
    <w:rsid w:val="00EE568B"/>
    <w:rsid w:val="00EE6462"/>
    <w:rsid w:val="00EE6C56"/>
    <w:rsid w:val="00EE71C1"/>
    <w:rsid w:val="00EF0230"/>
    <w:rsid w:val="00EF1245"/>
    <w:rsid w:val="00EF3D14"/>
    <w:rsid w:val="00EF45F4"/>
    <w:rsid w:val="00EF4AD9"/>
    <w:rsid w:val="00EF631B"/>
    <w:rsid w:val="00F01A02"/>
    <w:rsid w:val="00F03872"/>
    <w:rsid w:val="00F0547E"/>
    <w:rsid w:val="00F06A47"/>
    <w:rsid w:val="00F06C0E"/>
    <w:rsid w:val="00F117A4"/>
    <w:rsid w:val="00F1379C"/>
    <w:rsid w:val="00F16CB0"/>
    <w:rsid w:val="00F17DD9"/>
    <w:rsid w:val="00F17E30"/>
    <w:rsid w:val="00F20646"/>
    <w:rsid w:val="00F210C5"/>
    <w:rsid w:val="00F210E5"/>
    <w:rsid w:val="00F237D3"/>
    <w:rsid w:val="00F24CF8"/>
    <w:rsid w:val="00F25915"/>
    <w:rsid w:val="00F26156"/>
    <w:rsid w:val="00F26CEC"/>
    <w:rsid w:val="00F2752E"/>
    <w:rsid w:val="00F27DC3"/>
    <w:rsid w:val="00F31A97"/>
    <w:rsid w:val="00F32DB2"/>
    <w:rsid w:val="00F37E72"/>
    <w:rsid w:val="00F37F98"/>
    <w:rsid w:val="00F40FD5"/>
    <w:rsid w:val="00F4179A"/>
    <w:rsid w:val="00F42176"/>
    <w:rsid w:val="00F425D7"/>
    <w:rsid w:val="00F435E5"/>
    <w:rsid w:val="00F44AA9"/>
    <w:rsid w:val="00F45353"/>
    <w:rsid w:val="00F465C6"/>
    <w:rsid w:val="00F47C3D"/>
    <w:rsid w:val="00F47CC6"/>
    <w:rsid w:val="00F47E41"/>
    <w:rsid w:val="00F50CF8"/>
    <w:rsid w:val="00F51995"/>
    <w:rsid w:val="00F60CCA"/>
    <w:rsid w:val="00F61ACA"/>
    <w:rsid w:val="00F6286B"/>
    <w:rsid w:val="00F62F95"/>
    <w:rsid w:val="00F63F9F"/>
    <w:rsid w:val="00F6433D"/>
    <w:rsid w:val="00F6469D"/>
    <w:rsid w:val="00F653B6"/>
    <w:rsid w:val="00F65F0C"/>
    <w:rsid w:val="00F6716F"/>
    <w:rsid w:val="00F67437"/>
    <w:rsid w:val="00F67522"/>
    <w:rsid w:val="00F6781C"/>
    <w:rsid w:val="00F67AD7"/>
    <w:rsid w:val="00F67E3F"/>
    <w:rsid w:val="00F71279"/>
    <w:rsid w:val="00F71A78"/>
    <w:rsid w:val="00F728CC"/>
    <w:rsid w:val="00F743C2"/>
    <w:rsid w:val="00F745E8"/>
    <w:rsid w:val="00F747B7"/>
    <w:rsid w:val="00F76959"/>
    <w:rsid w:val="00F7750D"/>
    <w:rsid w:val="00F77556"/>
    <w:rsid w:val="00F83374"/>
    <w:rsid w:val="00F83675"/>
    <w:rsid w:val="00F83D9A"/>
    <w:rsid w:val="00F871BF"/>
    <w:rsid w:val="00F87C18"/>
    <w:rsid w:val="00F91511"/>
    <w:rsid w:val="00F92F6F"/>
    <w:rsid w:val="00F957EB"/>
    <w:rsid w:val="00F964DA"/>
    <w:rsid w:val="00FA0084"/>
    <w:rsid w:val="00FA2888"/>
    <w:rsid w:val="00FA4D7F"/>
    <w:rsid w:val="00FA6DD9"/>
    <w:rsid w:val="00FA73A4"/>
    <w:rsid w:val="00FA7DD2"/>
    <w:rsid w:val="00FA7F17"/>
    <w:rsid w:val="00FB06B0"/>
    <w:rsid w:val="00FB1578"/>
    <w:rsid w:val="00FB1890"/>
    <w:rsid w:val="00FB2772"/>
    <w:rsid w:val="00FB3ABB"/>
    <w:rsid w:val="00FB5B44"/>
    <w:rsid w:val="00FB62C1"/>
    <w:rsid w:val="00FB63A9"/>
    <w:rsid w:val="00FB73B1"/>
    <w:rsid w:val="00FB7EA7"/>
    <w:rsid w:val="00FC0F26"/>
    <w:rsid w:val="00FC1189"/>
    <w:rsid w:val="00FC1A5D"/>
    <w:rsid w:val="00FC1A8E"/>
    <w:rsid w:val="00FC1CA0"/>
    <w:rsid w:val="00FC20F9"/>
    <w:rsid w:val="00FC2937"/>
    <w:rsid w:val="00FC2BAC"/>
    <w:rsid w:val="00FC4872"/>
    <w:rsid w:val="00FC6367"/>
    <w:rsid w:val="00FC63F3"/>
    <w:rsid w:val="00FC6A94"/>
    <w:rsid w:val="00FC75B1"/>
    <w:rsid w:val="00FD1521"/>
    <w:rsid w:val="00FD1579"/>
    <w:rsid w:val="00FD231D"/>
    <w:rsid w:val="00FD360D"/>
    <w:rsid w:val="00FD4A76"/>
    <w:rsid w:val="00FD563E"/>
    <w:rsid w:val="00FD5BF1"/>
    <w:rsid w:val="00FE0E3C"/>
    <w:rsid w:val="00FE1BB7"/>
    <w:rsid w:val="00FE1C55"/>
    <w:rsid w:val="00FE4643"/>
    <w:rsid w:val="00FE50B9"/>
    <w:rsid w:val="00FF1ABE"/>
    <w:rsid w:val="00FF1B4C"/>
    <w:rsid w:val="00FF2224"/>
    <w:rsid w:val="00FF7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71250F"/>
    <w:pPr>
      <w:keepNext/>
      <w:pageBreakBefore/>
      <w:numPr>
        <w:numId w:val="41"/>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71250F"/>
    <w:pPr>
      <w:keepNext/>
      <w:numPr>
        <w:ilvl w:val="1"/>
        <w:numId w:val="41"/>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71250F"/>
    <w:pPr>
      <w:keepNext/>
      <w:numPr>
        <w:ilvl w:val="2"/>
        <w:numId w:val="41"/>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71250F"/>
    <w:pPr>
      <w:keepNext/>
      <w:numPr>
        <w:ilvl w:val="3"/>
        <w:numId w:val="41"/>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71250F"/>
    <w:pPr>
      <w:keepNext/>
      <w:numPr>
        <w:ilvl w:val="4"/>
        <w:numId w:val="41"/>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71250F"/>
    <w:pPr>
      <w:keepNext/>
      <w:numPr>
        <w:ilvl w:val="5"/>
        <w:numId w:val="41"/>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41"/>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1"/>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B7EA2"/>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4"/>
      </w:numPr>
      <w:outlineLvl w:val="9"/>
    </w:pPr>
    <w:rPr>
      <w:bCs/>
      <w:iCs/>
      <w:szCs w:val="22"/>
    </w:rPr>
  </w:style>
  <w:style w:type="paragraph" w:customStyle="1" w:styleId="GEM3">
    <w:name w:val="GEM_Ü3"/>
    <w:basedOn w:val="berschrift3"/>
    <w:next w:val="gemStandard"/>
    <w:link w:val="GEM3Zchn"/>
    <w:rsid w:val="000B7EA2"/>
    <w:pPr>
      <w:numPr>
        <w:numId w:val="4"/>
      </w:numPr>
    </w:pPr>
  </w:style>
  <w:style w:type="paragraph" w:customStyle="1" w:styleId="gem4">
    <w:name w:val="gem_Ü4"/>
    <w:basedOn w:val="berschrift4"/>
    <w:next w:val="gemStandard"/>
    <w:link w:val="gem4Zchn"/>
    <w:rsid w:val="00E02142"/>
    <w:pPr>
      <w:numPr>
        <w:numId w:val="4"/>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4"/>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numId w:val="4"/>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B4C32"/>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6"/>
      </w:numPr>
      <w:tabs>
        <w:tab w:val="left" w:pos="1134"/>
      </w:tabs>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styleId="Kommentarzeichen">
    <w:name w:val="annotation reference"/>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eastAsia="MS Mincho" w:hAnsi="Arial" w:cs="Arial"/>
      <w:b/>
      <w:bCs/>
      <w:iCs/>
      <w:sz w:val="26"/>
      <w:szCs w:val="24"/>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paragraph" w:styleId="Beschriftung">
    <w:name w:val="caption"/>
    <w:basedOn w:val="Standard"/>
    <w:next w:val="Standard"/>
    <w:unhideWhenUsed/>
    <w:qFormat/>
    <w:rsid w:val="00C22CF3"/>
    <w:pPr>
      <w:spacing w:after="200"/>
    </w:pPr>
    <w:rPr>
      <w:b/>
      <w:bCs/>
      <w:color w:val="4F81BD" w:themeColor="accent1"/>
      <w:sz w:val="18"/>
      <w:szCs w:val="18"/>
    </w:rPr>
  </w:style>
  <w:style w:type="character" w:customStyle="1" w:styleId="KommentartextZchn">
    <w:name w:val="Kommentartext Zchn"/>
    <w:basedOn w:val="Absatz-Standardschriftart"/>
    <w:link w:val="Kommentartext"/>
    <w:rsid w:val="006009D3"/>
    <w:rPr>
      <w:rFonts w:ascii="Arial" w:eastAsia="MS Mincho" w:hAnsi="Arial"/>
    </w:rPr>
  </w:style>
  <w:style w:type="paragraph" w:styleId="Listenabsatz">
    <w:name w:val="List Paragraph"/>
    <w:basedOn w:val="Standard"/>
    <w:uiPriority w:val="34"/>
    <w:qFormat/>
    <w:rsid w:val="0093633E"/>
    <w:pPr>
      <w:ind w:left="720"/>
      <w:contextualSpacing/>
    </w:pPr>
  </w:style>
  <w:style w:type="character" w:customStyle="1" w:styleId="gemAufzhlungZchnZchn">
    <w:name w:val="gem_Aufzählung Zchn Zchn"/>
    <w:basedOn w:val="Absatz-Standardschriftart"/>
    <w:rsid w:val="007E6A37"/>
    <w:rPr>
      <w:rFonts w:ascii="Arial" w:eastAsia="MS Mincho" w:hAnsi="Arial"/>
      <w:sz w:val="22"/>
      <w:szCs w:val="24"/>
      <w:lang w:val="de-DE" w:eastAsia="de-DE" w:bidi="ar-SA"/>
    </w:rPr>
  </w:style>
  <w:style w:type="paragraph" w:styleId="berarbeitung">
    <w:name w:val="Revision"/>
    <w:hidden/>
    <w:uiPriority w:val="99"/>
    <w:semiHidden/>
    <w:rsid w:val="007B5AD5"/>
    <w:rPr>
      <w:rFonts w:ascii="Arial" w:eastAsia="MS Mincho" w:hAnsi="Arial"/>
      <w:sz w:val="22"/>
      <w:szCs w:val="24"/>
    </w:rPr>
  </w:style>
  <w:style w:type="character" w:customStyle="1" w:styleId="st1">
    <w:name w:val="st1"/>
    <w:basedOn w:val="Absatz-Standardschriftart"/>
    <w:rsid w:val="005356CD"/>
  </w:style>
  <w:style w:type="character" w:customStyle="1" w:styleId="TBDZchn">
    <w:name w:val="TBD Zchn"/>
    <w:link w:val="TBD"/>
    <w:locked/>
    <w:rsid w:val="005E7EAC"/>
    <w:rPr>
      <w:rFonts w:ascii="Arial" w:hAnsi="Arial"/>
      <w:i/>
      <w:color w:val="3333FF"/>
      <w:sz w:val="18"/>
      <w:shd w:val="clear" w:color="auto" w:fill="FFFF99"/>
      <w:lang w:eastAsia="en-US"/>
    </w:rPr>
  </w:style>
  <w:style w:type="paragraph" w:styleId="Titel">
    <w:name w:val="Title"/>
    <w:basedOn w:val="Standard"/>
    <w:next w:val="Standard"/>
    <w:link w:val="TitelZchn"/>
    <w:uiPriority w:val="10"/>
    <w:qFormat/>
    <w:rsid w:val="0071250F"/>
    <w:pPr>
      <w:keepNext/>
      <w:spacing w:before="360"/>
      <w:jc w:val="center"/>
    </w:pPr>
    <w:rPr>
      <w:rFonts w:eastAsia="Times New Roman"/>
      <w:b/>
      <w:sz w:val="28"/>
      <w:szCs w:val="52"/>
      <w:lang w:eastAsia="en-US"/>
    </w:rPr>
  </w:style>
  <w:style w:type="character" w:customStyle="1" w:styleId="TitelZchn">
    <w:name w:val="Titel Zchn"/>
    <w:link w:val="Titel"/>
    <w:uiPriority w:val="10"/>
    <w:rsid w:val="0071250F"/>
    <w:rPr>
      <w:rFonts w:ascii="Arial" w:hAnsi="Arial"/>
      <w:b/>
      <w:sz w:val="28"/>
      <w:szCs w:val="52"/>
      <w:lang w:eastAsia="en-US"/>
    </w:rPr>
  </w:style>
  <w:style w:type="character" w:customStyle="1" w:styleId="berschrift1Zchn">
    <w:name w:val="Überschrift 1 Zchn"/>
    <w:link w:val="berschrift1"/>
    <w:uiPriority w:val="9"/>
    <w:rsid w:val="0071250F"/>
    <w:rPr>
      <w:rFonts w:ascii="Arial" w:hAnsi="Arial"/>
      <w:b/>
      <w:sz w:val="28"/>
      <w:szCs w:val="32"/>
      <w:lang w:eastAsia="en-US"/>
    </w:rPr>
  </w:style>
  <w:style w:type="character" w:customStyle="1" w:styleId="berschrift2Zchn">
    <w:name w:val="Überschrift 2 Zchn"/>
    <w:link w:val="berschrift2"/>
    <w:uiPriority w:val="9"/>
    <w:rsid w:val="0071250F"/>
    <w:rPr>
      <w:rFonts w:ascii="Arial" w:hAnsi="Arial"/>
      <w:b/>
      <w:sz w:val="26"/>
      <w:szCs w:val="26"/>
      <w:lang w:eastAsia="en-US"/>
    </w:rPr>
  </w:style>
  <w:style w:type="character" w:customStyle="1" w:styleId="berschrift3Zchn">
    <w:name w:val="Überschrift 3 Zchn"/>
    <w:link w:val="berschrift3"/>
    <w:uiPriority w:val="9"/>
    <w:rsid w:val="0071250F"/>
    <w:rPr>
      <w:rFonts w:ascii="Arial" w:hAnsi="Arial"/>
      <w:b/>
      <w:sz w:val="24"/>
      <w:szCs w:val="24"/>
      <w:lang w:eastAsia="en-US"/>
    </w:rPr>
  </w:style>
  <w:style w:type="character" w:customStyle="1" w:styleId="berschrift4Zchn">
    <w:name w:val="Überschrift 4 Zchn"/>
    <w:link w:val="berschrift4"/>
    <w:uiPriority w:val="9"/>
    <w:rsid w:val="0071250F"/>
    <w:rPr>
      <w:rFonts w:ascii="Arial" w:hAnsi="Arial"/>
      <w:b/>
      <w:iCs/>
      <w:sz w:val="22"/>
      <w:szCs w:val="24"/>
      <w:lang w:eastAsia="en-US"/>
    </w:rPr>
  </w:style>
  <w:style w:type="character" w:customStyle="1" w:styleId="berschrift5Zchn">
    <w:name w:val="Überschrift 5 Zchn"/>
    <w:link w:val="berschrift5"/>
    <w:uiPriority w:val="9"/>
    <w:rsid w:val="0071250F"/>
    <w:rPr>
      <w:rFonts w:ascii="Arial" w:hAnsi="Arial"/>
      <w:i/>
      <w:sz w:val="22"/>
      <w:szCs w:val="24"/>
      <w:lang w:eastAsia="en-US"/>
    </w:rPr>
  </w:style>
  <w:style w:type="character" w:customStyle="1" w:styleId="berschrift6Zchn">
    <w:name w:val="Überschrift 6 Zchn"/>
    <w:link w:val="berschrift6"/>
    <w:uiPriority w:val="9"/>
    <w:rsid w:val="0071250F"/>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71250F"/>
    <w:pPr>
      <w:keepNext/>
      <w:pageBreakBefore/>
      <w:numPr>
        <w:numId w:val="41"/>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71250F"/>
    <w:pPr>
      <w:keepNext/>
      <w:numPr>
        <w:ilvl w:val="1"/>
        <w:numId w:val="41"/>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71250F"/>
    <w:pPr>
      <w:keepNext/>
      <w:numPr>
        <w:ilvl w:val="2"/>
        <w:numId w:val="41"/>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71250F"/>
    <w:pPr>
      <w:keepNext/>
      <w:numPr>
        <w:ilvl w:val="3"/>
        <w:numId w:val="41"/>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71250F"/>
    <w:pPr>
      <w:keepNext/>
      <w:numPr>
        <w:ilvl w:val="4"/>
        <w:numId w:val="41"/>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71250F"/>
    <w:pPr>
      <w:keepNext/>
      <w:numPr>
        <w:ilvl w:val="5"/>
        <w:numId w:val="41"/>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41"/>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1"/>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B7EA2"/>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4"/>
      </w:numPr>
      <w:outlineLvl w:val="9"/>
    </w:pPr>
    <w:rPr>
      <w:bCs/>
      <w:iCs/>
      <w:szCs w:val="22"/>
    </w:rPr>
  </w:style>
  <w:style w:type="paragraph" w:customStyle="1" w:styleId="GEM3">
    <w:name w:val="GEM_Ü3"/>
    <w:basedOn w:val="berschrift3"/>
    <w:next w:val="gemStandard"/>
    <w:link w:val="GEM3Zchn"/>
    <w:rsid w:val="000B7EA2"/>
    <w:pPr>
      <w:numPr>
        <w:numId w:val="4"/>
      </w:numPr>
    </w:pPr>
  </w:style>
  <w:style w:type="paragraph" w:customStyle="1" w:styleId="gem4">
    <w:name w:val="gem_Ü4"/>
    <w:basedOn w:val="berschrift4"/>
    <w:next w:val="gemStandard"/>
    <w:link w:val="gem4Zchn"/>
    <w:rsid w:val="00E02142"/>
    <w:pPr>
      <w:numPr>
        <w:numId w:val="4"/>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4"/>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numId w:val="4"/>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B4C32"/>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6"/>
      </w:numPr>
      <w:tabs>
        <w:tab w:val="left" w:pos="1134"/>
      </w:tabs>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styleId="Kommentarzeichen">
    <w:name w:val="annotation reference"/>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eastAsia="MS Mincho" w:hAnsi="Arial" w:cs="Arial"/>
      <w:b/>
      <w:bCs/>
      <w:iCs/>
      <w:sz w:val="26"/>
      <w:szCs w:val="24"/>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paragraph" w:styleId="Beschriftung">
    <w:name w:val="caption"/>
    <w:basedOn w:val="Standard"/>
    <w:next w:val="Standard"/>
    <w:unhideWhenUsed/>
    <w:qFormat/>
    <w:rsid w:val="00C22CF3"/>
    <w:pPr>
      <w:spacing w:after="200"/>
    </w:pPr>
    <w:rPr>
      <w:b/>
      <w:bCs/>
      <w:color w:val="4F81BD" w:themeColor="accent1"/>
      <w:sz w:val="18"/>
      <w:szCs w:val="18"/>
    </w:rPr>
  </w:style>
  <w:style w:type="character" w:customStyle="1" w:styleId="KommentartextZchn">
    <w:name w:val="Kommentartext Zchn"/>
    <w:basedOn w:val="Absatz-Standardschriftart"/>
    <w:link w:val="Kommentartext"/>
    <w:rsid w:val="006009D3"/>
    <w:rPr>
      <w:rFonts w:ascii="Arial" w:eastAsia="MS Mincho" w:hAnsi="Arial"/>
    </w:rPr>
  </w:style>
  <w:style w:type="paragraph" w:styleId="Listenabsatz">
    <w:name w:val="List Paragraph"/>
    <w:basedOn w:val="Standard"/>
    <w:uiPriority w:val="34"/>
    <w:qFormat/>
    <w:rsid w:val="0093633E"/>
    <w:pPr>
      <w:ind w:left="720"/>
      <w:contextualSpacing/>
    </w:pPr>
  </w:style>
  <w:style w:type="character" w:customStyle="1" w:styleId="gemAufzhlungZchnZchn">
    <w:name w:val="gem_Aufzählung Zchn Zchn"/>
    <w:basedOn w:val="Absatz-Standardschriftart"/>
    <w:rsid w:val="007E6A37"/>
    <w:rPr>
      <w:rFonts w:ascii="Arial" w:eastAsia="MS Mincho" w:hAnsi="Arial"/>
      <w:sz w:val="22"/>
      <w:szCs w:val="24"/>
      <w:lang w:val="de-DE" w:eastAsia="de-DE" w:bidi="ar-SA"/>
    </w:rPr>
  </w:style>
  <w:style w:type="paragraph" w:styleId="berarbeitung">
    <w:name w:val="Revision"/>
    <w:hidden/>
    <w:uiPriority w:val="99"/>
    <w:semiHidden/>
    <w:rsid w:val="007B5AD5"/>
    <w:rPr>
      <w:rFonts w:ascii="Arial" w:eastAsia="MS Mincho" w:hAnsi="Arial"/>
      <w:sz w:val="22"/>
      <w:szCs w:val="24"/>
    </w:rPr>
  </w:style>
  <w:style w:type="character" w:customStyle="1" w:styleId="st1">
    <w:name w:val="st1"/>
    <w:basedOn w:val="Absatz-Standardschriftart"/>
    <w:rsid w:val="005356CD"/>
  </w:style>
  <w:style w:type="character" w:customStyle="1" w:styleId="TBDZchn">
    <w:name w:val="TBD Zchn"/>
    <w:link w:val="TBD"/>
    <w:locked/>
    <w:rsid w:val="005E7EAC"/>
    <w:rPr>
      <w:rFonts w:ascii="Arial" w:hAnsi="Arial"/>
      <w:i/>
      <w:color w:val="3333FF"/>
      <w:sz w:val="18"/>
      <w:shd w:val="clear" w:color="auto" w:fill="FFFF99"/>
      <w:lang w:eastAsia="en-US"/>
    </w:rPr>
  </w:style>
  <w:style w:type="paragraph" w:styleId="Titel">
    <w:name w:val="Title"/>
    <w:basedOn w:val="Standard"/>
    <w:next w:val="Standard"/>
    <w:link w:val="TitelZchn"/>
    <w:uiPriority w:val="10"/>
    <w:qFormat/>
    <w:rsid w:val="0071250F"/>
    <w:pPr>
      <w:keepNext/>
      <w:spacing w:before="360"/>
      <w:jc w:val="center"/>
    </w:pPr>
    <w:rPr>
      <w:rFonts w:eastAsia="Times New Roman"/>
      <w:b/>
      <w:sz w:val="28"/>
      <w:szCs w:val="52"/>
      <w:lang w:eastAsia="en-US"/>
    </w:rPr>
  </w:style>
  <w:style w:type="character" w:customStyle="1" w:styleId="TitelZchn">
    <w:name w:val="Titel Zchn"/>
    <w:link w:val="Titel"/>
    <w:uiPriority w:val="10"/>
    <w:rsid w:val="0071250F"/>
    <w:rPr>
      <w:rFonts w:ascii="Arial" w:hAnsi="Arial"/>
      <w:b/>
      <w:sz w:val="28"/>
      <w:szCs w:val="52"/>
      <w:lang w:eastAsia="en-US"/>
    </w:rPr>
  </w:style>
  <w:style w:type="character" w:customStyle="1" w:styleId="berschrift1Zchn">
    <w:name w:val="Überschrift 1 Zchn"/>
    <w:link w:val="berschrift1"/>
    <w:uiPriority w:val="9"/>
    <w:rsid w:val="0071250F"/>
    <w:rPr>
      <w:rFonts w:ascii="Arial" w:hAnsi="Arial"/>
      <w:b/>
      <w:sz w:val="28"/>
      <w:szCs w:val="32"/>
      <w:lang w:eastAsia="en-US"/>
    </w:rPr>
  </w:style>
  <w:style w:type="character" w:customStyle="1" w:styleId="berschrift2Zchn">
    <w:name w:val="Überschrift 2 Zchn"/>
    <w:link w:val="berschrift2"/>
    <w:uiPriority w:val="9"/>
    <w:rsid w:val="0071250F"/>
    <w:rPr>
      <w:rFonts w:ascii="Arial" w:hAnsi="Arial"/>
      <w:b/>
      <w:sz w:val="26"/>
      <w:szCs w:val="26"/>
      <w:lang w:eastAsia="en-US"/>
    </w:rPr>
  </w:style>
  <w:style w:type="character" w:customStyle="1" w:styleId="berschrift3Zchn">
    <w:name w:val="Überschrift 3 Zchn"/>
    <w:link w:val="berschrift3"/>
    <w:uiPriority w:val="9"/>
    <w:rsid w:val="0071250F"/>
    <w:rPr>
      <w:rFonts w:ascii="Arial" w:hAnsi="Arial"/>
      <w:b/>
      <w:sz w:val="24"/>
      <w:szCs w:val="24"/>
      <w:lang w:eastAsia="en-US"/>
    </w:rPr>
  </w:style>
  <w:style w:type="character" w:customStyle="1" w:styleId="berschrift4Zchn">
    <w:name w:val="Überschrift 4 Zchn"/>
    <w:link w:val="berschrift4"/>
    <w:uiPriority w:val="9"/>
    <w:rsid w:val="0071250F"/>
    <w:rPr>
      <w:rFonts w:ascii="Arial" w:hAnsi="Arial"/>
      <w:b/>
      <w:iCs/>
      <w:sz w:val="22"/>
      <w:szCs w:val="24"/>
      <w:lang w:eastAsia="en-US"/>
    </w:rPr>
  </w:style>
  <w:style w:type="character" w:customStyle="1" w:styleId="berschrift5Zchn">
    <w:name w:val="Überschrift 5 Zchn"/>
    <w:link w:val="berschrift5"/>
    <w:uiPriority w:val="9"/>
    <w:rsid w:val="0071250F"/>
    <w:rPr>
      <w:rFonts w:ascii="Arial" w:hAnsi="Arial"/>
      <w:i/>
      <w:sz w:val="22"/>
      <w:szCs w:val="24"/>
      <w:lang w:eastAsia="en-US"/>
    </w:rPr>
  </w:style>
  <w:style w:type="character" w:customStyle="1" w:styleId="berschrift6Zchn">
    <w:name w:val="Überschrift 6 Zchn"/>
    <w:link w:val="berschrift6"/>
    <w:uiPriority w:val="9"/>
    <w:rsid w:val="0071250F"/>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463335">
      <w:bodyDiv w:val="1"/>
      <w:marLeft w:val="0"/>
      <w:marRight w:val="0"/>
      <w:marTop w:val="0"/>
      <w:marBottom w:val="0"/>
      <w:divBdr>
        <w:top w:val="none" w:sz="0" w:space="0" w:color="auto"/>
        <w:left w:val="none" w:sz="0" w:space="0" w:color="auto"/>
        <w:bottom w:val="none" w:sz="0" w:space="0" w:color="auto"/>
        <w:right w:val="none" w:sz="0" w:space="0" w:color="auto"/>
      </w:divBdr>
      <w:divsChild>
        <w:div w:id="292951307">
          <w:marLeft w:val="274"/>
          <w:marRight w:val="0"/>
          <w:marTop w:val="91"/>
          <w:marBottom w:val="0"/>
          <w:divBdr>
            <w:top w:val="none" w:sz="0" w:space="0" w:color="auto"/>
            <w:left w:val="none" w:sz="0" w:space="0" w:color="auto"/>
            <w:bottom w:val="none" w:sz="0" w:space="0" w:color="auto"/>
            <w:right w:val="none" w:sz="0" w:space="0" w:color="auto"/>
          </w:divBdr>
        </w:div>
        <w:div w:id="126971709">
          <w:marLeft w:val="562"/>
          <w:marRight w:val="0"/>
          <w:marTop w:val="77"/>
          <w:marBottom w:val="0"/>
          <w:divBdr>
            <w:top w:val="none" w:sz="0" w:space="0" w:color="auto"/>
            <w:left w:val="none" w:sz="0" w:space="0" w:color="auto"/>
            <w:bottom w:val="none" w:sz="0" w:space="0" w:color="auto"/>
            <w:right w:val="none" w:sz="0" w:space="0" w:color="auto"/>
          </w:divBdr>
        </w:div>
        <w:div w:id="1918322821">
          <w:marLeft w:val="562"/>
          <w:marRight w:val="0"/>
          <w:marTop w:val="77"/>
          <w:marBottom w:val="0"/>
          <w:divBdr>
            <w:top w:val="none" w:sz="0" w:space="0" w:color="auto"/>
            <w:left w:val="none" w:sz="0" w:space="0" w:color="auto"/>
            <w:bottom w:val="none" w:sz="0" w:space="0" w:color="auto"/>
            <w:right w:val="none" w:sz="0" w:space="0" w:color="auto"/>
          </w:divBdr>
        </w:div>
        <w:div w:id="1503006352">
          <w:marLeft w:val="850"/>
          <w:marRight w:val="0"/>
          <w:marTop w:val="67"/>
          <w:marBottom w:val="0"/>
          <w:divBdr>
            <w:top w:val="none" w:sz="0" w:space="0" w:color="auto"/>
            <w:left w:val="none" w:sz="0" w:space="0" w:color="auto"/>
            <w:bottom w:val="none" w:sz="0" w:space="0" w:color="auto"/>
            <w:right w:val="none" w:sz="0" w:space="0" w:color="auto"/>
          </w:divBdr>
        </w:div>
        <w:div w:id="1794981034">
          <w:marLeft w:val="562"/>
          <w:marRight w:val="0"/>
          <w:marTop w:val="77"/>
          <w:marBottom w:val="0"/>
          <w:divBdr>
            <w:top w:val="none" w:sz="0" w:space="0" w:color="auto"/>
            <w:left w:val="none" w:sz="0" w:space="0" w:color="auto"/>
            <w:bottom w:val="none" w:sz="0" w:space="0" w:color="auto"/>
            <w:right w:val="none" w:sz="0" w:space="0" w:color="auto"/>
          </w:divBdr>
        </w:div>
        <w:div w:id="710879571">
          <w:marLeft w:val="850"/>
          <w:marRight w:val="0"/>
          <w:marTop w:val="67"/>
          <w:marBottom w:val="0"/>
          <w:divBdr>
            <w:top w:val="none" w:sz="0" w:space="0" w:color="auto"/>
            <w:left w:val="none" w:sz="0" w:space="0" w:color="auto"/>
            <w:bottom w:val="none" w:sz="0" w:space="0" w:color="auto"/>
            <w:right w:val="none" w:sz="0" w:space="0" w:color="auto"/>
          </w:divBdr>
        </w:div>
        <w:div w:id="2075347431">
          <w:marLeft w:val="274"/>
          <w:marRight w:val="0"/>
          <w:marTop w:val="91"/>
          <w:marBottom w:val="0"/>
          <w:divBdr>
            <w:top w:val="none" w:sz="0" w:space="0" w:color="auto"/>
            <w:left w:val="none" w:sz="0" w:space="0" w:color="auto"/>
            <w:bottom w:val="none" w:sz="0" w:space="0" w:color="auto"/>
            <w:right w:val="none" w:sz="0" w:space="0" w:color="auto"/>
          </w:divBdr>
        </w:div>
        <w:div w:id="827943793">
          <w:marLeft w:val="562"/>
          <w:marRight w:val="0"/>
          <w:marTop w:val="77"/>
          <w:marBottom w:val="0"/>
          <w:divBdr>
            <w:top w:val="none" w:sz="0" w:space="0" w:color="auto"/>
            <w:left w:val="none" w:sz="0" w:space="0" w:color="auto"/>
            <w:bottom w:val="none" w:sz="0" w:space="0" w:color="auto"/>
            <w:right w:val="none" w:sz="0" w:space="0" w:color="auto"/>
          </w:divBdr>
        </w:div>
        <w:div w:id="339359313">
          <w:marLeft w:val="562"/>
          <w:marRight w:val="0"/>
          <w:marTop w:val="77"/>
          <w:marBottom w:val="0"/>
          <w:divBdr>
            <w:top w:val="none" w:sz="0" w:space="0" w:color="auto"/>
            <w:left w:val="none" w:sz="0" w:space="0" w:color="auto"/>
            <w:bottom w:val="none" w:sz="0" w:space="0" w:color="auto"/>
            <w:right w:val="none" w:sz="0" w:space="0" w:color="auto"/>
          </w:divBdr>
        </w:div>
        <w:div w:id="1349403137">
          <w:marLeft w:val="562"/>
          <w:marRight w:val="0"/>
          <w:marTop w:val="77"/>
          <w:marBottom w:val="0"/>
          <w:divBdr>
            <w:top w:val="none" w:sz="0" w:space="0" w:color="auto"/>
            <w:left w:val="none" w:sz="0" w:space="0" w:color="auto"/>
            <w:bottom w:val="none" w:sz="0" w:space="0" w:color="auto"/>
            <w:right w:val="none" w:sz="0" w:space="0" w:color="auto"/>
          </w:divBdr>
        </w:div>
      </w:divsChild>
    </w:div>
    <w:div w:id="1094203907">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248224966">
      <w:bodyDiv w:val="1"/>
      <w:marLeft w:val="0"/>
      <w:marRight w:val="0"/>
      <w:marTop w:val="0"/>
      <w:marBottom w:val="0"/>
      <w:divBdr>
        <w:top w:val="none" w:sz="0" w:space="0" w:color="auto"/>
        <w:left w:val="none" w:sz="0" w:space="0" w:color="auto"/>
        <w:bottom w:val="none" w:sz="0" w:space="0" w:color="auto"/>
        <w:right w:val="none" w:sz="0" w:space="0" w:color="auto"/>
      </w:divBdr>
      <w:divsChild>
        <w:div w:id="2074162238">
          <w:marLeft w:val="0"/>
          <w:marRight w:val="0"/>
          <w:marTop w:val="0"/>
          <w:marBottom w:val="0"/>
          <w:divBdr>
            <w:top w:val="none" w:sz="0" w:space="0" w:color="auto"/>
            <w:left w:val="none" w:sz="0" w:space="0" w:color="auto"/>
            <w:bottom w:val="none" w:sz="0" w:space="0" w:color="auto"/>
            <w:right w:val="none" w:sz="0" w:space="0" w:color="auto"/>
          </w:divBdr>
        </w:div>
        <w:div w:id="920719959">
          <w:marLeft w:val="0"/>
          <w:marRight w:val="0"/>
          <w:marTop w:val="0"/>
          <w:marBottom w:val="0"/>
          <w:divBdr>
            <w:top w:val="none" w:sz="0" w:space="0" w:color="auto"/>
            <w:left w:val="none" w:sz="0" w:space="0" w:color="auto"/>
            <w:bottom w:val="none" w:sz="0" w:space="0" w:color="auto"/>
            <w:right w:val="none" w:sz="0" w:space="0" w:color="auto"/>
          </w:divBdr>
        </w:div>
        <w:div w:id="600576096">
          <w:marLeft w:val="0"/>
          <w:marRight w:val="0"/>
          <w:marTop w:val="0"/>
          <w:marBottom w:val="0"/>
          <w:divBdr>
            <w:top w:val="none" w:sz="0" w:space="0" w:color="auto"/>
            <w:left w:val="none" w:sz="0" w:space="0" w:color="auto"/>
            <w:bottom w:val="none" w:sz="0" w:space="0" w:color="auto"/>
            <w:right w:val="none" w:sz="0" w:space="0" w:color="auto"/>
          </w:divBdr>
        </w:div>
        <w:div w:id="1076052660">
          <w:marLeft w:val="0"/>
          <w:marRight w:val="0"/>
          <w:marTop w:val="0"/>
          <w:marBottom w:val="0"/>
          <w:divBdr>
            <w:top w:val="none" w:sz="0" w:space="0" w:color="auto"/>
            <w:left w:val="none" w:sz="0" w:space="0" w:color="auto"/>
            <w:bottom w:val="none" w:sz="0" w:space="0" w:color="auto"/>
            <w:right w:val="none" w:sz="0" w:space="0" w:color="auto"/>
          </w:divBdr>
        </w:div>
        <w:div w:id="264533694">
          <w:marLeft w:val="0"/>
          <w:marRight w:val="0"/>
          <w:marTop w:val="0"/>
          <w:marBottom w:val="0"/>
          <w:divBdr>
            <w:top w:val="none" w:sz="0" w:space="0" w:color="auto"/>
            <w:left w:val="none" w:sz="0" w:space="0" w:color="auto"/>
            <w:bottom w:val="none" w:sz="0" w:space="0" w:color="auto"/>
            <w:right w:val="none" w:sz="0" w:space="0" w:color="auto"/>
          </w:divBdr>
        </w:div>
        <w:div w:id="2121992391">
          <w:marLeft w:val="0"/>
          <w:marRight w:val="0"/>
          <w:marTop w:val="0"/>
          <w:marBottom w:val="0"/>
          <w:divBdr>
            <w:top w:val="none" w:sz="0" w:space="0" w:color="auto"/>
            <w:left w:val="none" w:sz="0" w:space="0" w:color="auto"/>
            <w:bottom w:val="none" w:sz="0" w:space="0" w:color="auto"/>
            <w:right w:val="none" w:sz="0" w:space="0" w:color="auto"/>
          </w:divBdr>
        </w:div>
        <w:div w:id="972097028">
          <w:marLeft w:val="0"/>
          <w:marRight w:val="0"/>
          <w:marTop w:val="0"/>
          <w:marBottom w:val="0"/>
          <w:divBdr>
            <w:top w:val="none" w:sz="0" w:space="0" w:color="auto"/>
            <w:left w:val="none" w:sz="0" w:space="0" w:color="auto"/>
            <w:bottom w:val="none" w:sz="0" w:space="0" w:color="auto"/>
            <w:right w:val="none" w:sz="0" w:space="0" w:color="auto"/>
          </w:divBdr>
        </w:div>
      </w:divsChild>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1431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08081-5B44-40A5-AA6F-7C0F359F7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Spezifikation_allgemein.dotm</Template>
  <TotalTime>0</TotalTime>
  <Pages>44</Pages>
  <Words>9279</Words>
  <Characters>70331</Characters>
  <Application>Microsoft Office Word</Application>
  <DocSecurity>0</DocSecurity>
  <Lines>586</Lines>
  <Paragraphs>158</Paragraphs>
  <ScaleCrop>false</ScaleCrop>
  <HeadingPairs>
    <vt:vector size="2" baseType="variant">
      <vt:variant>
        <vt:lpstr>Titel</vt:lpstr>
      </vt:variant>
      <vt:variant>
        <vt:i4>1</vt:i4>
      </vt:variant>
    </vt:vector>
  </HeadingPairs>
  <TitlesOfParts>
    <vt:vector size="1" baseType="lpstr">
      <vt:lpstr>gematik  &lt;Ergebnistyp&gt; &lt;Thematik&gt;</vt:lpstr>
    </vt:vector>
  </TitlesOfParts>
  <Company>gematik mbH</Company>
  <LinksUpToDate>false</LinksUpToDate>
  <CharactersWithSpaces>79452</CharactersWithSpaces>
  <SharedDoc>false</SharedDoc>
  <HLinks>
    <vt:vector size="126" baseType="variant">
      <vt:variant>
        <vt:i4>1310779</vt:i4>
      </vt:variant>
      <vt:variant>
        <vt:i4>122</vt:i4>
      </vt:variant>
      <vt:variant>
        <vt:i4>0</vt:i4>
      </vt:variant>
      <vt:variant>
        <vt:i4>5</vt:i4>
      </vt:variant>
      <vt:variant>
        <vt:lpwstr/>
      </vt:variant>
      <vt:variant>
        <vt:lpwstr>_Toc329233209</vt:lpwstr>
      </vt:variant>
      <vt:variant>
        <vt:i4>1310779</vt:i4>
      </vt:variant>
      <vt:variant>
        <vt:i4>116</vt:i4>
      </vt:variant>
      <vt:variant>
        <vt:i4>0</vt:i4>
      </vt:variant>
      <vt:variant>
        <vt:i4>5</vt:i4>
      </vt:variant>
      <vt:variant>
        <vt:lpwstr/>
      </vt:variant>
      <vt:variant>
        <vt:lpwstr>_Toc329233208</vt:lpwstr>
      </vt:variant>
      <vt:variant>
        <vt:i4>1310779</vt:i4>
      </vt:variant>
      <vt:variant>
        <vt:i4>110</vt:i4>
      </vt:variant>
      <vt:variant>
        <vt:i4>0</vt:i4>
      </vt:variant>
      <vt:variant>
        <vt:i4>5</vt:i4>
      </vt:variant>
      <vt:variant>
        <vt:lpwstr/>
      </vt:variant>
      <vt:variant>
        <vt:lpwstr>_Toc329233207</vt:lpwstr>
      </vt:variant>
      <vt:variant>
        <vt:i4>1310779</vt:i4>
      </vt:variant>
      <vt:variant>
        <vt:i4>104</vt:i4>
      </vt:variant>
      <vt:variant>
        <vt:i4>0</vt:i4>
      </vt:variant>
      <vt:variant>
        <vt:i4>5</vt:i4>
      </vt:variant>
      <vt:variant>
        <vt:lpwstr/>
      </vt:variant>
      <vt:variant>
        <vt:lpwstr>_Toc329233206</vt:lpwstr>
      </vt:variant>
      <vt:variant>
        <vt:i4>1310779</vt:i4>
      </vt:variant>
      <vt:variant>
        <vt:i4>98</vt:i4>
      </vt:variant>
      <vt:variant>
        <vt:i4>0</vt:i4>
      </vt:variant>
      <vt:variant>
        <vt:i4>5</vt:i4>
      </vt:variant>
      <vt:variant>
        <vt:lpwstr/>
      </vt:variant>
      <vt:variant>
        <vt:lpwstr>_Toc329233205</vt:lpwstr>
      </vt:variant>
      <vt:variant>
        <vt:i4>1310779</vt:i4>
      </vt:variant>
      <vt:variant>
        <vt:i4>92</vt:i4>
      </vt:variant>
      <vt:variant>
        <vt:i4>0</vt:i4>
      </vt:variant>
      <vt:variant>
        <vt:i4>5</vt:i4>
      </vt:variant>
      <vt:variant>
        <vt:lpwstr/>
      </vt:variant>
      <vt:variant>
        <vt:lpwstr>_Toc329233204</vt:lpwstr>
      </vt:variant>
      <vt:variant>
        <vt:i4>1310779</vt:i4>
      </vt:variant>
      <vt:variant>
        <vt:i4>86</vt:i4>
      </vt:variant>
      <vt:variant>
        <vt:i4>0</vt:i4>
      </vt:variant>
      <vt:variant>
        <vt:i4>5</vt:i4>
      </vt:variant>
      <vt:variant>
        <vt:lpwstr/>
      </vt:variant>
      <vt:variant>
        <vt:lpwstr>_Toc329233203</vt:lpwstr>
      </vt:variant>
      <vt:variant>
        <vt:i4>1310779</vt:i4>
      </vt:variant>
      <vt:variant>
        <vt:i4>80</vt:i4>
      </vt:variant>
      <vt:variant>
        <vt:i4>0</vt:i4>
      </vt:variant>
      <vt:variant>
        <vt:i4>5</vt:i4>
      </vt:variant>
      <vt:variant>
        <vt:lpwstr/>
      </vt:variant>
      <vt:variant>
        <vt:lpwstr>_Toc329233202</vt:lpwstr>
      </vt:variant>
      <vt:variant>
        <vt:i4>1310779</vt:i4>
      </vt:variant>
      <vt:variant>
        <vt:i4>74</vt:i4>
      </vt:variant>
      <vt:variant>
        <vt:i4>0</vt:i4>
      </vt:variant>
      <vt:variant>
        <vt:i4>5</vt:i4>
      </vt:variant>
      <vt:variant>
        <vt:lpwstr/>
      </vt:variant>
      <vt:variant>
        <vt:lpwstr>_Toc329233201</vt:lpwstr>
      </vt:variant>
      <vt:variant>
        <vt:i4>1310779</vt:i4>
      </vt:variant>
      <vt:variant>
        <vt:i4>68</vt:i4>
      </vt:variant>
      <vt:variant>
        <vt:i4>0</vt:i4>
      </vt:variant>
      <vt:variant>
        <vt:i4>5</vt:i4>
      </vt:variant>
      <vt:variant>
        <vt:lpwstr/>
      </vt:variant>
      <vt:variant>
        <vt:lpwstr>_Toc329233200</vt:lpwstr>
      </vt:variant>
      <vt:variant>
        <vt:i4>1900600</vt:i4>
      </vt:variant>
      <vt:variant>
        <vt:i4>62</vt:i4>
      </vt:variant>
      <vt:variant>
        <vt:i4>0</vt:i4>
      </vt:variant>
      <vt:variant>
        <vt:i4>5</vt:i4>
      </vt:variant>
      <vt:variant>
        <vt:lpwstr/>
      </vt:variant>
      <vt:variant>
        <vt:lpwstr>_Toc329233199</vt:lpwstr>
      </vt:variant>
      <vt:variant>
        <vt:i4>1900600</vt:i4>
      </vt:variant>
      <vt:variant>
        <vt:i4>56</vt:i4>
      </vt:variant>
      <vt:variant>
        <vt:i4>0</vt:i4>
      </vt:variant>
      <vt:variant>
        <vt:i4>5</vt:i4>
      </vt:variant>
      <vt:variant>
        <vt:lpwstr/>
      </vt:variant>
      <vt:variant>
        <vt:lpwstr>_Toc329233198</vt:lpwstr>
      </vt:variant>
      <vt:variant>
        <vt:i4>1900600</vt:i4>
      </vt:variant>
      <vt:variant>
        <vt:i4>50</vt:i4>
      </vt:variant>
      <vt:variant>
        <vt:i4>0</vt:i4>
      </vt:variant>
      <vt:variant>
        <vt:i4>5</vt:i4>
      </vt:variant>
      <vt:variant>
        <vt:lpwstr/>
      </vt:variant>
      <vt:variant>
        <vt:lpwstr>_Toc329233197</vt:lpwstr>
      </vt:variant>
      <vt:variant>
        <vt:i4>1900600</vt:i4>
      </vt:variant>
      <vt:variant>
        <vt:i4>44</vt:i4>
      </vt:variant>
      <vt:variant>
        <vt:i4>0</vt:i4>
      </vt:variant>
      <vt:variant>
        <vt:i4>5</vt:i4>
      </vt:variant>
      <vt:variant>
        <vt:lpwstr/>
      </vt:variant>
      <vt:variant>
        <vt:lpwstr>_Toc329233196</vt:lpwstr>
      </vt:variant>
      <vt:variant>
        <vt:i4>1900600</vt:i4>
      </vt:variant>
      <vt:variant>
        <vt:i4>38</vt:i4>
      </vt:variant>
      <vt:variant>
        <vt:i4>0</vt:i4>
      </vt:variant>
      <vt:variant>
        <vt:i4>5</vt:i4>
      </vt:variant>
      <vt:variant>
        <vt:lpwstr/>
      </vt:variant>
      <vt:variant>
        <vt:lpwstr>_Toc329233195</vt:lpwstr>
      </vt:variant>
      <vt:variant>
        <vt:i4>1900600</vt:i4>
      </vt:variant>
      <vt:variant>
        <vt:i4>32</vt:i4>
      </vt:variant>
      <vt:variant>
        <vt:i4>0</vt:i4>
      </vt:variant>
      <vt:variant>
        <vt:i4>5</vt:i4>
      </vt:variant>
      <vt:variant>
        <vt:lpwstr/>
      </vt:variant>
      <vt:variant>
        <vt:lpwstr>_Toc329233194</vt:lpwstr>
      </vt:variant>
      <vt:variant>
        <vt:i4>1900600</vt:i4>
      </vt:variant>
      <vt:variant>
        <vt:i4>26</vt:i4>
      </vt:variant>
      <vt:variant>
        <vt:i4>0</vt:i4>
      </vt:variant>
      <vt:variant>
        <vt:i4>5</vt:i4>
      </vt:variant>
      <vt:variant>
        <vt:lpwstr/>
      </vt:variant>
      <vt:variant>
        <vt:lpwstr>_Toc329233193</vt:lpwstr>
      </vt:variant>
      <vt:variant>
        <vt:i4>1900600</vt:i4>
      </vt:variant>
      <vt:variant>
        <vt:i4>20</vt:i4>
      </vt:variant>
      <vt:variant>
        <vt:i4>0</vt:i4>
      </vt:variant>
      <vt:variant>
        <vt:i4>5</vt:i4>
      </vt:variant>
      <vt:variant>
        <vt:lpwstr/>
      </vt:variant>
      <vt:variant>
        <vt:lpwstr>_Toc329233192</vt:lpwstr>
      </vt:variant>
      <vt:variant>
        <vt:i4>1900600</vt:i4>
      </vt:variant>
      <vt:variant>
        <vt:i4>14</vt:i4>
      </vt:variant>
      <vt:variant>
        <vt:i4>0</vt:i4>
      </vt:variant>
      <vt:variant>
        <vt:i4>5</vt:i4>
      </vt:variant>
      <vt:variant>
        <vt:lpwstr/>
      </vt:variant>
      <vt:variant>
        <vt:lpwstr>_Toc329233191</vt:lpwstr>
      </vt:variant>
      <vt:variant>
        <vt:i4>1900600</vt:i4>
      </vt:variant>
      <vt:variant>
        <vt:i4>8</vt:i4>
      </vt:variant>
      <vt:variant>
        <vt:i4>0</vt:i4>
      </vt:variant>
      <vt:variant>
        <vt:i4>5</vt:i4>
      </vt:variant>
      <vt:variant>
        <vt:lpwstr/>
      </vt:variant>
      <vt:variant>
        <vt:lpwstr>_Toc329233190</vt:lpwstr>
      </vt:variant>
      <vt:variant>
        <vt:i4>1835064</vt:i4>
      </vt:variant>
      <vt:variant>
        <vt:i4>2</vt:i4>
      </vt:variant>
      <vt:variant>
        <vt:i4>0</vt:i4>
      </vt:variant>
      <vt:variant>
        <vt:i4>5</vt:i4>
      </vt:variant>
      <vt:variant>
        <vt:lpwstr/>
      </vt:variant>
      <vt:variant>
        <vt:lpwstr>_Toc329233189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  &lt;Ergebnistyp&gt; &lt;Thematik&gt;</dc:title>
  <dc:creator>gemPU</dc:creator>
  <cp:lastModifiedBy>Schopf, Gunnar</cp:lastModifiedBy>
  <cp:revision>3</cp:revision>
  <cp:lastPrinted>2017-10-23T08:39:00Z</cp:lastPrinted>
  <dcterms:created xsi:type="dcterms:W3CDTF">2018-01-08T08:02:00Z</dcterms:created>
  <dcterms:modified xsi:type="dcterms:W3CDTF">2018-01-08T08:13:00Z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version">
    <vt:lpwstr>1.2.0</vt:lpwstr>
  </property>
  <property fmtid="{D5CDD505-2E9C-101B-9397-08002B2CF9AE}" pid="3" name="gemVorlagenName">
    <vt:lpwstr>Spezifikation_allgemein</vt:lpwstr>
  </property>
</Properties>
</file>