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B46" w:rsidRPr="001A6348" w:rsidRDefault="00CA7B46" w:rsidP="00B21ADD"/>
    <w:p w:rsidR="001A73E7" w:rsidRDefault="001A73E7" w:rsidP="00B21ADD">
      <w:pPr>
        <w:pStyle w:val="gemStandard"/>
      </w:pPr>
    </w:p>
    <w:p w:rsidR="001A73E7" w:rsidRDefault="001A73E7" w:rsidP="00B21ADD">
      <w:pPr>
        <w:pStyle w:val="gemStandard"/>
      </w:pPr>
    </w:p>
    <w:p w:rsidR="001A73E7" w:rsidRDefault="001A73E7" w:rsidP="00B21ADD">
      <w:pPr>
        <w:pStyle w:val="gemStandard"/>
      </w:pPr>
    </w:p>
    <w:p w:rsidR="00CA7B46" w:rsidRDefault="00CA7B46" w:rsidP="00B21ADD">
      <w:pPr>
        <w:pStyle w:val="gemStandard"/>
      </w:pPr>
    </w:p>
    <w:p w:rsidR="00CA7B46" w:rsidRPr="0095746E" w:rsidRDefault="00E634C8" w:rsidP="00B21ADD">
      <w:pPr>
        <w:pStyle w:val="Titel1"/>
      </w:pPr>
      <w:r w:rsidRPr="0095746E">
        <w:t>Einführung der Gesundheitskarte</w:t>
      </w:r>
    </w:p>
    <w:p w:rsidR="00CA7B46" w:rsidRPr="0095746E" w:rsidRDefault="00CA7B46" w:rsidP="00B21ADD">
      <w:pPr>
        <w:pStyle w:val="gemStandard"/>
      </w:pPr>
    </w:p>
    <w:p w:rsidR="00CA7B46" w:rsidRPr="0095746E" w:rsidRDefault="00CA7B46" w:rsidP="00B21ADD">
      <w:pPr>
        <w:pStyle w:val="gemStandard"/>
      </w:pPr>
    </w:p>
    <w:p w:rsidR="0001219C" w:rsidRPr="0095746E" w:rsidRDefault="0001219C" w:rsidP="00B21ADD">
      <w:pPr>
        <w:pStyle w:val="gemStandard"/>
      </w:pPr>
    </w:p>
    <w:p w:rsidR="001B6206" w:rsidRPr="001B6206" w:rsidRDefault="001B6206" w:rsidP="00B21ADD">
      <w:pPr>
        <w:pStyle w:val="gemEinzug"/>
      </w:pPr>
    </w:p>
    <w:p w:rsidR="00BF4B9D" w:rsidRPr="008B4C32" w:rsidRDefault="00295DA9" w:rsidP="00B21ADD">
      <w:pPr>
        <w:pStyle w:val="gemTitel2"/>
      </w:pPr>
      <w:bookmarkStart w:id="0" w:name="DokTitel"/>
      <w:r>
        <w:t xml:space="preserve">Spezifikation Datenschutz- und Sicherheitsanforderungen </w:t>
      </w:r>
      <w:r w:rsidR="0032563C">
        <w:t>an</w:t>
      </w:r>
      <w:r>
        <w:t xml:space="preserve"> </w:t>
      </w:r>
      <w:r w:rsidR="00606899">
        <w:t>Hersteller</w:t>
      </w:r>
      <w:bookmarkEnd w:id="0"/>
    </w:p>
    <w:p w:rsidR="00CA7B46" w:rsidRPr="0095746E" w:rsidRDefault="00CA7B46" w:rsidP="00B21ADD"/>
    <w:p w:rsidR="00CA7B46" w:rsidRPr="0095746E" w:rsidRDefault="00CA7B46" w:rsidP="00B21ADD">
      <w:pPr>
        <w:pStyle w:val="gemStandard"/>
      </w:pPr>
    </w:p>
    <w:p w:rsidR="00CA7B46" w:rsidRPr="0095746E" w:rsidRDefault="00CA7B46" w:rsidP="00B21ADD">
      <w:pPr>
        <w:pStyle w:val="gemStandard"/>
      </w:pPr>
    </w:p>
    <w:p w:rsidR="00CA7B46" w:rsidRPr="0095746E" w:rsidRDefault="00CA7B46" w:rsidP="00B21ADD">
      <w:pPr>
        <w:pStyle w:val="gemStandard"/>
      </w:pPr>
    </w:p>
    <w:tbl>
      <w:tblPr>
        <w:tblW w:w="0" w:type="auto"/>
        <w:jc w:val="center"/>
        <w:tblLook w:val="01E0" w:firstRow="1" w:lastRow="1" w:firstColumn="1" w:lastColumn="1" w:noHBand="0" w:noVBand="0"/>
      </w:tblPr>
      <w:tblGrid>
        <w:gridCol w:w="1928"/>
        <w:gridCol w:w="4655"/>
      </w:tblGrid>
      <w:tr w:rsidR="00BF4B9D" w:rsidRPr="008F5DB7" w:rsidTr="00C61424">
        <w:trPr>
          <w:jc w:val="center"/>
        </w:trPr>
        <w:tc>
          <w:tcPr>
            <w:tcW w:w="1928" w:type="dxa"/>
            <w:shd w:val="clear" w:color="auto" w:fill="auto"/>
          </w:tcPr>
          <w:p w:rsidR="00BF4B9D" w:rsidRPr="008F5DB7" w:rsidRDefault="00BF4B9D" w:rsidP="00B21ADD">
            <w:pPr>
              <w:pStyle w:val="gemtab11ptAbstand"/>
            </w:pPr>
            <w:r w:rsidRPr="008F5DB7">
              <w:t>Version:</w:t>
            </w:r>
          </w:p>
        </w:tc>
        <w:tc>
          <w:tcPr>
            <w:tcW w:w="1928" w:type="dxa"/>
            <w:shd w:val="clear" w:color="auto" w:fill="auto"/>
          </w:tcPr>
          <w:p w:rsidR="00BF4B9D" w:rsidRPr="008F5DB7" w:rsidRDefault="00831B04" w:rsidP="00B21ADD">
            <w:pPr>
              <w:pStyle w:val="gemtab11ptAbstand"/>
            </w:pPr>
            <w:bookmarkStart w:id="1" w:name="Version"/>
            <w:r>
              <w:t>1.0.0 CC</w:t>
            </w:r>
            <w:bookmarkEnd w:id="1"/>
          </w:p>
        </w:tc>
      </w:tr>
      <w:tr w:rsidR="00BF4B9D" w:rsidRPr="008F5DB7" w:rsidTr="00C61424">
        <w:trPr>
          <w:jc w:val="center"/>
        </w:trPr>
        <w:tc>
          <w:tcPr>
            <w:tcW w:w="1928" w:type="dxa"/>
            <w:shd w:val="clear" w:color="auto" w:fill="auto"/>
          </w:tcPr>
          <w:p w:rsidR="00BF4B9D" w:rsidRPr="008F5DB7" w:rsidRDefault="00BF4B9D" w:rsidP="00B21ADD">
            <w:pPr>
              <w:pStyle w:val="gemtab11ptAbstand"/>
            </w:pPr>
            <w:r w:rsidRPr="008F5DB7">
              <w:t>Revision:</w:t>
            </w:r>
          </w:p>
        </w:tc>
        <w:tc>
          <w:tcPr>
            <w:tcW w:w="1928" w:type="dxa"/>
            <w:shd w:val="clear" w:color="auto" w:fill="auto"/>
          </w:tcPr>
          <w:p w:rsidR="00BF4B9D" w:rsidRPr="008F5DB7" w:rsidRDefault="00D53EC5" w:rsidP="00B21ADD">
            <w:pPr>
              <w:pStyle w:val="gemtab11ptAbstand"/>
            </w:pPr>
            <w:r>
              <w:t>\</w:t>
            </w:r>
            <w:proofErr w:type="spellStart"/>
            <w:r>
              <w:t>main</w:t>
            </w:r>
            <w:proofErr w:type="spellEnd"/>
            <w:r>
              <w:t>\rel_ors2\2</w:t>
            </w:r>
          </w:p>
        </w:tc>
      </w:tr>
      <w:tr w:rsidR="00BF4B9D" w:rsidRPr="008F5DB7" w:rsidTr="00C61424">
        <w:trPr>
          <w:jc w:val="center"/>
        </w:trPr>
        <w:tc>
          <w:tcPr>
            <w:tcW w:w="1928" w:type="dxa"/>
            <w:shd w:val="clear" w:color="auto" w:fill="auto"/>
          </w:tcPr>
          <w:p w:rsidR="00BF4B9D" w:rsidRPr="008F5DB7" w:rsidRDefault="00BF4B9D" w:rsidP="00B21ADD">
            <w:pPr>
              <w:pStyle w:val="gemtab11ptAbstand"/>
            </w:pPr>
            <w:r w:rsidRPr="008F5DB7">
              <w:t>Stand:</w:t>
            </w:r>
          </w:p>
        </w:tc>
        <w:tc>
          <w:tcPr>
            <w:tcW w:w="1928" w:type="dxa"/>
            <w:shd w:val="clear" w:color="auto" w:fill="auto"/>
          </w:tcPr>
          <w:p w:rsidR="00BF4B9D" w:rsidRPr="008F5DB7" w:rsidRDefault="00831B04" w:rsidP="00B21ADD">
            <w:pPr>
              <w:pStyle w:val="gemtab11ptAbstand"/>
            </w:pPr>
            <w:bookmarkStart w:id="2" w:name="Stand"/>
            <w:r>
              <w:t>14.08.2017</w:t>
            </w:r>
            <w:bookmarkEnd w:id="2"/>
          </w:p>
        </w:tc>
      </w:tr>
      <w:tr w:rsidR="00BF4B9D" w:rsidRPr="008F5DB7" w:rsidTr="00C61424">
        <w:trPr>
          <w:jc w:val="center"/>
        </w:trPr>
        <w:tc>
          <w:tcPr>
            <w:tcW w:w="1928" w:type="dxa"/>
            <w:shd w:val="clear" w:color="auto" w:fill="auto"/>
          </w:tcPr>
          <w:p w:rsidR="00BF4B9D" w:rsidRPr="008F5DB7" w:rsidRDefault="00BF4B9D" w:rsidP="00B21ADD">
            <w:pPr>
              <w:pStyle w:val="gemtab11ptAbstand"/>
            </w:pPr>
            <w:r w:rsidRPr="008F5DB7">
              <w:t>Status:</w:t>
            </w:r>
          </w:p>
        </w:tc>
        <w:tc>
          <w:tcPr>
            <w:tcW w:w="1928" w:type="dxa"/>
            <w:shd w:val="clear" w:color="auto" w:fill="auto"/>
          </w:tcPr>
          <w:p w:rsidR="00BF4B9D" w:rsidRPr="008F5DB7" w:rsidRDefault="00CB1D7F" w:rsidP="00B21ADD">
            <w:pPr>
              <w:pStyle w:val="gemtab11ptAbstand"/>
            </w:pPr>
            <w:r w:rsidRPr="008F5DB7">
              <w:t>zur Abstimmung</w:t>
            </w:r>
            <w:r w:rsidR="00831B04">
              <w:t xml:space="preserve"> freigegeben</w:t>
            </w:r>
          </w:p>
        </w:tc>
      </w:tr>
      <w:tr w:rsidR="00BF4B9D" w:rsidRPr="008F5DB7" w:rsidTr="00C61424">
        <w:trPr>
          <w:jc w:val="center"/>
        </w:trPr>
        <w:tc>
          <w:tcPr>
            <w:tcW w:w="1928" w:type="dxa"/>
            <w:shd w:val="clear" w:color="auto" w:fill="auto"/>
          </w:tcPr>
          <w:p w:rsidR="00BF4B9D" w:rsidRPr="008F5DB7" w:rsidRDefault="00BF4B9D" w:rsidP="00B21ADD">
            <w:pPr>
              <w:pStyle w:val="gemtab11ptAbstand"/>
            </w:pPr>
            <w:r w:rsidRPr="008F5DB7">
              <w:t>Klassifizierung:</w:t>
            </w:r>
          </w:p>
        </w:tc>
        <w:tc>
          <w:tcPr>
            <w:tcW w:w="1928" w:type="dxa"/>
            <w:shd w:val="clear" w:color="auto" w:fill="auto"/>
          </w:tcPr>
          <w:p w:rsidR="00BF4B9D" w:rsidRPr="008F5DB7" w:rsidRDefault="00C61424" w:rsidP="00B21ADD">
            <w:pPr>
              <w:pStyle w:val="gemtab11ptAbstand"/>
            </w:pPr>
            <w:bookmarkStart w:id="3" w:name="Klasse"/>
            <w:proofErr w:type="spellStart"/>
            <w:r>
              <w:t>v</w:t>
            </w:r>
            <w:r w:rsidR="00831B04">
              <w:t>ertraulich_LA</w:t>
            </w:r>
            <w:bookmarkEnd w:id="3"/>
            <w:proofErr w:type="spellEnd"/>
          </w:p>
        </w:tc>
      </w:tr>
      <w:tr w:rsidR="00391D9F" w:rsidRPr="008F5DB7" w:rsidTr="00C61424">
        <w:trPr>
          <w:jc w:val="center"/>
        </w:trPr>
        <w:tc>
          <w:tcPr>
            <w:tcW w:w="1928" w:type="dxa"/>
            <w:shd w:val="clear" w:color="auto" w:fill="auto"/>
          </w:tcPr>
          <w:p w:rsidR="00391D9F" w:rsidRPr="008F5DB7" w:rsidRDefault="00391D9F" w:rsidP="00B21ADD">
            <w:pPr>
              <w:pStyle w:val="gemtab11ptAbstand"/>
            </w:pPr>
            <w:proofErr w:type="spellStart"/>
            <w:r w:rsidRPr="008F5DB7">
              <w:t>Referenzierung</w:t>
            </w:r>
            <w:proofErr w:type="spellEnd"/>
            <w:r w:rsidRPr="008F5DB7">
              <w:t>:</w:t>
            </w:r>
          </w:p>
        </w:tc>
        <w:tc>
          <w:tcPr>
            <w:tcW w:w="1928" w:type="dxa"/>
            <w:shd w:val="clear" w:color="auto" w:fill="auto"/>
          </w:tcPr>
          <w:p w:rsidR="00391D9F" w:rsidRPr="008F5DB7" w:rsidRDefault="00391D9F" w:rsidP="00B21ADD">
            <w:pPr>
              <w:pStyle w:val="gemtab11ptAbstand"/>
              <w:rPr>
                <w:rFonts w:eastAsia="Times New Roman"/>
              </w:rPr>
            </w:pPr>
            <w:bookmarkStart w:id="4" w:name="Referenzierung"/>
            <w:proofErr w:type="spellStart"/>
            <w:r w:rsidRPr="008F5DB7">
              <w:t>gem</w:t>
            </w:r>
            <w:r w:rsidR="00C61424">
              <w:t>Spec_Datenschutz_Sicherheit_Hersteller</w:t>
            </w:r>
            <w:bookmarkEnd w:id="4"/>
            <w:proofErr w:type="spellEnd"/>
          </w:p>
        </w:tc>
      </w:tr>
    </w:tbl>
    <w:p w:rsidR="0098496E" w:rsidRPr="00A35EF2" w:rsidRDefault="0098496E" w:rsidP="00A35EF2">
      <w:pPr>
        <w:pStyle w:val="Titel"/>
        <w:pBdr>
          <w:top w:val="single" w:sz="4" w:space="10" w:color="auto"/>
          <w:bottom w:val="single" w:sz="4" w:space="10" w:color="auto"/>
        </w:pBdr>
        <w:rPr>
          <w:rFonts w:cs="Arial"/>
        </w:rPr>
      </w:pPr>
      <w:bookmarkStart w:id="5" w:name="_Toc126575044"/>
      <w:bookmarkStart w:id="6" w:name="_Toc126575287"/>
      <w:bookmarkStart w:id="7" w:name="_Toc175538621"/>
      <w:bookmarkStart w:id="8" w:name="_Toc175543292"/>
      <w:bookmarkStart w:id="9" w:name="_Toc175547553"/>
      <w:r w:rsidRPr="00A35EF2">
        <w:rPr>
          <w:rFonts w:cs="Arial"/>
        </w:rPr>
        <w:lastRenderedPageBreak/>
        <w:t>Dokumentinformationen</w:t>
      </w:r>
      <w:bookmarkEnd w:id="5"/>
      <w:bookmarkEnd w:id="6"/>
      <w:bookmarkEnd w:id="7"/>
      <w:bookmarkEnd w:id="8"/>
      <w:bookmarkEnd w:id="9"/>
    </w:p>
    <w:p w:rsidR="0098496E" w:rsidRPr="00E34FD0" w:rsidRDefault="0098496E" w:rsidP="00B21ADD">
      <w:pPr>
        <w:pStyle w:val="gemStandard"/>
      </w:pPr>
      <w:r w:rsidRPr="00E34FD0">
        <w:t>Änderungen zur Vorversion</w:t>
      </w:r>
    </w:p>
    <w:p w:rsidR="00E34FD0" w:rsidRPr="00E34FD0" w:rsidRDefault="00E34FD0" w:rsidP="00B21ADD">
      <w:pPr>
        <w:pStyle w:val="gemStandard"/>
      </w:pPr>
      <w:r w:rsidRPr="00E34FD0">
        <w:t>Es handelt sich um die Erstversion des Dokumentes.</w:t>
      </w:r>
    </w:p>
    <w:p w:rsidR="0098496E" w:rsidRPr="00E34FD0" w:rsidRDefault="0098496E" w:rsidP="00B21ADD">
      <w:pPr>
        <w:pStyle w:val="gemStandard"/>
      </w:pPr>
      <w:bookmarkStart w:id="10" w:name="_Toc149010815"/>
      <w:r w:rsidRPr="00E34FD0">
        <w:t>Dokumentenhistorie</w:t>
      </w:r>
      <w:bookmarkEnd w:id="10"/>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7"/>
        <w:gridCol w:w="1080"/>
        <w:gridCol w:w="807"/>
        <w:gridCol w:w="4593"/>
        <w:gridCol w:w="1455"/>
      </w:tblGrid>
      <w:tr w:rsidR="0098496E" w:rsidRPr="00540031" w:rsidTr="00932F44">
        <w:trPr>
          <w:cantSplit/>
          <w:tblHeader/>
        </w:trPr>
        <w:tc>
          <w:tcPr>
            <w:tcW w:w="957" w:type="dxa"/>
            <w:shd w:val="clear" w:color="auto" w:fill="E0E0E0"/>
          </w:tcPr>
          <w:p w:rsidR="0098496E" w:rsidRPr="00540031" w:rsidRDefault="0098496E" w:rsidP="00B21ADD">
            <w:pPr>
              <w:pStyle w:val="gemtab11ptAbstand"/>
            </w:pPr>
            <w:r w:rsidRPr="00540031">
              <w:t>Version</w:t>
            </w:r>
          </w:p>
        </w:tc>
        <w:tc>
          <w:tcPr>
            <w:tcW w:w="1080" w:type="dxa"/>
            <w:shd w:val="clear" w:color="auto" w:fill="E0E0E0"/>
          </w:tcPr>
          <w:p w:rsidR="0098496E" w:rsidRPr="00540031" w:rsidRDefault="0098496E" w:rsidP="00B21ADD">
            <w:pPr>
              <w:pStyle w:val="gemtab11ptAbstand"/>
            </w:pPr>
            <w:r w:rsidRPr="00540031">
              <w:t>Stand</w:t>
            </w:r>
          </w:p>
        </w:tc>
        <w:tc>
          <w:tcPr>
            <w:tcW w:w="807" w:type="dxa"/>
            <w:shd w:val="clear" w:color="auto" w:fill="E0E0E0"/>
          </w:tcPr>
          <w:p w:rsidR="0098496E" w:rsidRPr="00540031" w:rsidRDefault="0098496E" w:rsidP="00B21ADD">
            <w:pPr>
              <w:pStyle w:val="gemtab11ptAbstand"/>
            </w:pPr>
            <w:r w:rsidRPr="00540031">
              <w:t>Kap./ Seite</w:t>
            </w:r>
          </w:p>
        </w:tc>
        <w:tc>
          <w:tcPr>
            <w:tcW w:w="4593" w:type="dxa"/>
            <w:shd w:val="clear" w:color="auto" w:fill="E0E0E0"/>
          </w:tcPr>
          <w:p w:rsidR="0098496E" w:rsidRPr="00540031" w:rsidRDefault="0098496E" w:rsidP="00B21ADD">
            <w:pPr>
              <w:pStyle w:val="gemtab11ptAbstand"/>
              <w:rPr>
                <w:caps/>
              </w:rPr>
            </w:pPr>
            <w:r w:rsidRPr="00540031">
              <w:t>Grund der Änderung, besondere Hinweise</w:t>
            </w:r>
          </w:p>
        </w:tc>
        <w:tc>
          <w:tcPr>
            <w:tcW w:w="1455" w:type="dxa"/>
            <w:shd w:val="clear" w:color="auto" w:fill="E0E0E0"/>
          </w:tcPr>
          <w:p w:rsidR="0098496E" w:rsidRPr="00540031" w:rsidRDefault="0098496E" w:rsidP="00B21ADD">
            <w:pPr>
              <w:pStyle w:val="gemtab11ptAbstand"/>
            </w:pPr>
            <w:r w:rsidRPr="00540031">
              <w:t>Bearbeitung</w:t>
            </w:r>
          </w:p>
        </w:tc>
      </w:tr>
      <w:tr w:rsidR="0098496E" w:rsidRPr="00540031" w:rsidTr="00932F44">
        <w:trPr>
          <w:cantSplit/>
        </w:trPr>
        <w:tc>
          <w:tcPr>
            <w:tcW w:w="957" w:type="dxa"/>
            <w:shd w:val="clear" w:color="auto" w:fill="auto"/>
          </w:tcPr>
          <w:p w:rsidR="0098496E" w:rsidRPr="00540031" w:rsidRDefault="003543B7" w:rsidP="00B21ADD">
            <w:pPr>
              <w:pStyle w:val="gemtab11ptAbstand"/>
            </w:pPr>
            <w:r>
              <w:t>1.0.0 CC</w:t>
            </w:r>
          </w:p>
        </w:tc>
        <w:tc>
          <w:tcPr>
            <w:tcW w:w="1080" w:type="dxa"/>
            <w:shd w:val="clear" w:color="auto" w:fill="auto"/>
          </w:tcPr>
          <w:p w:rsidR="0098496E" w:rsidRPr="00540031" w:rsidRDefault="003543B7" w:rsidP="00B21ADD">
            <w:pPr>
              <w:pStyle w:val="gemtab11ptAbstand"/>
            </w:pPr>
            <w:r>
              <w:t>14.08.17</w:t>
            </w:r>
          </w:p>
        </w:tc>
        <w:tc>
          <w:tcPr>
            <w:tcW w:w="807" w:type="dxa"/>
            <w:shd w:val="clear" w:color="auto" w:fill="auto"/>
          </w:tcPr>
          <w:p w:rsidR="0098496E" w:rsidRPr="00540031" w:rsidRDefault="0098496E" w:rsidP="00B21ADD">
            <w:pPr>
              <w:pStyle w:val="gemtab11ptAbstand"/>
            </w:pPr>
          </w:p>
        </w:tc>
        <w:tc>
          <w:tcPr>
            <w:tcW w:w="4593" w:type="dxa"/>
            <w:shd w:val="clear" w:color="auto" w:fill="auto"/>
          </w:tcPr>
          <w:p w:rsidR="0098496E" w:rsidRPr="00540031" w:rsidRDefault="003543B7" w:rsidP="00B21ADD">
            <w:pPr>
              <w:pStyle w:val="gemtab11ptAbstand"/>
            </w:pPr>
            <w:r>
              <w:t>Initiale Erstellung</w:t>
            </w:r>
          </w:p>
        </w:tc>
        <w:tc>
          <w:tcPr>
            <w:tcW w:w="1455" w:type="dxa"/>
            <w:shd w:val="clear" w:color="auto" w:fill="auto"/>
          </w:tcPr>
          <w:p w:rsidR="0098496E" w:rsidRPr="00540031" w:rsidRDefault="003543B7" w:rsidP="00B21ADD">
            <w:pPr>
              <w:pStyle w:val="gemtab11ptAbstand"/>
            </w:pPr>
            <w:r>
              <w:t>gematik</w:t>
            </w:r>
          </w:p>
        </w:tc>
      </w:tr>
      <w:tr w:rsidR="0098496E" w:rsidRPr="00540031" w:rsidTr="00932F44">
        <w:trPr>
          <w:cantSplit/>
        </w:trPr>
        <w:tc>
          <w:tcPr>
            <w:tcW w:w="957" w:type="dxa"/>
            <w:shd w:val="clear" w:color="auto" w:fill="auto"/>
          </w:tcPr>
          <w:p w:rsidR="0098496E" w:rsidRPr="00540031" w:rsidRDefault="0098496E" w:rsidP="00B21ADD">
            <w:pPr>
              <w:pStyle w:val="gemtab11ptAbstand"/>
            </w:pPr>
          </w:p>
        </w:tc>
        <w:tc>
          <w:tcPr>
            <w:tcW w:w="1080" w:type="dxa"/>
            <w:shd w:val="clear" w:color="auto" w:fill="auto"/>
          </w:tcPr>
          <w:p w:rsidR="0098496E" w:rsidRPr="00540031" w:rsidRDefault="0098496E" w:rsidP="00B21ADD">
            <w:pPr>
              <w:pStyle w:val="gemtab11ptAbstand"/>
            </w:pPr>
          </w:p>
        </w:tc>
        <w:tc>
          <w:tcPr>
            <w:tcW w:w="807" w:type="dxa"/>
            <w:shd w:val="clear" w:color="auto" w:fill="auto"/>
          </w:tcPr>
          <w:p w:rsidR="0098496E" w:rsidRPr="00540031" w:rsidRDefault="0098496E" w:rsidP="00B21ADD">
            <w:pPr>
              <w:pStyle w:val="gemtab11ptAbstand"/>
            </w:pPr>
          </w:p>
        </w:tc>
        <w:tc>
          <w:tcPr>
            <w:tcW w:w="4593" w:type="dxa"/>
            <w:shd w:val="clear" w:color="auto" w:fill="auto"/>
          </w:tcPr>
          <w:p w:rsidR="0098496E" w:rsidRPr="00540031" w:rsidRDefault="0098496E" w:rsidP="00B21ADD">
            <w:pPr>
              <w:pStyle w:val="gemtab11ptAbstand"/>
            </w:pPr>
          </w:p>
        </w:tc>
        <w:tc>
          <w:tcPr>
            <w:tcW w:w="1455" w:type="dxa"/>
            <w:shd w:val="clear" w:color="auto" w:fill="auto"/>
          </w:tcPr>
          <w:p w:rsidR="0098496E" w:rsidRPr="00540031" w:rsidRDefault="0098496E" w:rsidP="00B21ADD">
            <w:pPr>
              <w:pStyle w:val="gemtab11ptAbstand"/>
            </w:pPr>
          </w:p>
        </w:tc>
      </w:tr>
      <w:tr w:rsidR="0098496E" w:rsidRPr="00540031" w:rsidTr="00932F44">
        <w:trPr>
          <w:cantSplit/>
        </w:trPr>
        <w:tc>
          <w:tcPr>
            <w:tcW w:w="957" w:type="dxa"/>
            <w:shd w:val="clear" w:color="auto" w:fill="auto"/>
          </w:tcPr>
          <w:p w:rsidR="0098496E" w:rsidRPr="00540031" w:rsidRDefault="0098496E" w:rsidP="00B21ADD">
            <w:pPr>
              <w:pStyle w:val="gemtab11ptAbstand"/>
            </w:pPr>
          </w:p>
        </w:tc>
        <w:tc>
          <w:tcPr>
            <w:tcW w:w="1080" w:type="dxa"/>
            <w:shd w:val="clear" w:color="auto" w:fill="auto"/>
          </w:tcPr>
          <w:p w:rsidR="0098496E" w:rsidRPr="00540031" w:rsidRDefault="0098496E" w:rsidP="00B21ADD">
            <w:pPr>
              <w:pStyle w:val="gemtab11ptAbstand"/>
            </w:pPr>
          </w:p>
        </w:tc>
        <w:tc>
          <w:tcPr>
            <w:tcW w:w="807" w:type="dxa"/>
            <w:shd w:val="clear" w:color="auto" w:fill="auto"/>
          </w:tcPr>
          <w:p w:rsidR="0098496E" w:rsidRPr="00540031" w:rsidRDefault="0098496E" w:rsidP="00B21ADD">
            <w:pPr>
              <w:pStyle w:val="gemtab11ptAbstand"/>
            </w:pPr>
          </w:p>
        </w:tc>
        <w:tc>
          <w:tcPr>
            <w:tcW w:w="4593" w:type="dxa"/>
            <w:shd w:val="clear" w:color="auto" w:fill="auto"/>
          </w:tcPr>
          <w:p w:rsidR="0098496E" w:rsidRPr="00540031" w:rsidRDefault="0098496E" w:rsidP="00B21ADD">
            <w:pPr>
              <w:pStyle w:val="gemtab11ptAbstand"/>
            </w:pPr>
          </w:p>
        </w:tc>
        <w:tc>
          <w:tcPr>
            <w:tcW w:w="1455" w:type="dxa"/>
            <w:shd w:val="clear" w:color="auto" w:fill="auto"/>
          </w:tcPr>
          <w:p w:rsidR="0098496E" w:rsidRPr="00540031" w:rsidRDefault="0098496E" w:rsidP="00B21ADD">
            <w:pPr>
              <w:pStyle w:val="gemtab11ptAbstand"/>
            </w:pPr>
          </w:p>
        </w:tc>
      </w:tr>
    </w:tbl>
    <w:p w:rsidR="001705FD" w:rsidRDefault="001705FD" w:rsidP="00B21ADD"/>
    <w:p w:rsidR="0019036F" w:rsidRPr="00947CCC" w:rsidRDefault="0019036F" w:rsidP="00B21ADD">
      <w:pPr>
        <w:pStyle w:val="gemEinzug"/>
      </w:pPr>
    </w:p>
    <w:p w:rsidR="00A35EF2" w:rsidRDefault="00A35EF2" w:rsidP="00A35EF2">
      <w:pPr>
        <w:pStyle w:val="Titel"/>
        <w:pBdr>
          <w:top w:val="single" w:sz="4" w:space="10" w:color="auto"/>
          <w:bottom w:val="single" w:sz="4" w:space="10" w:color="auto"/>
        </w:pBdr>
        <w:rPr>
          <w:rFonts w:cs="Arial"/>
        </w:rPr>
        <w:sectPr w:rsidR="00A35EF2" w:rsidSect="003543B7">
          <w:headerReference w:type="default" r:id="rId9"/>
          <w:footerReference w:type="default" r:id="rId10"/>
          <w:headerReference w:type="first" r:id="rId11"/>
          <w:footerReference w:type="first" r:id="rId12"/>
          <w:pgSz w:w="11906" w:h="16838" w:code="9"/>
          <w:pgMar w:top="2104" w:right="1469" w:bottom="1701" w:left="1701" w:header="709" w:footer="344" w:gutter="0"/>
          <w:cols w:space="708"/>
          <w:titlePg/>
          <w:docGrid w:linePitch="360"/>
        </w:sectPr>
      </w:pPr>
    </w:p>
    <w:p w:rsidR="00CA7B46" w:rsidRPr="00A35EF2" w:rsidRDefault="00CA7B46" w:rsidP="00A35EF2">
      <w:pPr>
        <w:pStyle w:val="Titel"/>
        <w:pBdr>
          <w:top w:val="single" w:sz="4" w:space="10" w:color="auto"/>
          <w:bottom w:val="single" w:sz="4" w:space="10" w:color="auto"/>
        </w:pBdr>
        <w:rPr>
          <w:rFonts w:cs="Arial"/>
        </w:rPr>
      </w:pPr>
      <w:r w:rsidRPr="00A35EF2">
        <w:rPr>
          <w:rFonts w:cs="Arial"/>
        </w:rPr>
        <w:t>Inhaltsverzeichnis</w:t>
      </w:r>
    </w:p>
    <w:p w:rsidR="00CA7B46" w:rsidRPr="0095746E" w:rsidRDefault="00CA7B46" w:rsidP="00B21ADD"/>
    <w:p w:rsidR="00A35EF2" w:rsidRDefault="00687D4E">
      <w:pPr>
        <w:pStyle w:val="Verzeichnis1"/>
        <w:tabs>
          <w:tab w:val="left" w:pos="440"/>
          <w:tab w:val="right" w:leader="dot" w:pos="8726"/>
        </w:tabs>
        <w:rPr>
          <w:rFonts w:asciiTheme="minorHAnsi" w:eastAsiaTheme="minorEastAsia" w:hAnsiTheme="minorHAnsi" w:cstheme="minorBidi"/>
          <w:b w:val="0"/>
          <w:bCs w:val="0"/>
          <w:noProof/>
          <w:sz w:val="22"/>
          <w:szCs w:val="22"/>
        </w:rPr>
      </w:pPr>
      <w:r w:rsidRPr="0095746E">
        <w:fldChar w:fldCharType="begin"/>
      </w:r>
      <w:r w:rsidRPr="008B4C32">
        <w:instrText xml:space="preserve"> TOC \o "3-5" \h \z \t "Überschrift 1;1;Überschrift 2;2;gem_nonum_Ü4;4;gem_Ü5;5;GEM_Ü3;3;gem_Ü4;4;gem_Ü1;1;gem_Ü2;2;gem_nonum_Ü1;1;gem_nonum_Ü2;2;gem_nonum_Ü3;3" </w:instrText>
      </w:r>
      <w:r w:rsidRPr="0095746E">
        <w:fldChar w:fldCharType="separate"/>
      </w:r>
      <w:hyperlink w:anchor="_Toc501701459" w:history="1">
        <w:r w:rsidR="00A35EF2" w:rsidRPr="00672A9C">
          <w:rPr>
            <w:rStyle w:val="Hyperlink"/>
            <w:noProof/>
          </w:rPr>
          <w:t>1</w:t>
        </w:r>
        <w:r w:rsidR="00A35EF2">
          <w:rPr>
            <w:rFonts w:asciiTheme="minorHAnsi" w:eastAsiaTheme="minorEastAsia" w:hAnsiTheme="minorHAnsi" w:cstheme="minorBidi"/>
            <w:b w:val="0"/>
            <w:bCs w:val="0"/>
            <w:noProof/>
            <w:sz w:val="22"/>
            <w:szCs w:val="22"/>
          </w:rPr>
          <w:tab/>
        </w:r>
        <w:r w:rsidR="00A35EF2" w:rsidRPr="00672A9C">
          <w:rPr>
            <w:rStyle w:val="Hyperlink"/>
            <w:noProof/>
          </w:rPr>
          <w:t>Einordnung des Dokuments</w:t>
        </w:r>
        <w:r w:rsidR="00A35EF2">
          <w:rPr>
            <w:noProof/>
            <w:webHidden/>
          </w:rPr>
          <w:tab/>
        </w:r>
        <w:r w:rsidR="00A35EF2">
          <w:rPr>
            <w:noProof/>
            <w:webHidden/>
          </w:rPr>
          <w:fldChar w:fldCharType="begin"/>
        </w:r>
        <w:r w:rsidR="00A35EF2">
          <w:rPr>
            <w:noProof/>
            <w:webHidden/>
          </w:rPr>
          <w:instrText xml:space="preserve"> PAGEREF _Toc501701459 \h </w:instrText>
        </w:r>
        <w:r w:rsidR="00A35EF2">
          <w:rPr>
            <w:noProof/>
            <w:webHidden/>
          </w:rPr>
        </w:r>
        <w:r w:rsidR="00A35EF2">
          <w:rPr>
            <w:noProof/>
            <w:webHidden/>
          </w:rPr>
          <w:fldChar w:fldCharType="separate"/>
        </w:r>
        <w:r w:rsidR="00A35EF2">
          <w:rPr>
            <w:noProof/>
            <w:webHidden/>
          </w:rPr>
          <w:t>4</w:t>
        </w:r>
        <w:r w:rsidR="00A35EF2">
          <w:rPr>
            <w:noProof/>
            <w:webHidden/>
          </w:rPr>
          <w:fldChar w:fldCharType="end"/>
        </w:r>
      </w:hyperlink>
    </w:p>
    <w:p w:rsidR="00A35EF2" w:rsidRDefault="00A35EF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60" w:history="1">
        <w:r w:rsidRPr="00672A9C">
          <w:rPr>
            <w:rStyle w:val="Hyperlink"/>
            <w:noProof/>
          </w:rPr>
          <w:t>1.1</w:t>
        </w:r>
        <w:r>
          <w:rPr>
            <w:rFonts w:asciiTheme="minorHAnsi" w:eastAsiaTheme="minorEastAsia" w:hAnsiTheme="minorHAnsi" w:cstheme="minorBidi"/>
            <w:b w:val="0"/>
            <w:iCs w:val="0"/>
            <w:noProof/>
            <w:szCs w:val="22"/>
          </w:rPr>
          <w:tab/>
        </w:r>
        <w:r w:rsidRPr="00672A9C">
          <w:rPr>
            <w:rStyle w:val="Hyperlink"/>
            <w:noProof/>
          </w:rPr>
          <w:t>Zielsetzung</w:t>
        </w:r>
        <w:r>
          <w:rPr>
            <w:noProof/>
            <w:webHidden/>
          </w:rPr>
          <w:tab/>
        </w:r>
        <w:r>
          <w:rPr>
            <w:noProof/>
            <w:webHidden/>
          </w:rPr>
          <w:fldChar w:fldCharType="begin"/>
        </w:r>
        <w:r>
          <w:rPr>
            <w:noProof/>
            <w:webHidden/>
          </w:rPr>
          <w:instrText xml:space="preserve"> PAGEREF _Toc501701460 \h </w:instrText>
        </w:r>
        <w:r>
          <w:rPr>
            <w:noProof/>
            <w:webHidden/>
          </w:rPr>
        </w:r>
        <w:r>
          <w:rPr>
            <w:noProof/>
            <w:webHidden/>
          </w:rPr>
          <w:fldChar w:fldCharType="separate"/>
        </w:r>
        <w:r>
          <w:rPr>
            <w:noProof/>
            <w:webHidden/>
          </w:rPr>
          <w:t>4</w:t>
        </w:r>
        <w:r>
          <w:rPr>
            <w:noProof/>
            <w:webHidden/>
          </w:rPr>
          <w:fldChar w:fldCharType="end"/>
        </w:r>
      </w:hyperlink>
    </w:p>
    <w:p w:rsidR="00A35EF2" w:rsidRDefault="00A35EF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61" w:history="1">
        <w:r w:rsidRPr="00672A9C">
          <w:rPr>
            <w:rStyle w:val="Hyperlink"/>
            <w:noProof/>
          </w:rPr>
          <w:t>1.2</w:t>
        </w:r>
        <w:r>
          <w:rPr>
            <w:rFonts w:asciiTheme="minorHAnsi" w:eastAsiaTheme="minorEastAsia" w:hAnsiTheme="minorHAnsi" w:cstheme="minorBidi"/>
            <w:b w:val="0"/>
            <w:iCs w:val="0"/>
            <w:noProof/>
            <w:szCs w:val="22"/>
          </w:rPr>
          <w:tab/>
        </w:r>
        <w:r w:rsidRPr="00672A9C">
          <w:rPr>
            <w:rStyle w:val="Hyperlink"/>
            <w:noProof/>
          </w:rPr>
          <w:t>Zielgruppe</w:t>
        </w:r>
        <w:r>
          <w:rPr>
            <w:noProof/>
            <w:webHidden/>
          </w:rPr>
          <w:tab/>
        </w:r>
        <w:r>
          <w:rPr>
            <w:noProof/>
            <w:webHidden/>
          </w:rPr>
          <w:fldChar w:fldCharType="begin"/>
        </w:r>
        <w:r>
          <w:rPr>
            <w:noProof/>
            <w:webHidden/>
          </w:rPr>
          <w:instrText xml:space="preserve"> PAGEREF _Toc501701461 \h </w:instrText>
        </w:r>
        <w:r>
          <w:rPr>
            <w:noProof/>
            <w:webHidden/>
          </w:rPr>
        </w:r>
        <w:r>
          <w:rPr>
            <w:noProof/>
            <w:webHidden/>
          </w:rPr>
          <w:fldChar w:fldCharType="separate"/>
        </w:r>
        <w:r>
          <w:rPr>
            <w:noProof/>
            <w:webHidden/>
          </w:rPr>
          <w:t>4</w:t>
        </w:r>
        <w:r>
          <w:rPr>
            <w:noProof/>
            <w:webHidden/>
          </w:rPr>
          <w:fldChar w:fldCharType="end"/>
        </w:r>
      </w:hyperlink>
    </w:p>
    <w:p w:rsidR="00A35EF2" w:rsidRDefault="00A35EF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62" w:history="1">
        <w:r w:rsidRPr="00672A9C">
          <w:rPr>
            <w:rStyle w:val="Hyperlink"/>
            <w:noProof/>
          </w:rPr>
          <w:t>1.3</w:t>
        </w:r>
        <w:r>
          <w:rPr>
            <w:rFonts w:asciiTheme="minorHAnsi" w:eastAsiaTheme="minorEastAsia" w:hAnsiTheme="minorHAnsi" w:cstheme="minorBidi"/>
            <w:b w:val="0"/>
            <w:iCs w:val="0"/>
            <w:noProof/>
            <w:szCs w:val="22"/>
          </w:rPr>
          <w:tab/>
        </w:r>
        <w:r w:rsidRPr="00672A9C">
          <w:rPr>
            <w:rStyle w:val="Hyperlink"/>
            <w:noProof/>
          </w:rPr>
          <w:t>Geltungsbereich</w:t>
        </w:r>
        <w:r>
          <w:rPr>
            <w:noProof/>
            <w:webHidden/>
          </w:rPr>
          <w:tab/>
        </w:r>
        <w:r>
          <w:rPr>
            <w:noProof/>
            <w:webHidden/>
          </w:rPr>
          <w:fldChar w:fldCharType="begin"/>
        </w:r>
        <w:r>
          <w:rPr>
            <w:noProof/>
            <w:webHidden/>
          </w:rPr>
          <w:instrText xml:space="preserve"> PAGEREF _Toc501701462 \h </w:instrText>
        </w:r>
        <w:r>
          <w:rPr>
            <w:noProof/>
            <w:webHidden/>
          </w:rPr>
        </w:r>
        <w:r>
          <w:rPr>
            <w:noProof/>
            <w:webHidden/>
          </w:rPr>
          <w:fldChar w:fldCharType="separate"/>
        </w:r>
        <w:r>
          <w:rPr>
            <w:noProof/>
            <w:webHidden/>
          </w:rPr>
          <w:t>4</w:t>
        </w:r>
        <w:r>
          <w:rPr>
            <w:noProof/>
            <w:webHidden/>
          </w:rPr>
          <w:fldChar w:fldCharType="end"/>
        </w:r>
      </w:hyperlink>
    </w:p>
    <w:p w:rsidR="00A35EF2" w:rsidRDefault="00A35EF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63" w:history="1">
        <w:r w:rsidRPr="00672A9C">
          <w:rPr>
            <w:rStyle w:val="Hyperlink"/>
            <w:noProof/>
          </w:rPr>
          <w:t>1.4</w:t>
        </w:r>
        <w:r>
          <w:rPr>
            <w:rFonts w:asciiTheme="minorHAnsi" w:eastAsiaTheme="minorEastAsia" w:hAnsiTheme="minorHAnsi" w:cstheme="minorBidi"/>
            <w:b w:val="0"/>
            <w:iCs w:val="0"/>
            <w:noProof/>
            <w:szCs w:val="22"/>
          </w:rPr>
          <w:tab/>
        </w:r>
        <w:r w:rsidRPr="00672A9C">
          <w:rPr>
            <w:rStyle w:val="Hyperlink"/>
            <w:noProof/>
          </w:rPr>
          <w:t>Abgrenzungen</w:t>
        </w:r>
        <w:r>
          <w:rPr>
            <w:noProof/>
            <w:webHidden/>
          </w:rPr>
          <w:tab/>
        </w:r>
        <w:r>
          <w:rPr>
            <w:noProof/>
            <w:webHidden/>
          </w:rPr>
          <w:fldChar w:fldCharType="begin"/>
        </w:r>
        <w:r>
          <w:rPr>
            <w:noProof/>
            <w:webHidden/>
          </w:rPr>
          <w:instrText xml:space="preserve"> PAGEREF _Toc501701463 \h </w:instrText>
        </w:r>
        <w:r>
          <w:rPr>
            <w:noProof/>
            <w:webHidden/>
          </w:rPr>
        </w:r>
        <w:r>
          <w:rPr>
            <w:noProof/>
            <w:webHidden/>
          </w:rPr>
          <w:fldChar w:fldCharType="separate"/>
        </w:r>
        <w:r>
          <w:rPr>
            <w:noProof/>
            <w:webHidden/>
          </w:rPr>
          <w:t>4</w:t>
        </w:r>
        <w:r>
          <w:rPr>
            <w:noProof/>
            <w:webHidden/>
          </w:rPr>
          <w:fldChar w:fldCharType="end"/>
        </w:r>
      </w:hyperlink>
    </w:p>
    <w:p w:rsidR="00A35EF2" w:rsidRDefault="00A35EF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64" w:history="1">
        <w:r w:rsidRPr="00672A9C">
          <w:rPr>
            <w:rStyle w:val="Hyperlink"/>
            <w:noProof/>
          </w:rPr>
          <w:t>1.5</w:t>
        </w:r>
        <w:r>
          <w:rPr>
            <w:rFonts w:asciiTheme="minorHAnsi" w:eastAsiaTheme="minorEastAsia" w:hAnsiTheme="minorHAnsi" w:cstheme="minorBidi"/>
            <w:b w:val="0"/>
            <w:iCs w:val="0"/>
            <w:noProof/>
            <w:szCs w:val="22"/>
          </w:rPr>
          <w:tab/>
        </w:r>
        <w:r w:rsidRPr="00672A9C">
          <w:rPr>
            <w:rStyle w:val="Hyperlink"/>
            <w:noProof/>
          </w:rPr>
          <w:t>Methodik</w:t>
        </w:r>
        <w:r>
          <w:rPr>
            <w:noProof/>
            <w:webHidden/>
          </w:rPr>
          <w:tab/>
        </w:r>
        <w:r>
          <w:rPr>
            <w:noProof/>
            <w:webHidden/>
          </w:rPr>
          <w:fldChar w:fldCharType="begin"/>
        </w:r>
        <w:r>
          <w:rPr>
            <w:noProof/>
            <w:webHidden/>
          </w:rPr>
          <w:instrText xml:space="preserve"> PAGEREF _Toc501701464 \h </w:instrText>
        </w:r>
        <w:r>
          <w:rPr>
            <w:noProof/>
            <w:webHidden/>
          </w:rPr>
        </w:r>
        <w:r>
          <w:rPr>
            <w:noProof/>
            <w:webHidden/>
          </w:rPr>
          <w:fldChar w:fldCharType="separate"/>
        </w:r>
        <w:r>
          <w:rPr>
            <w:noProof/>
            <w:webHidden/>
          </w:rPr>
          <w:t>5</w:t>
        </w:r>
        <w:r>
          <w:rPr>
            <w:noProof/>
            <w:webHidden/>
          </w:rPr>
          <w:fldChar w:fldCharType="end"/>
        </w:r>
      </w:hyperlink>
    </w:p>
    <w:p w:rsidR="00A35EF2" w:rsidRDefault="00A35EF2">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1465" w:history="1">
        <w:r w:rsidRPr="00672A9C">
          <w:rPr>
            <w:rStyle w:val="Hyperlink"/>
            <w:noProof/>
          </w:rPr>
          <w:t>2</w:t>
        </w:r>
        <w:r>
          <w:rPr>
            <w:rFonts w:asciiTheme="minorHAnsi" w:eastAsiaTheme="minorEastAsia" w:hAnsiTheme="minorHAnsi" w:cstheme="minorBidi"/>
            <w:b w:val="0"/>
            <w:bCs w:val="0"/>
            <w:noProof/>
            <w:sz w:val="22"/>
            <w:szCs w:val="22"/>
          </w:rPr>
          <w:tab/>
        </w:r>
        <w:r w:rsidRPr="00672A9C">
          <w:rPr>
            <w:rStyle w:val="Hyperlink"/>
            <w:noProof/>
          </w:rPr>
          <w:t>Module der Informationssicherheit</w:t>
        </w:r>
        <w:r>
          <w:rPr>
            <w:noProof/>
            <w:webHidden/>
          </w:rPr>
          <w:tab/>
        </w:r>
        <w:r>
          <w:rPr>
            <w:noProof/>
            <w:webHidden/>
          </w:rPr>
          <w:fldChar w:fldCharType="begin"/>
        </w:r>
        <w:r>
          <w:rPr>
            <w:noProof/>
            <w:webHidden/>
          </w:rPr>
          <w:instrText xml:space="preserve"> PAGEREF _Toc501701465 \h </w:instrText>
        </w:r>
        <w:r>
          <w:rPr>
            <w:noProof/>
            <w:webHidden/>
          </w:rPr>
        </w:r>
        <w:r>
          <w:rPr>
            <w:noProof/>
            <w:webHidden/>
          </w:rPr>
          <w:fldChar w:fldCharType="separate"/>
        </w:r>
        <w:r>
          <w:rPr>
            <w:noProof/>
            <w:webHidden/>
          </w:rPr>
          <w:t>6</w:t>
        </w:r>
        <w:r>
          <w:rPr>
            <w:noProof/>
            <w:webHidden/>
          </w:rPr>
          <w:fldChar w:fldCharType="end"/>
        </w:r>
      </w:hyperlink>
    </w:p>
    <w:p w:rsidR="00A35EF2" w:rsidRDefault="00A35EF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66" w:history="1">
        <w:r w:rsidRPr="00672A9C">
          <w:rPr>
            <w:rStyle w:val="Hyperlink"/>
            <w:noProof/>
          </w:rPr>
          <w:t>2.1</w:t>
        </w:r>
        <w:r>
          <w:rPr>
            <w:rFonts w:asciiTheme="minorHAnsi" w:eastAsiaTheme="minorEastAsia" w:hAnsiTheme="minorHAnsi" w:cstheme="minorBidi"/>
            <w:b w:val="0"/>
            <w:iCs w:val="0"/>
            <w:noProof/>
            <w:szCs w:val="22"/>
          </w:rPr>
          <w:tab/>
        </w:r>
        <w:r w:rsidRPr="00672A9C">
          <w:rPr>
            <w:rStyle w:val="Hyperlink"/>
            <w:noProof/>
          </w:rPr>
          <w:t>Modul „Hersteller dezentraler Produkte“</w:t>
        </w:r>
        <w:r>
          <w:rPr>
            <w:noProof/>
            <w:webHidden/>
          </w:rPr>
          <w:tab/>
        </w:r>
        <w:r>
          <w:rPr>
            <w:noProof/>
            <w:webHidden/>
          </w:rPr>
          <w:fldChar w:fldCharType="begin"/>
        </w:r>
        <w:r>
          <w:rPr>
            <w:noProof/>
            <w:webHidden/>
          </w:rPr>
          <w:instrText xml:space="preserve"> PAGEREF _Toc501701466 \h </w:instrText>
        </w:r>
        <w:r>
          <w:rPr>
            <w:noProof/>
            <w:webHidden/>
          </w:rPr>
        </w:r>
        <w:r>
          <w:rPr>
            <w:noProof/>
            <w:webHidden/>
          </w:rPr>
          <w:fldChar w:fldCharType="separate"/>
        </w:r>
        <w:r>
          <w:rPr>
            <w:noProof/>
            <w:webHidden/>
          </w:rPr>
          <w:t>7</w:t>
        </w:r>
        <w:r>
          <w:rPr>
            <w:noProof/>
            <w:webHidden/>
          </w:rPr>
          <w:fldChar w:fldCharType="end"/>
        </w:r>
      </w:hyperlink>
    </w:p>
    <w:p w:rsidR="00A35EF2" w:rsidRDefault="00A35EF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67" w:history="1">
        <w:r w:rsidRPr="00672A9C">
          <w:rPr>
            <w:rStyle w:val="Hyperlink"/>
            <w:noProof/>
          </w:rPr>
          <w:t>2.2</w:t>
        </w:r>
        <w:r>
          <w:rPr>
            <w:rFonts w:asciiTheme="minorHAnsi" w:eastAsiaTheme="minorEastAsia" w:hAnsiTheme="minorHAnsi" w:cstheme="minorBidi"/>
            <w:b w:val="0"/>
            <w:iCs w:val="0"/>
            <w:noProof/>
            <w:szCs w:val="22"/>
          </w:rPr>
          <w:tab/>
        </w:r>
        <w:r w:rsidRPr="00672A9C">
          <w:rPr>
            <w:rStyle w:val="Hyperlink"/>
            <w:noProof/>
          </w:rPr>
          <w:t>Modul „Referenz- und Testumgebung“</w:t>
        </w:r>
        <w:r>
          <w:rPr>
            <w:noProof/>
            <w:webHidden/>
          </w:rPr>
          <w:tab/>
        </w:r>
        <w:r>
          <w:rPr>
            <w:noProof/>
            <w:webHidden/>
          </w:rPr>
          <w:fldChar w:fldCharType="begin"/>
        </w:r>
        <w:r>
          <w:rPr>
            <w:noProof/>
            <w:webHidden/>
          </w:rPr>
          <w:instrText xml:space="preserve"> PAGEREF _Toc501701467 \h </w:instrText>
        </w:r>
        <w:r>
          <w:rPr>
            <w:noProof/>
            <w:webHidden/>
          </w:rPr>
        </w:r>
        <w:r>
          <w:rPr>
            <w:noProof/>
            <w:webHidden/>
          </w:rPr>
          <w:fldChar w:fldCharType="separate"/>
        </w:r>
        <w:r>
          <w:rPr>
            <w:noProof/>
            <w:webHidden/>
          </w:rPr>
          <w:t>8</w:t>
        </w:r>
        <w:r>
          <w:rPr>
            <w:noProof/>
            <w:webHidden/>
          </w:rPr>
          <w:fldChar w:fldCharType="end"/>
        </w:r>
      </w:hyperlink>
    </w:p>
    <w:p w:rsidR="00A35EF2" w:rsidRDefault="00A35EF2">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1468" w:history="1">
        <w:r w:rsidRPr="00672A9C">
          <w:rPr>
            <w:rStyle w:val="Hyperlink"/>
            <w:noProof/>
          </w:rPr>
          <w:t>3</w:t>
        </w:r>
        <w:r>
          <w:rPr>
            <w:rFonts w:asciiTheme="minorHAnsi" w:eastAsiaTheme="minorEastAsia" w:hAnsiTheme="minorHAnsi" w:cstheme="minorBidi"/>
            <w:b w:val="0"/>
            <w:bCs w:val="0"/>
            <w:noProof/>
            <w:sz w:val="22"/>
            <w:szCs w:val="22"/>
          </w:rPr>
          <w:tab/>
        </w:r>
        <w:r w:rsidRPr="00672A9C">
          <w:rPr>
            <w:rStyle w:val="Hyperlink"/>
            <w:noProof/>
          </w:rPr>
          <w:t>Anhang A – Verzeichnisse</w:t>
        </w:r>
        <w:r>
          <w:rPr>
            <w:noProof/>
            <w:webHidden/>
          </w:rPr>
          <w:tab/>
        </w:r>
        <w:r>
          <w:rPr>
            <w:noProof/>
            <w:webHidden/>
          </w:rPr>
          <w:fldChar w:fldCharType="begin"/>
        </w:r>
        <w:r>
          <w:rPr>
            <w:noProof/>
            <w:webHidden/>
          </w:rPr>
          <w:instrText xml:space="preserve"> PAGEREF _Toc501701468 \h </w:instrText>
        </w:r>
        <w:r>
          <w:rPr>
            <w:noProof/>
            <w:webHidden/>
          </w:rPr>
        </w:r>
        <w:r>
          <w:rPr>
            <w:noProof/>
            <w:webHidden/>
          </w:rPr>
          <w:fldChar w:fldCharType="separate"/>
        </w:r>
        <w:r>
          <w:rPr>
            <w:noProof/>
            <w:webHidden/>
          </w:rPr>
          <w:t>10</w:t>
        </w:r>
        <w:r>
          <w:rPr>
            <w:noProof/>
            <w:webHidden/>
          </w:rPr>
          <w:fldChar w:fldCharType="end"/>
        </w:r>
      </w:hyperlink>
    </w:p>
    <w:p w:rsidR="00A35EF2" w:rsidRDefault="00A35EF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69" w:history="1">
        <w:r w:rsidRPr="00672A9C">
          <w:rPr>
            <w:rStyle w:val="Hyperlink"/>
            <w:noProof/>
          </w:rPr>
          <w:t>3.1</w:t>
        </w:r>
        <w:r>
          <w:rPr>
            <w:rFonts w:asciiTheme="minorHAnsi" w:eastAsiaTheme="minorEastAsia" w:hAnsiTheme="minorHAnsi" w:cstheme="minorBidi"/>
            <w:b w:val="0"/>
            <w:iCs w:val="0"/>
            <w:noProof/>
            <w:szCs w:val="22"/>
          </w:rPr>
          <w:tab/>
        </w:r>
        <w:r w:rsidRPr="00672A9C">
          <w:rPr>
            <w:rStyle w:val="Hyperlink"/>
            <w:noProof/>
          </w:rPr>
          <w:t>A1 – Abkürzungen</w:t>
        </w:r>
        <w:r>
          <w:rPr>
            <w:noProof/>
            <w:webHidden/>
          </w:rPr>
          <w:tab/>
        </w:r>
        <w:r>
          <w:rPr>
            <w:noProof/>
            <w:webHidden/>
          </w:rPr>
          <w:fldChar w:fldCharType="begin"/>
        </w:r>
        <w:r>
          <w:rPr>
            <w:noProof/>
            <w:webHidden/>
          </w:rPr>
          <w:instrText xml:space="preserve"> PAGEREF _Toc501701469 \h </w:instrText>
        </w:r>
        <w:r>
          <w:rPr>
            <w:noProof/>
            <w:webHidden/>
          </w:rPr>
        </w:r>
        <w:r>
          <w:rPr>
            <w:noProof/>
            <w:webHidden/>
          </w:rPr>
          <w:fldChar w:fldCharType="separate"/>
        </w:r>
        <w:r>
          <w:rPr>
            <w:noProof/>
            <w:webHidden/>
          </w:rPr>
          <w:t>10</w:t>
        </w:r>
        <w:r>
          <w:rPr>
            <w:noProof/>
            <w:webHidden/>
          </w:rPr>
          <w:fldChar w:fldCharType="end"/>
        </w:r>
      </w:hyperlink>
    </w:p>
    <w:p w:rsidR="00A35EF2" w:rsidRDefault="00A35EF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70" w:history="1">
        <w:r w:rsidRPr="00672A9C">
          <w:rPr>
            <w:rStyle w:val="Hyperlink"/>
            <w:noProof/>
          </w:rPr>
          <w:t>3.2</w:t>
        </w:r>
        <w:r>
          <w:rPr>
            <w:rFonts w:asciiTheme="minorHAnsi" w:eastAsiaTheme="minorEastAsia" w:hAnsiTheme="minorHAnsi" w:cstheme="minorBidi"/>
            <w:b w:val="0"/>
            <w:iCs w:val="0"/>
            <w:noProof/>
            <w:szCs w:val="22"/>
          </w:rPr>
          <w:tab/>
        </w:r>
        <w:r w:rsidRPr="00672A9C">
          <w:rPr>
            <w:rStyle w:val="Hyperlink"/>
            <w:noProof/>
          </w:rPr>
          <w:t>A2 – Abbildungsverzeichnis</w:t>
        </w:r>
        <w:r>
          <w:rPr>
            <w:noProof/>
            <w:webHidden/>
          </w:rPr>
          <w:tab/>
        </w:r>
        <w:r>
          <w:rPr>
            <w:noProof/>
            <w:webHidden/>
          </w:rPr>
          <w:fldChar w:fldCharType="begin"/>
        </w:r>
        <w:r>
          <w:rPr>
            <w:noProof/>
            <w:webHidden/>
          </w:rPr>
          <w:instrText xml:space="preserve"> PAGEREF _Toc501701470 \h </w:instrText>
        </w:r>
        <w:r>
          <w:rPr>
            <w:noProof/>
            <w:webHidden/>
          </w:rPr>
        </w:r>
        <w:r>
          <w:rPr>
            <w:noProof/>
            <w:webHidden/>
          </w:rPr>
          <w:fldChar w:fldCharType="separate"/>
        </w:r>
        <w:r>
          <w:rPr>
            <w:noProof/>
            <w:webHidden/>
          </w:rPr>
          <w:t>10</w:t>
        </w:r>
        <w:r>
          <w:rPr>
            <w:noProof/>
            <w:webHidden/>
          </w:rPr>
          <w:fldChar w:fldCharType="end"/>
        </w:r>
      </w:hyperlink>
    </w:p>
    <w:p w:rsidR="00A35EF2" w:rsidRDefault="00A35EF2">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71" w:history="1">
        <w:r w:rsidRPr="00672A9C">
          <w:rPr>
            <w:rStyle w:val="Hyperlink"/>
            <w:noProof/>
          </w:rPr>
          <w:t>3.3</w:t>
        </w:r>
        <w:r>
          <w:rPr>
            <w:rFonts w:asciiTheme="minorHAnsi" w:eastAsiaTheme="minorEastAsia" w:hAnsiTheme="minorHAnsi" w:cstheme="minorBidi"/>
            <w:b w:val="0"/>
            <w:iCs w:val="0"/>
            <w:noProof/>
            <w:szCs w:val="22"/>
          </w:rPr>
          <w:tab/>
        </w:r>
        <w:r w:rsidRPr="00672A9C">
          <w:rPr>
            <w:rStyle w:val="Hyperlink"/>
            <w:noProof/>
          </w:rPr>
          <w:t>A3 – Referenzierte Dokumente</w:t>
        </w:r>
        <w:r>
          <w:rPr>
            <w:noProof/>
            <w:webHidden/>
          </w:rPr>
          <w:tab/>
        </w:r>
        <w:r>
          <w:rPr>
            <w:noProof/>
            <w:webHidden/>
          </w:rPr>
          <w:fldChar w:fldCharType="begin"/>
        </w:r>
        <w:r>
          <w:rPr>
            <w:noProof/>
            <w:webHidden/>
          </w:rPr>
          <w:instrText xml:space="preserve"> PAGEREF _Toc501701471 \h </w:instrText>
        </w:r>
        <w:r>
          <w:rPr>
            <w:noProof/>
            <w:webHidden/>
          </w:rPr>
        </w:r>
        <w:r>
          <w:rPr>
            <w:noProof/>
            <w:webHidden/>
          </w:rPr>
          <w:fldChar w:fldCharType="separate"/>
        </w:r>
        <w:r>
          <w:rPr>
            <w:noProof/>
            <w:webHidden/>
          </w:rPr>
          <w:t>10</w:t>
        </w:r>
        <w:r>
          <w:rPr>
            <w:noProof/>
            <w:webHidden/>
          </w:rPr>
          <w:fldChar w:fldCharType="end"/>
        </w:r>
      </w:hyperlink>
    </w:p>
    <w:p w:rsidR="00A35EF2" w:rsidRDefault="00A35EF2">
      <w:pPr>
        <w:pStyle w:val="Verzeichnis3"/>
        <w:tabs>
          <w:tab w:val="left" w:pos="1320"/>
          <w:tab w:val="right" w:leader="dot" w:pos="8726"/>
        </w:tabs>
        <w:rPr>
          <w:rFonts w:asciiTheme="minorHAnsi" w:eastAsiaTheme="minorEastAsia" w:hAnsiTheme="minorHAnsi" w:cstheme="minorBidi"/>
          <w:noProof/>
          <w:szCs w:val="22"/>
        </w:rPr>
      </w:pPr>
      <w:hyperlink w:anchor="_Toc501701472" w:history="1">
        <w:r w:rsidRPr="00672A9C">
          <w:rPr>
            <w:rStyle w:val="Hyperlink"/>
            <w:noProof/>
          </w:rPr>
          <w:t>3.3.1</w:t>
        </w:r>
        <w:r>
          <w:rPr>
            <w:rFonts w:asciiTheme="minorHAnsi" w:eastAsiaTheme="minorEastAsia" w:hAnsiTheme="minorHAnsi" w:cstheme="minorBidi"/>
            <w:noProof/>
            <w:szCs w:val="22"/>
          </w:rPr>
          <w:tab/>
        </w:r>
        <w:r w:rsidRPr="00672A9C">
          <w:rPr>
            <w:rStyle w:val="Hyperlink"/>
            <w:noProof/>
          </w:rPr>
          <w:t>A3.1 – Dokumente der gematik</w:t>
        </w:r>
        <w:r>
          <w:rPr>
            <w:noProof/>
            <w:webHidden/>
          </w:rPr>
          <w:tab/>
        </w:r>
        <w:r>
          <w:rPr>
            <w:noProof/>
            <w:webHidden/>
          </w:rPr>
          <w:fldChar w:fldCharType="begin"/>
        </w:r>
        <w:r>
          <w:rPr>
            <w:noProof/>
            <w:webHidden/>
          </w:rPr>
          <w:instrText xml:space="preserve"> PAGEREF _Toc501701472 \h </w:instrText>
        </w:r>
        <w:r>
          <w:rPr>
            <w:noProof/>
            <w:webHidden/>
          </w:rPr>
        </w:r>
        <w:r>
          <w:rPr>
            <w:noProof/>
            <w:webHidden/>
          </w:rPr>
          <w:fldChar w:fldCharType="separate"/>
        </w:r>
        <w:r>
          <w:rPr>
            <w:noProof/>
            <w:webHidden/>
          </w:rPr>
          <w:t>10</w:t>
        </w:r>
        <w:r>
          <w:rPr>
            <w:noProof/>
            <w:webHidden/>
          </w:rPr>
          <w:fldChar w:fldCharType="end"/>
        </w:r>
      </w:hyperlink>
    </w:p>
    <w:p w:rsidR="00CA7B46" w:rsidRPr="0095746E" w:rsidRDefault="00687D4E" w:rsidP="00B21ADD">
      <w:r w:rsidRPr="0095746E">
        <w:fldChar w:fldCharType="end"/>
      </w:r>
    </w:p>
    <w:p w:rsidR="00CA7B46" w:rsidRPr="0095746E" w:rsidRDefault="00CA7B46" w:rsidP="00B21ADD">
      <w:pPr>
        <w:sectPr w:rsidR="00CA7B46" w:rsidRPr="0095746E" w:rsidSect="003543B7">
          <w:pgSz w:w="11906" w:h="16838" w:code="9"/>
          <w:pgMar w:top="2104" w:right="1469" w:bottom="1701" w:left="1701" w:header="709" w:footer="344" w:gutter="0"/>
          <w:cols w:space="708"/>
          <w:titlePg/>
          <w:docGrid w:linePitch="360"/>
        </w:sectPr>
      </w:pPr>
    </w:p>
    <w:p w:rsidR="0098496E" w:rsidRPr="008B4C32" w:rsidRDefault="00D34BC4" w:rsidP="00A35EF2">
      <w:pPr>
        <w:pStyle w:val="berschrift1"/>
      </w:pPr>
      <w:bookmarkStart w:id="11" w:name="_Toc59868036"/>
      <w:bookmarkStart w:id="12" w:name="_Toc501701459"/>
      <w:r w:rsidRPr="00D34BC4">
        <w:t>Einordnung d</w:t>
      </w:r>
      <w:r w:rsidRPr="008B4C32">
        <w:t>es Dokuments</w:t>
      </w:r>
      <w:bookmarkEnd w:id="12"/>
    </w:p>
    <w:p w:rsidR="0098496E" w:rsidRPr="008B4C32" w:rsidRDefault="0098496E" w:rsidP="00A35EF2">
      <w:pPr>
        <w:pStyle w:val="berschrift2"/>
      </w:pPr>
      <w:bookmarkStart w:id="13" w:name="_Toc126455649"/>
      <w:bookmarkStart w:id="14" w:name="_Toc126575048"/>
      <w:bookmarkStart w:id="15" w:name="_Toc126575291"/>
      <w:bookmarkStart w:id="16" w:name="_Toc175538628"/>
      <w:bookmarkStart w:id="17" w:name="_Toc175543299"/>
      <w:bookmarkStart w:id="18" w:name="_Toc175547560"/>
      <w:bookmarkStart w:id="19" w:name="_Toc501701460"/>
      <w:r w:rsidRPr="008B4C32">
        <w:t>Zielsetzung</w:t>
      </w:r>
      <w:bookmarkEnd w:id="13"/>
      <w:bookmarkEnd w:id="14"/>
      <w:bookmarkEnd w:id="15"/>
      <w:bookmarkEnd w:id="16"/>
      <w:bookmarkEnd w:id="17"/>
      <w:bookmarkEnd w:id="18"/>
      <w:bookmarkEnd w:id="19"/>
    </w:p>
    <w:p w:rsidR="00D34BC4" w:rsidRDefault="00C22CF3" w:rsidP="00B21ADD">
      <w:pPr>
        <w:pStyle w:val="gemStandard"/>
      </w:pPr>
      <w:bookmarkStart w:id="20" w:name="_Toc119221120"/>
      <w:bookmarkStart w:id="21" w:name="_Toc119221123"/>
      <w:bookmarkStart w:id="22" w:name="_Toc126455650"/>
      <w:bookmarkStart w:id="23" w:name="_Toc126575049"/>
      <w:bookmarkStart w:id="24" w:name="_Toc126575292"/>
      <w:bookmarkStart w:id="25" w:name="_Toc175538629"/>
      <w:bookmarkStart w:id="26" w:name="_Toc175543300"/>
      <w:bookmarkStart w:id="27" w:name="_Toc175547561"/>
      <w:bookmarkEnd w:id="20"/>
      <w:bookmarkEnd w:id="21"/>
      <w:r w:rsidRPr="00C22CF3">
        <w:t>Das</w:t>
      </w:r>
      <w:r w:rsidR="00B21ADD">
        <w:t xml:space="preserve"> vorliegende </w:t>
      </w:r>
      <w:r w:rsidRPr="00C22CF3">
        <w:t xml:space="preserve">Dokument definiert übergreifende Sicherheits- und Datenschutzanforderungen für </w:t>
      </w:r>
      <w:r w:rsidR="000F16CF">
        <w:t xml:space="preserve">Hersteller von </w:t>
      </w:r>
      <w:r w:rsidR="009D42FA">
        <w:t>Produkten</w:t>
      </w:r>
      <w:r w:rsidR="000F16CF">
        <w:t xml:space="preserve"> </w:t>
      </w:r>
      <w:r w:rsidRPr="00C22CF3">
        <w:t xml:space="preserve">der </w:t>
      </w:r>
      <w:proofErr w:type="spellStart"/>
      <w:r w:rsidRPr="00C22CF3">
        <w:t>Telematikinfrastruktur</w:t>
      </w:r>
      <w:proofErr w:type="spellEnd"/>
      <w:r w:rsidR="00B21ADD">
        <w:t xml:space="preserve"> (TI)</w:t>
      </w:r>
      <w:r w:rsidR="00874EDC">
        <w:t>, für die eine Produktzulassung vorgesehen ist</w:t>
      </w:r>
      <w:r w:rsidRPr="00C22CF3">
        <w:t>.</w:t>
      </w:r>
    </w:p>
    <w:p w:rsidR="0098496E" w:rsidRPr="008B4C32" w:rsidRDefault="0098496E" w:rsidP="00A35EF2">
      <w:pPr>
        <w:pStyle w:val="berschrift2"/>
      </w:pPr>
      <w:bookmarkStart w:id="28" w:name="_Ref318293625"/>
      <w:bookmarkStart w:id="29" w:name="_Toc501701461"/>
      <w:r w:rsidRPr="008B4C32">
        <w:t>Zielgruppe</w:t>
      </w:r>
      <w:bookmarkEnd w:id="22"/>
      <w:bookmarkEnd w:id="23"/>
      <w:bookmarkEnd w:id="24"/>
      <w:bookmarkEnd w:id="25"/>
      <w:bookmarkEnd w:id="26"/>
      <w:bookmarkEnd w:id="27"/>
      <w:bookmarkEnd w:id="28"/>
      <w:bookmarkEnd w:id="29"/>
    </w:p>
    <w:p w:rsidR="00E34FD0" w:rsidRDefault="00C22CF3" w:rsidP="00B21ADD">
      <w:pPr>
        <w:pStyle w:val="gemStandard"/>
      </w:pPr>
      <w:r w:rsidRPr="00C22CF3">
        <w:t>Das</w:t>
      </w:r>
      <w:r w:rsidR="00B21ADD">
        <w:t xml:space="preserve"> vorliegende </w:t>
      </w:r>
      <w:r w:rsidRPr="00C22CF3">
        <w:t xml:space="preserve">Dokument richtet sich </w:t>
      </w:r>
      <w:r w:rsidR="00273F1E">
        <w:t xml:space="preserve">an </w:t>
      </w:r>
      <w:r w:rsidR="000F16CF">
        <w:t>Herstelle</w:t>
      </w:r>
      <w:r w:rsidR="00273F1E">
        <w:t>r</w:t>
      </w:r>
      <w:r w:rsidRPr="00C22CF3">
        <w:t xml:space="preserve"> von </w:t>
      </w:r>
      <w:r w:rsidR="009D42FA">
        <w:t>Produkten</w:t>
      </w:r>
      <w:r w:rsidRPr="00C22CF3">
        <w:t xml:space="preserve"> der </w:t>
      </w:r>
      <w:proofErr w:type="spellStart"/>
      <w:r w:rsidR="00273F1E" w:rsidRPr="00C22CF3">
        <w:t>Telematikinfrastruktur</w:t>
      </w:r>
      <w:proofErr w:type="spellEnd"/>
      <w:r w:rsidR="00874EDC">
        <w:t>, für die eine Produktzulassung vorgesehen ist</w:t>
      </w:r>
      <w:r w:rsidRPr="00C22CF3">
        <w:t>.</w:t>
      </w:r>
    </w:p>
    <w:p w:rsidR="0098496E" w:rsidRPr="008B4C32" w:rsidRDefault="0098496E" w:rsidP="00A35EF2">
      <w:pPr>
        <w:pStyle w:val="berschrift2"/>
      </w:pPr>
      <w:bookmarkStart w:id="30" w:name="_Toc126455651"/>
      <w:bookmarkStart w:id="31" w:name="_Toc126575050"/>
      <w:bookmarkStart w:id="32" w:name="_Toc126575293"/>
      <w:bookmarkStart w:id="33" w:name="_Toc175538630"/>
      <w:bookmarkStart w:id="34" w:name="_Toc175543301"/>
      <w:bookmarkStart w:id="35" w:name="_Toc175547562"/>
      <w:bookmarkStart w:id="36" w:name="_Toc501701462"/>
      <w:r w:rsidRPr="008B4C32">
        <w:t>Geltungsbereich</w:t>
      </w:r>
      <w:bookmarkEnd w:id="30"/>
      <w:bookmarkEnd w:id="31"/>
      <w:bookmarkEnd w:id="32"/>
      <w:bookmarkEnd w:id="33"/>
      <w:bookmarkEnd w:id="34"/>
      <w:bookmarkEnd w:id="35"/>
      <w:bookmarkEnd w:id="36"/>
    </w:p>
    <w:p w:rsidR="00B8381E" w:rsidRDefault="00B8381E" w:rsidP="00B21ADD">
      <w:bookmarkStart w:id="37" w:name="_Toc126455652"/>
      <w:bookmarkStart w:id="38" w:name="_Toc126575051"/>
      <w:bookmarkStart w:id="39" w:name="_Toc126575294"/>
      <w:bookmarkStart w:id="40" w:name="_Toc175538631"/>
      <w:bookmarkStart w:id="41" w:name="_Toc175543302"/>
      <w:bookmarkStart w:id="42" w:name="_Toc175547563"/>
      <w:r w:rsidRPr="00B8381E">
        <w:t xml:space="preserve">Dieses Dokument enthält normative Festlegungen zur </w:t>
      </w:r>
      <w:proofErr w:type="spellStart"/>
      <w:r w:rsidRPr="00B8381E">
        <w:t>Telematikinfrastruktur</w:t>
      </w:r>
      <w:proofErr w:type="spellEnd"/>
      <w:r w:rsidRPr="00B8381E">
        <w:t xml:space="preserve"> </w:t>
      </w:r>
      <w:r w:rsidR="00B21ADD">
        <w:t>des d</w:t>
      </w:r>
      <w:r w:rsidR="0032563C">
        <w:t>eutschen Gesundheitswesens</w:t>
      </w:r>
      <w:r w:rsidRPr="00B8381E">
        <w:t xml:space="preserve">. Der Gültigkeitszeitraum der vorliegenden Version und deren Anwendung in Zulassungs- oder Abnahmeverfahren wird durch die gematik </w:t>
      </w:r>
      <w:r w:rsidR="00B21ADD">
        <w:t>GmbH in gesonderten Do</w:t>
      </w:r>
      <w:r w:rsidRPr="00B8381E">
        <w:t>kumenten (z.</w:t>
      </w:r>
      <w:r w:rsidR="00B21ADD">
        <w:t> </w:t>
      </w:r>
      <w:r w:rsidRPr="00B8381E">
        <w:t>B. Dokumentenlandkarte, Produkttypsteckbri</w:t>
      </w:r>
      <w:r>
        <w:t>ef, Leistungsbeschreibung) fest</w:t>
      </w:r>
      <w:r w:rsidRPr="00B8381E">
        <w:t>gelegt und bekannt gegeben.</w:t>
      </w:r>
    </w:p>
    <w:p w:rsidR="003900CE" w:rsidRPr="00B957E2" w:rsidRDefault="003900CE" w:rsidP="00B21ADD">
      <w:pPr>
        <w:pStyle w:val="gemStandard"/>
      </w:pPr>
      <w:r w:rsidRPr="00B957E2">
        <w:t>Wichtiger Schutzrechts-/Patentrechtshinweis</w:t>
      </w:r>
    </w:p>
    <w:p w:rsidR="003900CE" w:rsidRPr="00EE667D" w:rsidRDefault="003900CE" w:rsidP="00B21ADD">
      <w:pPr>
        <w:pStyle w:val="gemAnmerkung"/>
        <w:rPr>
          <w:szCs w:val="22"/>
        </w:rPr>
      </w:pPr>
      <w:r w:rsidRPr="000201C5">
        <w:t>Die nachfolgende Spezifikation ist von der gematik allein unter technischen Gesichtspunkten erstellt worden. Im Einzelfall kann nicht ausgeschlossen werden, dass die Implementierung der Spezifikation in technische Schutzrechte Dritter eingreift. Es ist allein Sache des Anbieters oder Herstellers, durch geeignete Maßnahmen dafür Sorge zu tragen, dass von ihm aufgrund der Spezifikation angebotene Produkte und/oder Leistungen nicht gegen Schutzrechte Dritter verstoßen und sich ggf. die erforderlichen Erlaubnisse/Lizenzen von den betroffenen Schutzrechtsinhabern einzuholen. Die gematik GmbH übernimmt insofern keinerlei Gewährleistungen.</w:t>
      </w:r>
    </w:p>
    <w:p w:rsidR="0098496E" w:rsidRPr="008B4C32" w:rsidRDefault="0098496E" w:rsidP="00A35EF2">
      <w:pPr>
        <w:pStyle w:val="berschrift2"/>
      </w:pPr>
      <w:bookmarkStart w:id="43" w:name="_Toc126455653"/>
      <w:bookmarkStart w:id="44" w:name="_Toc126575052"/>
      <w:bookmarkStart w:id="45" w:name="_Toc126575295"/>
      <w:bookmarkStart w:id="46" w:name="_Toc175538632"/>
      <w:bookmarkStart w:id="47" w:name="_Toc175543303"/>
      <w:bookmarkStart w:id="48" w:name="_Toc175547564"/>
      <w:bookmarkStart w:id="49" w:name="_Toc501701463"/>
      <w:bookmarkEnd w:id="37"/>
      <w:bookmarkEnd w:id="38"/>
      <w:bookmarkEnd w:id="39"/>
      <w:bookmarkEnd w:id="40"/>
      <w:bookmarkEnd w:id="41"/>
      <w:bookmarkEnd w:id="42"/>
      <w:r w:rsidRPr="008B4C32">
        <w:t>Abgrenzung</w:t>
      </w:r>
      <w:bookmarkEnd w:id="43"/>
      <w:bookmarkEnd w:id="44"/>
      <w:bookmarkEnd w:id="45"/>
      <w:bookmarkEnd w:id="46"/>
      <w:bookmarkEnd w:id="47"/>
      <w:bookmarkEnd w:id="48"/>
      <w:r w:rsidR="00B8381E" w:rsidRPr="008B4C32">
        <w:t>en</w:t>
      </w:r>
      <w:bookmarkEnd w:id="49"/>
    </w:p>
    <w:p w:rsidR="000D3337" w:rsidRDefault="000D3337" w:rsidP="00B21ADD">
      <w:pPr>
        <w:pStyle w:val="gemStandard"/>
      </w:pPr>
      <w:bookmarkStart w:id="50" w:name="_Toc126575053"/>
      <w:bookmarkStart w:id="51" w:name="_Toc126575296"/>
      <w:bookmarkStart w:id="52" w:name="_Toc175538633"/>
      <w:bookmarkStart w:id="53" w:name="_Toc175543304"/>
      <w:bookmarkStart w:id="54" w:name="_Toc175547565"/>
      <w:r>
        <w:t>Die Anforderungen dieses Dokumentes richten sich nicht an Anbieter betrieblicher Leistungen von Produkten der TI oder weiterer Anwendungen.</w:t>
      </w:r>
    </w:p>
    <w:p w:rsidR="0032563C" w:rsidRDefault="0032563C" w:rsidP="00B21ADD">
      <w:pPr>
        <w:pStyle w:val="gemStandard"/>
      </w:pPr>
      <w:r w:rsidRPr="00C22CF3">
        <w:t xml:space="preserve">Spezifische </w:t>
      </w:r>
      <w:r>
        <w:t>Datenschutz- und Sicherheitsa</w:t>
      </w:r>
      <w:r w:rsidRPr="00C22CF3">
        <w:t>nforderungen für einzelne Produkttypen sind in</w:t>
      </w:r>
      <w:r>
        <w:t xml:space="preserve"> den jeweiligen Spezifikationen </w:t>
      </w:r>
      <w:r w:rsidRPr="00C22CF3">
        <w:t>de</w:t>
      </w:r>
      <w:r>
        <w:t>s</w:t>
      </w:r>
      <w:r w:rsidRPr="00C22CF3">
        <w:t xml:space="preserve"> </w:t>
      </w:r>
      <w:r>
        <w:t>Produkttyps</w:t>
      </w:r>
      <w:r w:rsidRPr="00C22CF3">
        <w:t xml:space="preserve"> festgelegt.</w:t>
      </w:r>
    </w:p>
    <w:p w:rsidR="00C22CF3" w:rsidRDefault="0032563C" w:rsidP="00B21ADD">
      <w:pPr>
        <w:pStyle w:val="gemStandard"/>
      </w:pPr>
      <w:r>
        <w:t xml:space="preserve">Übergreifende Anforderungen an die Verwendung kryptographischer Algorithmen in der </w:t>
      </w:r>
      <w:proofErr w:type="spellStart"/>
      <w:r>
        <w:t>Telematikinfrastruktur</w:t>
      </w:r>
      <w:proofErr w:type="spellEnd"/>
      <w:r>
        <w:t xml:space="preserve"> sind in [</w:t>
      </w:r>
      <w:proofErr w:type="spellStart"/>
      <w:r>
        <w:t>gemSpec_Krypt</w:t>
      </w:r>
      <w:proofErr w:type="spellEnd"/>
      <w:r>
        <w:t>] festgelegt.</w:t>
      </w:r>
    </w:p>
    <w:p w:rsidR="001705FD" w:rsidRPr="008B4C32" w:rsidRDefault="001705FD" w:rsidP="00A35EF2">
      <w:pPr>
        <w:pStyle w:val="berschrift2"/>
      </w:pPr>
      <w:bookmarkStart w:id="55" w:name="_Toc501701464"/>
      <w:r w:rsidRPr="008B4C32">
        <w:t>Methodik</w:t>
      </w:r>
      <w:bookmarkEnd w:id="55"/>
    </w:p>
    <w:p w:rsidR="00F91511" w:rsidRDefault="00F91511" w:rsidP="00B21ADD">
      <w:pPr>
        <w:pStyle w:val="gemStandard"/>
      </w:pPr>
      <w:bookmarkStart w:id="56" w:name="_Toc244580815"/>
      <w:r>
        <w:t xml:space="preserve">Anforderungen als Ausdruck normativer Festlegungen werden durch eine eindeutige ID in eckigen Klammern sowie die dem RFC 2119 [RFC2119] entsprechenden, in Großbuchstaben geschriebenen deutschen Schlüsselworte MUSS, DARF NICHT, SOLL, SOLL NICHT, KANN gekennzeichnet. </w:t>
      </w:r>
    </w:p>
    <w:p w:rsidR="00F91511" w:rsidRPr="00F91511" w:rsidRDefault="00F91511" w:rsidP="00B21ADD">
      <w:r w:rsidRPr="00F91511">
        <w:t>Sie werden im Dokument wie folgt dargestellt:</w:t>
      </w:r>
    </w:p>
    <w:p w:rsidR="00F91511" w:rsidRPr="00B21ADD" w:rsidRDefault="00F91511" w:rsidP="00B21ADD">
      <w:pPr>
        <w:pStyle w:val="gemStandard"/>
        <w:rPr>
          <w:b/>
        </w:rPr>
      </w:pPr>
      <w:r w:rsidRPr="00B21ADD">
        <w:rPr>
          <w:b/>
        </w:rPr>
        <w:sym w:font="Wingdings" w:char="F0D6"/>
      </w:r>
      <w:r w:rsidRPr="00B21ADD">
        <w:rPr>
          <w:b/>
        </w:rPr>
        <w:tab/>
        <w:t xml:space="preserve">gemxxxxxx_AFO_0000 &lt;Titel der </w:t>
      </w:r>
      <w:proofErr w:type="spellStart"/>
      <w:r w:rsidRPr="00B21ADD">
        <w:rPr>
          <w:b/>
        </w:rPr>
        <w:t>Afo</w:t>
      </w:r>
      <w:proofErr w:type="spellEnd"/>
      <w:r w:rsidRPr="00B21ADD">
        <w:rPr>
          <w:b/>
        </w:rPr>
        <w:t>&gt;</w:t>
      </w:r>
    </w:p>
    <w:p w:rsidR="00A35EF2" w:rsidRDefault="00F91511" w:rsidP="00A35EF2">
      <w:pPr>
        <w:pStyle w:val="gemStandard"/>
        <w:rPr>
          <w:b/>
        </w:rPr>
      </w:pPr>
      <w:r>
        <w:t>Text</w:t>
      </w:r>
      <w:r w:rsidR="00D53EC5">
        <w:t>/</w:t>
      </w:r>
      <w:r>
        <w:t>Beschreibung</w:t>
      </w:r>
    </w:p>
    <w:p w:rsidR="00F91511" w:rsidRPr="00A35EF2" w:rsidRDefault="00A35EF2" w:rsidP="00A35EF2">
      <w:pPr>
        <w:pStyle w:val="gemStandard"/>
      </w:pPr>
      <w:r>
        <w:rPr>
          <w:b/>
        </w:rPr>
        <w:sym w:font="Wingdings" w:char="F0D5"/>
      </w:r>
    </w:p>
    <w:p w:rsidR="004F7855" w:rsidRDefault="004F7855" w:rsidP="00B21ADD">
      <w:pPr>
        <w:pStyle w:val="gemStandard"/>
      </w:pPr>
      <w:r>
        <w:t>Dabei umfasst die Anforderung sämtliche innerhalb der Textmarken angeführten Inhalte.</w:t>
      </w:r>
    </w:p>
    <w:p w:rsidR="00A35EF2" w:rsidRDefault="00A35EF2" w:rsidP="00A35EF2">
      <w:pPr>
        <w:pStyle w:val="berschrift1"/>
        <w:sectPr w:rsidR="00A35EF2" w:rsidSect="001A3C0E">
          <w:headerReference w:type="even" r:id="rId13"/>
          <w:pgSz w:w="11906" w:h="16838" w:code="9"/>
          <w:pgMar w:top="1916" w:right="1418" w:bottom="1134" w:left="1701" w:header="539" w:footer="437" w:gutter="0"/>
          <w:cols w:space="708"/>
          <w:docGrid w:linePitch="360"/>
        </w:sectPr>
      </w:pPr>
      <w:bookmarkStart w:id="57" w:name="_Toc59868037"/>
      <w:bookmarkEnd w:id="11"/>
      <w:bookmarkEnd w:id="50"/>
      <w:bookmarkEnd w:id="51"/>
      <w:bookmarkEnd w:id="52"/>
      <w:bookmarkEnd w:id="53"/>
      <w:bookmarkEnd w:id="54"/>
      <w:bookmarkEnd w:id="56"/>
    </w:p>
    <w:p w:rsidR="008E2246" w:rsidRDefault="00874EDC" w:rsidP="00A35EF2">
      <w:pPr>
        <w:pStyle w:val="berschrift1"/>
      </w:pPr>
      <w:bookmarkStart w:id="58" w:name="_Toc501701465"/>
      <w:r>
        <w:t>Module der Informationssicherheit</w:t>
      </w:r>
      <w:bookmarkEnd w:id="58"/>
    </w:p>
    <w:p w:rsidR="00874EDC" w:rsidRDefault="00F01A02" w:rsidP="00B21ADD">
      <w:pPr>
        <w:pStyle w:val="gemStandard"/>
      </w:pPr>
      <w:r>
        <w:t>Dieses Dokument enthält</w:t>
      </w:r>
      <w:r w:rsidR="00B21ADD">
        <w:t xml:space="preserve">, wie eingangs erwähnt, </w:t>
      </w:r>
      <w:r w:rsidR="00F101B2">
        <w:t xml:space="preserve">Datenschutz- und </w:t>
      </w:r>
      <w:r>
        <w:t>Sicherheitsanforderunge</w:t>
      </w:r>
      <w:r w:rsidR="00AA4307">
        <w:t>n a</w:t>
      </w:r>
      <w:r>
        <w:t>n</w:t>
      </w:r>
      <w:r w:rsidR="00AA4307">
        <w:t xml:space="preserve"> </w:t>
      </w:r>
      <w:r w:rsidR="00817EF5">
        <w:t xml:space="preserve">Hersteller von </w:t>
      </w:r>
      <w:r w:rsidR="00A71C58">
        <w:t xml:space="preserve">Produkten </w:t>
      </w:r>
      <w:r w:rsidR="00817EF5">
        <w:t xml:space="preserve">der </w:t>
      </w:r>
      <w:proofErr w:type="spellStart"/>
      <w:r w:rsidR="00273F1E" w:rsidRPr="00C22CF3">
        <w:t>Telematikinfrastruktur</w:t>
      </w:r>
      <w:proofErr w:type="spellEnd"/>
      <w:r w:rsidR="00874EDC">
        <w:t>, für die eine Produktzulassung vorgesehen ist</w:t>
      </w:r>
      <w:r w:rsidR="00273F1E">
        <w:t>.</w:t>
      </w:r>
      <w:r w:rsidR="00CD5DEE">
        <w:t xml:space="preserve"> </w:t>
      </w:r>
      <w:r w:rsidR="00874EDC">
        <w:t>Die</w:t>
      </w:r>
      <w:r w:rsidR="00CD5DEE">
        <w:t>se</w:t>
      </w:r>
      <w:r w:rsidR="00874EDC">
        <w:t xml:space="preserve"> Anforderungen sind in Module </w:t>
      </w:r>
      <w:r w:rsidR="00CD5DEE">
        <w:t>aufgeteilt</w:t>
      </w:r>
      <w:r w:rsidR="00874EDC">
        <w:t xml:space="preserve">. Jede Anforderung </w:t>
      </w:r>
      <w:r w:rsidR="00CD5DEE">
        <w:t>gehört somit</w:t>
      </w:r>
      <w:r w:rsidR="00874EDC">
        <w:t xml:space="preserve"> </w:t>
      </w:r>
      <w:r w:rsidR="00CD5DEE">
        <w:t>zu</w:t>
      </w:r>
      <w:r w:rsidR="00F101B2">
        <w:t xml:space="preserve"> </w:t>
      </w:r>
      <w:r w:rsidR="00874EDC">
        <w:t>genau einem Modul</w:t>
      </w:r>
      <w:r w:rsidR="00CD5DEE">
        <w:t xml:space="preserve">. Die </w:t>
      </w:r>
      <w:r w:rsidR="00874EDC">
        <w:t xml:space="preserve">Module werden </w:t>
      </w:r>
      <w:r w:rsidR="00CD5DEE">
        <w:t xml:space="preserve">anschließend </w:t>
      </w:r>
      <w:r w:rsidR="00874EDC">
        <w:t>Herstellern zugeordnet (siehe</w:t>
      </w:r>
      <w:r w:rsidR="00CD5DEE">
        <w:t xml:space="preserve"> auch</w:t>
      </w:r>
      <w:r w:rsidR="00874EDC">
        <w:t xml:space="preserve"> </w:t>
      </w:r>
      <w:r w:rsidR="00874EDC">
        <w:fldChar w:fldCharType="begin"/>
      </w:r>
      <w:r w:rsidR="00874EDC">
        <w:instrText xml:space="preserve"> REF _Ref489284453 \h </w:instrText>
      </w:r>
      <w:r w:rsidR="00874EDC">
        <w:fldChar w:fldCharType="separate"/>
      </w:r>
      <w:r w:rsidR="00195170">
        <w:t xml:space="preserve">Abbildung </w:t>
      </w:r>
      <w:r w:rsidR="00195170">
        <w:rPr>
          <w:noProof/>
        </w:rPr>
        <w:t>1</w:t>
      </w:r>
      <w:r w:rsidR="00874EDC">
        <w:fldChar w:fldCharType="end"/>
      </w:r>
      <w:r w:rsidR="00874EDC">
        <w:t xml:space="preserve">). Ist ein Modul einem Hersteller zugeordnet, muss dieser alle Anforderungen des </w:t>
      </w:r>
      <w:r w:rsidR="00CD5DEE">
        <w:t xml:space="preserve">jeweiligen </w:t>
      </w:r>
      <w:r w:rsidR="00874EDC">
        <w:t xml:space="preserve">Moduls umsetzen. </w:t>
      </w:r>
    </w:p>
    <w:p w:rsidR="00874EDC" w:rsidRDefault="00874EDC" w:rsidP="00B21ADD">
      <w:pPr>
        <w:pStyle w:val="gemStandard"/>
        <w:jc w:val="center"/>
      </w:pPr>
      <w:r>
        <w:rPr>
          <w:noProof/>
        </w:rPr>
        <w:drawing>
          <wp:inline distT="0" distB="0" distL="0" distR="0" wp14:anchorId="0754750E" wp14:editId="4E1B5E7F">
            <wp:extent cx="4956175" cy="2438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6175" cy="2438400"/>
                    </a:xfrm>
                    <a:prstGeom prst="rect">
                      <a:avLst/>
                    </a:prstGeom>
                    <a:noFill/>
                  </pic:spPr>
                </pic:pic>
              </a:graphicData>
            </a:graphic>
          </wp:inline>
        </w:drawing>
      </w:r>
    </w:p>
    <w:p w:rsidR="00273F1E" w:rsidRDefault="00874EDC" w:rsidP="00A35EF2">
      <w:pPr>
        <w:pStyle w:val="Beschriftung"/>
        <w:jc w:val="center"/>
      </w:pPr>
      <w:bookmarkStart w:id="59" w:name="_Ref489284453"/>
      <w:bookmarkStart w:id="60" w:name="_Toc490485003"/>
      <w:r>
        <w:t xml:space="preserve">Abbildung </w:t>
      </w:r>
      <w:fldSimple w:instr=" SEQ Abbildung \* ARABIC ">
        <w:r w:rsidR="00195170">
          <w:rPr>
            <w:noProof/>
          </w:rPr>
          <w:t>1</w:t>
        </w:r>
      </w:fldSimple>
      <w:bookmarkEnd w:id="59"/>
      <w:r>
        <w:t xml:space="preserve"> </w:t>
      </w:r>
      <w:r w:rsidR="00B21ADD">
        <w:t>–</w:t>
      </w:r>
      <w:r w:rsidR="00D53EC5">
        <w:t xml:space="preserve"> </w:t>
      </w:r>
      <w:r>
        <w:t>Anforderungen, Module und Hersteller</w:t>
      </w:r>
      <w:bookmarkEnd w:id="60"/>
    </w:p>
    <w:p w:rsidR="002A4C6E" w:rsidRDefault="00874EDC" w:rsidP="00B21ADD">
      <w:pPr>
        <w:pStyle w:val="gemStandard"/>
      </w:pPr>
      <w:r>
        <w:fldChar w:fldCharType="begin"/>
      </w:r>
      <w:r>
        <w:instrText xml:space="preserve"> REF _Ref489284553 \h </w:instrText>
      </w:r>
      <w:r>
        <w:fldChar w:fldCharType="separate"/>
      </w:r>
      <w:r w:rsidR="00195170">
        <w:t xml:space="preserve">Abbildung </w:t>
      </w:r>
      <w:r w:rsidR="00195170">
        <w:rPr>
          <w:noProof/>
        </w:rPr>
        <w:t>2</w:t>
      </w:r>
      <w:r>
        <w:fldChar w:fldCharType="end"/>
      </w:r>
      <w:r>
        <w:t xml:space="preserve"> zeigt die Module für Hersteller im Überblick.</w:t>
      </w:r>
      <w:r w:rsidR="009D6CD4">
        <w:t xml:space="preserve"> Das Modul „Hersteller dezentrale</w:t>
      </w:r>
      <w:r w:rsidR="00CD5DEE">
        <w:t>r</w:t>
      </w:r>
      <w:r w:rsidR="009D6CD4">
        <w:t xml:space="preserve"> Produkte“ ist nur für Hersteller von dezentralen Produkten der TI relevant. Das Modul „Referenz- und Testumgebung“</w:t>
      </w:r>
      <w:r w:rsidR="00CD5DEE">
        <w:t xml:space="preserve"> hingegen</w:t>
      </w:r>
      <w:r w:rsidR="009D6CD4">
        <w:t xml:space="preserve"> ist von allen Herstellen von Produkten der TI (dezentral und zentral) umzusetzen. </w:t>
      </w:r>
    </w:p>
    <w:p w:rsidR="00874EDC" w:rsidRDefault="00874EDC" w:rsidP="00B21ADD">
      <w:pPr>
        <w:pStyle w:val="gemStandard"/>
      </w:pPr>
      <w:r>
        <w:t>Die Anforderungen d</w:t>
      </w:r>
      <w:r w:rsidR="00CD5DEE">
        <w:t>ies</w:t>
      </w:r>
      <w:r>
        <w:t xml:space="preserve">er Module sind in den </w:t>
      </w:r>
      <w:r w:rsidR="009D6CD4">
        <w:t>Abschnitten</w:t>
      </w:r>
      <w:r>
        <w:t xml:space="preserve"> </w:t>
      </w:r>
      <w:r w:rsidR="00B600F8">
        <w:fldChar w:fldCharType="begin"/>
      </w:r>
      <w:r w:rsidR="00B600F8">
        <w:instrText xml:space="preserve"> REF _Ref489285185 \r \h </w:instrText>
      </w:r>
      <w:r w:rsidR="00B600F8">
        <w:fldChar w:fldCharType="separate"/>
      </w:r>
      <w:r w:rsidR="00195170">
        <w:t>2.1</w:t>
      </w:r>
      <w:r w:rsidR="00B600F8">
        <w:fldChar w:fldCharType="end"/>
      </w:r>
      <w:r w:rsidR="00B600F8">
        <w:t xml:space="preserve"> </w:t>
      </w:r>
      <w:r>
        <w:t xml:space="preserve">und </w:t>
      </w:r>
      <w:r w:rsidR="00B600F8">
        <w:fldChar w:fldCharType="begin"/>
      </w:r>
      <w:r w:rsidR="00B600F8">
        <w:instrText xml:space="preserve"> REF _Ref489285194 \r \h </w:instrText>
      </w:r>
      <w:r w:rsidR="00B600F8">
        <w:fldChar w:fldCharType="separate"/>
      </w:r>
      <w:r w:rsidR="00195170">
        <w:t>2.2</w:t>
      </w:r>
      <w:r w:rsidR="00B600F8">
        <w:fldChar w:fldCharType="end"/>
      </w:r>
      <w:r>
        <w:t xml:space="preserve"> beschrieben.</w:t>
      </w:r>
    </w:p>
    <w:p w:rsidR="00874EDC" w:rsidRDefault="001F6478" w:rsidP="00B21ADD">
      <w:pPr>
        <w:pStyle w:val="gemStandard"/>
        <w:jc w:val="center"/>
      </w:pPr>
      <w:r>
        <w:rPr>
          <w:noProof/>
        </w:rPr>
        <w:drawing>
          <wp:inline distT="0" distB="0" distL="0" distR="0" wp14:anchorId="0B0501C3" wp14:editId="5A213E3A">
            <wp:extent cx="2944495" cy="15487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4495" cy="1548765"/>
                    </a:xfrm>
                    <a:prstGeom prst="rect">
                      <a:avLst/>
                    </a:prstGeom>
                    <a:noFill/>
                  </pic:spPr>
                </pic:pic>
              </a:graphicData>
            </a:graphic>
          </wp:inline>
        </w:drawing>
      </w:r>
    </w:p>
    <w:p w:rsidR="00874EDC" w:rsidRDefault="00874EDC" w:rsidP="00A35EF2">
      <w:pPr>
        <w:pStyle w:val="Beschriftung"/>
        <w:jc w:val="center"/>
      </w:pPr>
      <w:bookmarkStart w:id="61" w:name="_Ref489284553"/>
      <w:bookmarkStart w:id="62" w:name="_Toc490485004"/>
      <w:r>
        <w:t xml:space="preserve">Abbildung </w:t>
      </w:r>
      <w:fldSimple w:instr=" SEQ Abbildung \* ARABIC ">
        <w:r w:rsidR="00195170">
          <w:rPr>
            <w:noProof/>
          </w:rPr>
          <w:t>2</w:t>
        </w:r>
      </w:fldSimple>
      <w:bookmarkEnd w:id="61"/>
      <w:r w:rsidR="00B21ADD">
        <w:t xml:space="preserve"> –</w:t>
      </w:r>
      <w:r>
        <w:t xml:space="preserve"> Modulübersicht für Herstellermodule</w:t>
      </w:r>
      <w:bookmarkEnd w:id="62"/>
    </w:p>
    <w:p w:rsidR="00874EDC" w:rsidRDefault="00874EDC" w:rsidP="00B21ADD"/>
    <w:p w:rsidR="00874EDC" w:rsidRDefault="00874EDC" w:rsidP="00A35EF2">
      <w:pPr>
        <w:pStyle w:val="berschrift2"/>
      </w:pPr>
      <w:bookmarkStart w:id="63" w:name="_Ref489285185"/>
      <w:bookmarkStart w:id="64" w:name="_Toc501701466"/>
      <w:r>
        <w:t>Modul „Hersteller</w:t>
      </w:r>
      <w:r w:rsidR="009D6CD4">
        <w:t xml:space="preserve"> dezentrale</w:t>
      </w:r>
      <w:r w:rsidR="001F6478">
        <w:t>r</w:t>
      </w:r>
      <w:r w:rsidR="009D6CD4">
        <w:t xml:space="preserve"> Produkte</w:t>
      </w:r>
      <w:r>
        <w:t>“</w:t>
      </w:r>
      <w:bookmarkEnd w:id="63"/>
      <w:bookmarkEnd w:id="64"/>
    </w:p>
    <w:p w:rsidR="009D6CD4" w:rsidRPr="009D6CD4" w:rsidRDefault="009D6CD4" w:rsidP="00B21ADD">
      <w:pPr>
        <w:pStyle w:val="gemStandard"/>
      </w:pPr>
      <w:r>
        <w:t>Die Anforderungen dieses Moduls sind von Herstellern dezentraler Produkte der TI (z.</w:t>
      </w:r>
      <w:r w:rsidR="00CD5DEE">
        <w:t> </w:t>
      </w:r>
      <w:r>
        <w:t>B. Konnektoren) umzusetzen.</w:t>
      </w:r>
    </w:p>
    <w:p w:rsidR="00606899" w:rsidRPr="00A74755" w:rsidRDefault="00606899" w:rsidP="00B21ADD">
      <w:pPr>
        <w:pStyle w:val="gemStandardfett"/>
        <w:rPr>
          <w:lang w:eastAsia="ja-JP"/>
        </w:rPr>
      </w:pPr>
      <w:r w:rsidRPr="00A74755">
        <w:sym w:font="Wingdings" w:char="F0D6"/>
      </w:r>
      <w:r w:rsidRPr="00A74755">
        <w:tab/>
      </w:r>
      <w:r w:rsidRPr="00A74755">
        <w:rPr>
          <w:rFonts w:hint="eastAsia"/>
          <w:lang w:eastAsia="ja-JP"/>
        </w:rPr>
        <w:t>GS-A_2524</w:t>
      </w:r>
      <w:r w:rsidRPr="00A74755">
        <w:rPr>
          <w:lang w:eastAsia="ja-JP"/>
        </w:rPr>
        <w:t xml:space="preserve"> </w:t>
      </w:r>
      <w:r w:rsidRPr="00A74755">
        <w:t>Produktunterstützung: Nutzung des Problem-Management-Pro</w:t>
      </w:r>
      <w:r w:rsidRPr="00A74755">
        <w:softHyphen/>
        <w:t>zesses</w:t>
      </w:r>
    </w:p>
    <w:p w:rsidR="00A35EF2" w:rsidRDefault="00606899" w:rsidP="00B21ADD">
      <w:pPr>
        <w:pStyle w:val="gemEinzug"/>
        <w:rPr>
          <w:b/>
        </w:rPr>
      </w:pPr>
      <w:r w:rsidRPr="00A74755">
        <w:rPr>
          <w:lang w:eastAsia="ja-JP"/>
        </w:rPr>
        <w:t xml:space="preserve">Hersteller von </w:t>
      </w:r>
      <w:r w:rsidR="00A71C58">
        <w:rPr>
          <w:lang w:eastAsia="ja-JP"/>
        </w:rPr>
        <w:t xml:space="preserve">dezentralen </w:t>
      </w:r>
      <w:r w:rsidR="00BE5DAB">
        <w:rPr>
          <w:lang w:eastAsia="ja-JP"/>
        </w:rPr>
        <w:t>Produkten</w:t>
      </w:r>
      <w:r w:rsidRPr="00A74755">
        <w:rPr>
          <w:lang w:eastAsia="ja-JP"/>
        </w:rPr>
        <w:t xml:space="preserve"> der TI MÜSSEN im Rahmen der Produktunterstützung den in den „Übergreifenden Richtlinien zum Betrieb der TI“ [</w:t>
      </w:r>
      <w:proofErr w:type="spellStart"/>
      <w:r w:rsidRPr="00A74755">
        <w:rPr>
          <w:lang w:eastAsia="ja-JP"/>
        </w:rPr>
        <w:t>gemRL_Betr_TI</w:t>
      </w:r>
      <w:proofErr w:type="spellEnd"/>
      <w:r w:rsidRPr="00A74755">
        <w:rPr>
          <w:lang w:eastAsia="ja-JP"/>
        </w:rPr>
        <w:t>] fest</w:t>
      </w:r>
      <w:r w:rsidRPr="00A74755">
        <w:rPr>
          <w:lang w:eastAsia="ja-JP"/>
        </w:rPr>
        <w:softHyphen/>
        <w:t>ge</w:t>
      </w:r>
      <w:r w:rsidRPr="00A74755">
        <w:rPr>
          <w:lang w:eastAsia="ja-JP"/>
        </w:rPr>
        <w:softHyphen/>
        <w:t xml:space="preserve">legten Problem-Management-Prozess nutzen, um Schwachstellen an </w:t>
      </w:r>
      <w:r w:rsidR="00086A88">
        <w:rPr>
          <w:lang w:eastAsia="ja-JP"/>
        </w:rPr>
        <w:t xml:space="preserve">die gematik </w:t>
      </w:r>
      <w:r w:rsidRPr="00A74755">
        <w:rPr>
          <w:lang w:eastAsia="ja-JP"/>
        </w:rPr>
        <w:t>zu melden.</w:t>
      </w:r>
      <w:r w:rsidRPr="00A74755">
        <w:rPr>
          <w:b/>
        </w:rPr>
        <w:t xml:space="preserve"> </w:t>
      </w:r>
    </w:p>
    <w:p w:rsidR="00606899" w:rsidRPr="00A35EF2" w:rsidRDefault="00A35EF2" w:rsidP="00A35EF2">
      <w:pPr>
        <w:pStyle w:val="gemStandard"/>
      </w:pPr>
      <w:r>
        <w:rPr>
          <w:b/>
        </w:rPr>
        <w:sym w:font="Wingdings" w:char="F0D5"/>
      </w:r>
    </w:p>
    <w:p w:rsidR="00E17D92" w:rsidRPr="00A74755" w:rsidRDefault="00E17D92" w:rsidP="00B21ADD">
      <w:pPr>
        <w:pStyle w:val="gemStandardfett"/>
        <w:rPr>
          <w:lang w:eastAsia="ja-JP"/>
        </w:rPr>
      </w:pPr>
      <w:r w:rsidRPr="00A74755">
        <w:sym w:font="Wingdings" w:char="F0D6"/>
      </w:r>
      <w:r w:rsidRPr="00A74755">
        <w:tab/>
      </w:r>
      <w:r w:rsidRPr="00A74755">
        <w:rPr>
          <w:rFonts w:hint="eastAsia"/>
          <w:lang w:eastAsia="ja-JP"/>
        </w:rPr>
        <w:t>GS-A_2</w:t>
      </w:r>
      <w:r>
        <w:rPr>
          <w:lang w:eastAsia="ja-JP"/>
        </w:rPr>
        <w:t>330</w:t>
      </w:r>
      <w:r w:rsidR="00B72A8E">
        <w:rPr>
          <w:lang w:eastAsia="ja-JP"/>
        </w:rPr>
        <w:t>_2</w:t>
      </w:r>
      <w:r w:rsidRPr="00A74755">
        <w:rPr>
          <w:lang w:eastAsia="ja-JP"/>
        </w:rPr>
        <w:t xml:space="preserve"> </w:t>
      </w:r>
      <w:r w:rsidRPr="00A74755">
        <w:t xml:space="preserve">Hersteller: </w:t>
      </w:r>
      <w:r w:rsidRPr="00AA4734">
        <w:t>Schwachstellen-Management</w:t>
      </w:r>
    </w:p>
    <w:p w:rsidR="00A35EF2" w:rsidRDefault="00E17D92" w:rsidP="00B21ADD">
      <w:pPr>
        <w:pStyle w:val="gemEinzug"/>
        <w:rPr>
          <w:b/>
        </w:rPr>
      </w:pPr>
      <w:r>
        <w:t xml:space="preserve">Hersteller von </w:t>
      </w:r>
      <w:r w:rsidR="00A71C58">
        <w:rPr>
          <w:lang w:eastAsia="ja-JP"/>
        </w:rPr>
        <w:t>dezentralen</w:t>
      </w:r>
      <w:r w:rsidR="00A71C58">
        <w:t xml:space="preserve"> </w:t>
      </w:r>
      <w:r>
        <w:t>Produkten der TI MÜSSEN präventive Maßnahmen zur Erkennung und Analyse von technischen Hard- oder Softwareschwachstellen („</w:t>
      </w:r>
      <w:proofErr w:type="spellStart"/>
      <w:r>
        <w:t>vulnerabilities</w:t>
      </w:r>
      <w:proofErr w:type="spellEnd"/>
      <w:r>
        <w:t>“) ihres Produktes wie auch zur Bewertung und Implementierung von Sicherheitsupdates durchführen.</w:t>
      </w:r>
      <w:r w:rsidRPr="005B52CF">
        <w:t xml:space="preserve"> </w:t>
      </w:r>
      <w:commentRangeStart w:id="65"/>
      <w:r w:rsidR="005B52CF" w:rsidRPr="005B52CF">
        <w:t xml:space="preserve">Hierzu gehört insbesondere auch, dass </w:t>
      </w:r>
      <w:r w:rsidR="005B52CF">
        <w:t>sich der Hersteller aktiv und kontinuierlich über Schwachstellen in e</w:t>
      </w:r>
      <w:r w:rsidR="005B52CF" w:rsidRPr="005B52CF">
        <w:t xml:space="preserve">ingesetzten Hard- und Softwarekomponenten </w:t>
      </w:r>
      <w:r w:rsidR="005B52CF">
        <w:t>von Dritten informiert</w:t>
      </w:r>
      <w:r w:rsidR="005B52CF" w:rsidRPr="005B52CF">
        <w:t>.</w:t>
      </w:r>
      <w:r w:rsidR="005B52CF">
        <w:rPr>
          <w:b/>
        </w:rPr>
        <w:t xml:space="preserve"> </w:t>
      </w:r>
      <w:r w:rsidR="00086A88" w:rsidRPr="00086A88">
        <w:t>Dies ist auch für Anteile des Produktes sicherzustellen, die von Drittherstellern stammen.</w:t>
      </w:r>
      <w:commentRangeEnd w:id="65"/>
      <w:r w:rsidR="009A1014">
        <w:rPr>
          <w:rStyle w:val="Kommentarzeichen"/>
        </w:rPr>
        <w:commentReference w:id="65"/>
      </w:r>
    </w:p>
    <w:p w:rsidR="00E17D92" w:rsidRPr="00A35EF2" w:rsidRDefault="00A35EF2" w:rsidP="00A35EF2">
      <w:pPr>
        <w:pStyle w:val="gemStandard"/>
      </w:pPr>
      <w:r>
        <w:rPr>
          <w:b/>
        </w:rPr>
        <w:sym w:font="Wingdings" w:char="F0D5"/>
      </w:r>
    </w:p>
    <w:p w:rsidR="00606899" w:rsidRPr="00A74755" w:rsidRDefault="00606899" w:rsidP="00B21ADD">
      <w:pPr>
        <w:pStyle w:val="gemStandardfett"/>
        <w:rPr>
          <w:lang w:eastAsia="ja-JP"/>
        </w:rPr>
      </w:pPr>
      <w:r w:rsidRPr="00A74755">
        <w:sym w:font="Wingdings" w:char="F0D6"/>
      </w:r>
      <w:r w:rsidRPr="00A74755">
        <w:tab/>
      </w:r>
      <w:r w:rsidRPr="00A74755">
        <w:rPr>
          <w:rFonts w:hint="eastAsia"/>
          <w:lang w:eastAsia="ja-JP"/>
        </w:rPr>
        <w:t>GS-A_2525</w:t>
      </w:r>
      <w:r w:rsidRPr="00A74755">
        <w:rPr>
          <w:lang w:eastAsia="ja-JP"/>
        </w:rPr>
        <w:t xml:space="preserve"> </w:t>
      </w:r>
      <w:r w:rsidRPr="00A74755">
        <w:t xml:space="preserve">Hersteller: Schließen von </w:t>
      </w:r>
      <w:r w:rsidR="00E17D92">
        <w:t>Software-</w:t>
      </w:r>
      <w:r w:rsidRPr="00A74755">
        <w:t>Schwachstellen</w:t>
      </w:r>
    </w:p>
    <w:p w:rsidR="00A35EF2" w:rsidRDefault="00606899" w:rsidP="00B21ADD">
      <w:pPr>
        <w:pStyle w:val="gemEinzug"/>
        <w:rPr>
          <w:b/>
        </w:rPr>
      </w:pPr>
      <w:r w:rsidRPr="00A74755">
        <w:rPr>
          <w:lang w:eastAsia="ja-JP"/>
        </w:rPr>
        <w:t>H</w:t>
      </w:r>
      <w:r w:rsidRPr="00A74755">
        <w:rPr>
          <w:rFonts w:hint="eastAsia"/>
          <w:lang w:eastAsia="ja-JP"/>
        </w:rPr>
        <w:t xml:space="preserve">ersteller </w:t>
      </w:r>
      <w:r w:rsidRPr="00A74755">
        <w:rPr>
          <w:lang w:eastAsia="ja-JP"/>
        </w:rPr>
        <w:t xml:space="preserve">von </w:t>
      </w:r>
      <w:r w:rsidR="00A71C58">
        <w:rPr>
          <w:lang w:eastAsia="ja-JP"/>
        </w:rPr>
        <w:t>dezentralen</w:t>
      </w:r>
      <w:r w:rsidR="00A71C58" w:rsidRPr="00A74755">
        <w:rPr>
          <w:lang w:eastAsia="ja-JP"/>
        </w:rPr>
        <w:t xml:space="preserve"> </w:t>
      </w:r>
      <w:r w:rsidRPr="00A74755">
        <w:rPr>
          <w:lang w:eastAsia="ja-JP"/>
        </w:rPr>
        <w:t xml:space="preserve">Produkten der TI </w:t>
      </w:r>
      <w:r w:rsidRPr="00A74755">
        <w:rPr>
          <w:rFonts w:hint="eastAsia"/>
          <w:lang w:eastAsia="ja-JP"/>
        </w:rPr>
        <w:t xml:space="preserve">MÜSSEN die gematik </w:t>
      </w:r>
      <w:r w:rsidR="00273F1E">
        <w:rPr>
          <w:lang w:eastAsia="ja-JP"/>
        </w:rPr>
        <w:t xml:space="preserve">direkt und </w:t>
      </w:r>
      <w:r w:rsidRPr="00A74755">
        <w:rPr>
          <w:rFonts w:hint="eastAsia"/>
          <w:lang w:eastAsia="ja-JP"/>
        </w:rPr>
        <w:t>unverzüglich über neu ge</w:t>
      </w:r>
      <w:r w:rsidRPr="00A74755">
        <w:rPr>
          <w:lang w:eastAsia="ja-JP"/>
        </w:rPr>
        <w:softHyphen/>
      </w:r>
      <w:r w:rsidRPr="00A74755">
        <w:rPr>
          <w:rFonts w:hint="eastAsia"/>
          <w:lang w:eastAsia="ja-JP"/>
        </w:rPr>
        <w:t>mel</w:t>
      </w:r>
      <w:r w:rsidRPr="00A74755">
        <w:rPr>
          <w:lang w:eastAsia="ja-JP"/>
        </w:rPr>
        <w:softHyphen/>
      </w:r>
      <w:r w:rsidRPr="00A74755">
        <w:rPr>
          <w:rFonts w:hint="eastAsia"/>
          <w:lang w:eastAsia="ja-JP"/>
        </w:rPr>
        <w:t xml:space="preserve">dete </w:t>
      </w:r>
      <w:r w:rsidR="00AA4734">
        <w:rPr>
          <w:lang w:eastAsia="ja-JP"/>
        </w:rPr>
        <w:t>Software-</w:t>
      </w:r>
      <w:r w:rsidR="009A1014">
        <w:rPr>
          <w:rFonts w:hint="eastAsia"/>
          <w:lang w:eastAsia="ja-JP"/>
        </w:rPr>
        <w:t xml:space="preserve">Schwachstellen in </w:t>
      </w:r>
      <w:r w:rsidR="009A1014">
        <w:rPr>
          <w:lang w:eastAsia="ja-JP"/>
        </w:rPr>
        <w:t>i</w:t>
      </w:r>
      <w:r w:rsidRPr="00A74755">
        <w:rPr>
          <w:rFonts w:hint="eastAsia"/>
          <w:lang w:eastAsia="ja-JP"/>
        </w:rPr>
        <w:t>hren Produkten informieren und</w:t>
      </w:r>
      <w:r w:rsidR="00471F32">
        <w:rPr>
          <w:lang w:eastAsia="ja-JP"/>
        </w:rPr>
        <w:t xml:space="preserve"> unverzüglich, spätestens jedoch</w:t>
      </w:r>
      <w:r w:rsidRPr="00A74755">
        <w:rPr>
          <w:rFonts w:hint="eastAsia"/>
          <w:lang w:eastAsia="ja-JP"/>
        </w:rPr>
        <w:t xml:space="preserve"> innerhalb von 45 Tagen nach der initialen Meldung</w:t>
      </w:r>
      <w:r w:rsidR="00471F32">
        <w:rPr>
          <w:lang w:eastAsia="ja-JP"/>
        </w:rPr>
        <w:t>,</w:t>
      </w:r>
      <w:r w:rsidRPr="00A74755">
        <w:rPr>
          <w:rFonts w:hint="eastAsia"/>
          <w:lang w:eastAsia="ja-JP"/>
        </w:rPr>
        <w:t xml:space="preserve"> </w:t>
      </w:r>
      <w:r w:rsidRPr="00A74755">
        <w:rPr>
          <w:lang w:eastAsia="ja-JP"/>
        </w:rPr>
        <w:t xml:space="preserve">einen Antrag auf Zulassung </w:t>
      </w:r>
      <w:r w:rsidR="005B52CF">
        <w:rPr>
          <w:lang w:eastAsia="ja-JP"/>
        </w:rPr>
        <w:t>bzw. Erteilung einer befristeten Genehmigung g</w:t>
      </w:r>
      <w:r w:rsidR="00E36ED9">
        <w:rPr>
          <w:lang w:eastAsia="ja-JP"/>
        </w:rPr>
        <w:t>emäß § 291b Abs. 1a Satz 11 SGB </w:t>
      </w:r>
      <w:r w:rsidR="005B52CF">
        <w:rPr>
          <w:lang w:eastAsia="ja-JP"/>
        </w:rPr>
        <w:t xml:space="preserve">V </w:t>
      </w:r>
      <w:r w:rsidRPr="00A74755">
        <w:rPr>
          <w:lang w:eastAsia="ja-JP"/>
        </w:rPr>
        <w:t>unter Beistellung der neuen Version der Software bei der Zulassungsstelle der gematik einreichen</w:t>
      </w:r>
      <w:r w:rsidR="008D318D">
        <w:rPr>
          <w:lang w:eastAsia="ja-JP"/>
        </w:rPr>
        <w:t xml:space="preserve">, sofern im Einzelfall keine andere Absprache </w:t>
      </w:r>
      <w:r w:rsidR="00471F32">
        <w:rPr>
          <w:lang w:eastAsia="ja-JP"/>
        </w:rPr>
        <w:t xml:space="preserve">mit der gematik </w:t>
      </w:r>
      <w:r w:rsidR="008D318D">
        <w:rPr>
          <w:lang w:eastAsia="ja-JP"/>
        </w:rPr>
        <w:t>erfolgt.</w:t>
      </w:r>
      <w:r w:rsidRPr="00A74755">
        <w:rPr>
          <w:b/>
        </w:rPr>
        <w:t xml:space="preserve"> </w:t>
      </w:r>
    </w:p>
    <w:p w:rsidR="00606899" w:rsidRPr="00A35EF2" w:rsidRDefault="00A35EF2" w:rsidP="00A35EF2">
      <w:pPr>
        <w:pStyle w:val="gemStandard"/>
      </w:pPr>
      <w:r>
        <w:rPr>
          <w:b/>
        </w:rPr>
        <w:sym w:font="Wingdings" w:char="F0D5"/>
      </w:r>
    </w:p>
    <w:p w:rsidR="00E17D92" w:rsidRPr="00A74755" w:rsidRDefault="00E17D92" w:rsidP="00B21ADD">
      <w:pPr>
        <w:pStyle w:val="gemStandardfett"/>
        <w:rPr>
          <w:lang w:eastAsia="ja-JP"/>
        </w:rPr>
      </w:pPr>
      <w:r w:rsidRPr="00A74755">
        <w:sym w:font="Wingdings" w:char="F0D6"/>
      </w:r>
      <w:r w:rsidRPr="00A74755">
        <w:tab/>
      </w:r>
      <w:r w:rsidRPr="00A74755">
        <w:rPr>
          <w:rFonts w:hint="eastAsia"/>
          <w:lang w:eastAsia="ja-JP"/>
        </w:rPr>
        <w:t>GS-A_2525</w:t>
      </w:r>
      <w:r w:rsidR="0033427A">
        <w:rPr>
          <w:lang w:eastAsia="ja-JP"/>
        </w:rPr>
        <w:t>_2</w:t>
      </w:r>
      <w:r w:rsidRPr="00A74755">
        <w:rPr>
          <w:lang w:eastAsia="ja-JP"/>
        </w:rPr>
        <w:t xml:space="preserve"> </w:t>
      </w:r>
      <w:r w:rsidRPr="00A74755">
        <w:t xml:space="preserve">Hersteller: Schließen von </w:t>
      </w:r>
      <w:r>
        <w:t>Hardware-</w:t>
      </w:r>
      <w:r w:rsidRPr="00A74755">
        <w:t>Schwachstellen</w:t>
      </w:r>
    </w:p>
    <w:p w:rsidR="00A35EF2" w:rsidRDefault="00E17D92" w:rsidP="00B21ADD">
      <w:pPr>
        <w:pStyle w:val="gemEinzug"/>
        <w:rPr>
          <w:b/>
        </w:rPr>
      </w:pPr>
      <w:r w:rsidRPr="00A74755">
        <w:rPr>
          <w:lang w:eastAsia="ja-JP"/>
        </w:rPr>
        <w:t>H</w:t>
      </w:r>
      <w:r w:rsidRPr="00A74755">
        <w:rPr>
          <w:rFonts w:hint="eastAsia"/>
          <w:lang w:eastAsia="ja-JP"/>
        </w:rPr>
        <w:t xml:space="preserve">ersteller </w:t>
      </w:r>
      <w:r w:rsidRPr="00A74755">
        <w:rPr>
          <w:lang w:eastAsia="ja-JP"/>
        </w:rPr>
        <w:t xml:space="preserve">von </w:t>
      </w:r>
      <w:r w:rsidR="00A71C58">
        <w:rPr>
          <w:lang w:eastAsia="ja-JP"/>
        </w:rPr>
        <w:t>dezentralen</w:t>
      </w:r>
      <w:r w:rsidR="00A71C58" w:rsidRPr="00A74755">
        <w:rPr>
          <w:lang w:eastAsia="ja-JP"/>
        </w:rPr>
        <w:t xml:space="preserve"> </w:t>
      </w:r>
      <w:r w:rsidRPr="00A74755">
        <w:rPr>
          <w:lang w:eastAsia="ja-JP"/>
        </w:rPr>
        <w:t xml:space="preserve">Produkten der TI </w:t>
      </w:r>
      <w:r w:rsidRPr="00A74755">
        <w:rPr>
          <w:rFonts w:hint="eastAsia"/>
          <w:lang w:eastAsia="ja-JP"/>
        </w:rPr>
        <w:t xml:space="preserve">MÜSSEN die gematik </w:t>
      </w:r>
      <w:r w:rsidR="00273F1E">
        <w:rPr>
          <w:lang w:eastAsia="ja-JP"/>
        </w:rPr>
        <w:t xml:space="preserve">direkt und </w:t>
      </w:r>
      <w:r w:rsidRPr="00A74755">
        <w:rPr>
          <w:rFonts w:hint="eastAsia"/>
          <w:lang w:eastAsia="ja-JP"/>
        </w:rPr>
        <w:t>unverzüglich über neu ge</w:t>
      </w:r>
      <w:r w:rsidRPr="00A74755">
        <w:rPr>
          <w:lang w:eastAsia="ja-JP"/>
        </w:rPr>
        <w:softHyphen/>
      </w:r>
      <w:r w:rsidRPr="00A74755">
        <w:rPr>
          <w:rFonts w:hint="eastAsia"/>
          <w:lang w:eastAsia="ja-JP"/>
        </w:rPr>
        <w:t>mel</w:t>
      </w:r>
      <w:r w:rsidRPr="00A74755">
        <w:rPr>
          <w:lang w:eastAsia="ja-JP"/>
        </w:rPr>
        <w:softHyphen/>
      </w:r>
      <w:r w:rsidRPr="00A74755">
        <w:rPr>
          <w:rFonts w:hint="eastAsia"/>
          <w:lang w:eastAsia="ja-JP"/>
        </w:rPr>
        <w:t xml:space="preserve">dete </w:t>
      </w:r>
      <w:r>
        <w:rPr>
          <w:lang w:eastAsia="ja-JP"/>
        </w:rPr>
        <w:t>Hardware-</w:t>
      </w:r>
      <w:r w:rsidR="009A1014">
        <w:rPr>
          <w:rFonts w:hint="eastAsia"/>
          <w:lang w:eastAsia="ja-JP"/>
        </w:rPr>
        <w:t xml:space="preserve">Schwachstellen in </w:t>
      </w:r>
      <w:r w:rsidR="009A1014">
        <w:rPr>
          <w:lang w:eastAsia="ja-JP"/>
        </w:rPr>
        <w:t>i</w:t>
      </w:r>
      <w:r w:rsidRPr="00A74755">
        <w:rPr>
          <w:rFonts w:hint="eastAsia"/>
          <w:lang w:eastAsia="ja-JP"/>
        </w:rPr>
        <w:t xml:space="preserve">hren Produkten informieren und </w:t>
      </w:r>
      <w:r w:rsidR="00C40D0F">
        <w:rPr>
          <w:lang w:eastAsia="ja-JP"/>
        </w:rPr>
        <w:t>unverzüglich</w:t>
      </w:r>
      <w:r w:rsidRPr="00A74755">
        <w:rPr>
          <w:rFonts w:hint="eastAsia"/>
          <w:lang w:eastAsia="ja-JP"/>
        </w:rPr>
        <w:t xml:space="preserve"> nach der initialen Meldung </w:t>
      </w:r>
      <w:r w:rsidRPr="00A74755">
        <w:rPr>
          <w:lang w:eastAsia="ja-JP"/>
        </w:rPr>
        <w:t>einen Antrag auf Zulassung</w:t>
      </w:r>
      <w:r w:rsidR="00BA74C3">
        <w:rPr>
          <w:lang w:eastAsia="ja-JP"/>
        </w:rPr>
        <w:t xml:space="preserve"> bzw. Erteilung einer befristeten Genehmigung gemäß § 291b Abs. 1a Satz 11 SGB</w:t>
      </w:r>
      <w:r w:rsidR="009A1014">
        <w:rPr>
          <w:lang w:eastAsia="ja-JP"/>
        </w:rPr>
        <w:t> </w:t>
      </w:r>
      <w:r w:rsidR="00BA74C3">
        <w:rPr>
          <w:lang w:eastAsia="ja-JP"/>
        </w:rPr>
        <w:t>V</w:t>
      </w:r>
      <w:r w:rsidRPr="00A74755">
        <w:rPr>
          <w:lang w:eastAsia="ja-JP"/>
        </w:rPr>
        <w:t xml:space="preserve"> unter Beistellung der neuen Version der </w:t>
      </w:r>
      <w:r w:rsidR="00D75E5C">
        <w:rPr>
          <w:lang w:eastAsia="ja-JP"/>
        </w:rPr>
        <w:t>Hard</w:t>
      </w:r>
      <w:r w:rsidRPr="00A74755">
        <w:rPr>
          <w:lang w:eastAsia="ja-JP"/>
        </w:rPr>
        <w:t>ware bei der Zulassungsstelle der gematik einreichen</w:t>
      </w:r>
      <w:r w:rsidRPr="00A74755">
        <w:rPr>
          <w:rFonts w:hint="eastAsia"/>
          <w:lang w:eastAsia="ja-JP"/>
        </w:rPr>
        <w:t>.</w:t>
      </w:r>
      <w:r w:rsidRPr="00A74755">
        <w:rPr>
          <w:b/>
        </w:rPr>
        <w:t xml:space="preserve"> </w:t>
      </w:r>
    </w:p>
    <w:p w:rsidR="00E17D92" w:rsidRPr="00A35EF2" w:rsidRDefault="00A35EF2" w:rsidP="00A35EF2">
      <w:pPr>
        <w:pStyle w:val="gemStandard"/>
      </w:pPr>
      <w:r>
        <w:rPr>
          <w:b/>
        </w:rPr>
        <w:sym w:font="Wingdings" w:char="F0D5"/>
      </w:r>
    </w:p>
    <w:p w:rsidR="00606899" w:rsidRPr="00A74755" w:rsidRDefault="00606899" w:rsidP="00B21ADD">
      <w:pPr>
        <w:pStyle w:val="gemStandardfett"/>
        <w:rPr>
          <w:lang w:eastAsia="ja-JP"/>
        </w:rPr>
      </w:pPr>
      <w:r w:rsidRPr="00A74755">
        <w:sym w:font="Wingdings" w:char="F0D6"/>
      </w:r>
      <w:r w:rsidRPr="00A74755">
        <w:tab/>
      </w:r>
      <w:r w:rsidRPr="00A74755">
        <w:rPr>
          <w:rFonts w:hint="eastAsia"/>
          <w:lang w:eastAsia="ja-JP"/>
        </w:rPr>
        <w:t>GS-A_2354</w:t>
      </w:r>
      <w:r w:rsidRPr="00A74755">
        <w:rPr>
          <w:lang w:eastAsia="ja-JP"/>
        </w:rPr>
        <w:t xml:space="preserve"> </w:t>
      </w:r>
      <w:r w:rsidRPr="00A74755">
        <w:t>Produktunterstütz</w:t>
      </w:r>
      <w:r w:rsidR="00E36ED9">
        <w:t>ung mit geeigneten Sicherheitst</w:t>
      </w:r>
      <w:r w:rsidRPr="00A74755">
        <w:t>echnologien</w:t>
      </w:r>
    </w:p>
    <w:p w:rsidR="00A35EF2" w:rsidRDefault="00606899" w:rsidP="00B21ADD">
      <w:pPr>
        <w:pStyle w:val="gemEinzug"/>
        <w:rPr>
          <w:b/>
        </w:rPr>
      </w:pPr>
      <w:r w:rsidRPr="00A74755">
        <w:rPr>
          <w:rFonts w:hint="eastAsia"/>
          <w:lang w:eastAsia="ja-JP"/>
        </w:rPr>
        <w:t xml:space="preserve">Hersteller </w:t>
      </w:r>
      <w:r w:rsidRPr="00A74755">
        <w:rPr>
          <w:lang w:eastAsia="ja-JP"/>
        </w:rPr>
        <w:t xml:space="preserve">von </w:t>
      </w:r>
      <w:r w:rsidR="00A71C58">
        <w:rPr>
          <w:lang w:eastAsia="ja-JP"/>
        </w:rPr>
        <w:t>dezentralen</w:t>
      </w:r>
      <w:r w:rsidR="00A71C58" w:rsidRPr="00A74755">
        <w:rPr>
          <w:lang w:eastAsia="ja-JP"/>
        </w:rPr>
        <w:t xml:space="preserve"> </w:t>
      </w:r>
      <w:r w:rsidRPr="00A74755">
        <w:rPr>
          <w:lang w:eastAsia="ja-JP"/>
        </w:rPr>
        <w:t xml:space="preserve">Produkten der TI </w:t>
      </w:r>
      <w:r w:rsidRPr="00A74755">
        <w:rPr>
          <w:rFonts w:hint="eastAsia"/>
          <w:lang w:eastAsia="ja-JP"/>
        </w:rPr>
        <w:t>MÜSSEN eine vom koordinierenden ISM frei</w:t>
      </w:r>
      <w:r w:rsidRPr="00A74755">
        <w:rPr>
          <w:lang w:eastAsia="ja-JP"/>
        </w:rPr>
        <w:softHyphen/>
      </w:r>
      <w:r w:rsidRPr="00A74755">
        <w:rPr>
          <w:rFonts w:hint="eastAsia"/>
          <w:lang w:eastAsia="ja-JP"/>
        </w:rPr>
        <w:t>ge</w:t>
      </w:r>
      <w:r w:rsidRPr="00A74755">
        <w:rPr>
          <w:lang w:eastAsia="ja-JP"/>
        </w:rPr>
        <w:softHyphen/>
      </w:r>
      <w:r w:rsidRPr="00A74755">
        <w:rPr>
          <w:rFonts w:hint="eastAsia"/>
          <w:lang w:eastAsia="ja-JP"/>
        </w:rPr>
        <w:t xml:space="preserve">gebene Technologie zur Wahrung der Integrität, Authentizität und (wo nötig) Vertraulichkeit der Informationen zur Produktunterstützung und </w:t>
      </w:r>
      <w:proofErr w:type="spellStart"/>
      <w:r w:rsidRPr="00A74755">
        <w:rPr>
          <w:rFonts w:hint="eastAsia"/>
          <w:lang w:eastAsia="ja-JP"/>
        </w:rPr>
        <w:t>Schwachstellen</w:t>
      </w:r>
      <w:r w:rsidRPr="00A74755">
        <w:rPr>
          <w:lang w:eastAsia="ja-JP"/>
        </w:rPr>
        <w:softHyphen/>
      </w:r>
      <w:r w:rsidRPr="00A74755">
        <w:rPr>
          <w:rFonts w:hint="eastAsia"/>
          <w:lang w:eastAsia="ja-JP"/>
        </w:rPr>
        <w:t>meldung</w:t>
      </w:r>
      <w:proofErr w:type="spellEnd"/>
      <w:r w:rsidRPr="00A74755">
        <w:rPr>
          <w:rFonts w:hint="eastAsia"/>
          <w:lang w:eastAsia="ja-JP"/>
        </w:rPr>
        <w:t xml:space="preserve"> einsetzen.</w:t>
      </w:r>
      <w:r w:rsidRPr="00A74755">
        <w:rPr>
          <w:b/>
        </w:rPr>
        <w:t xml:space="preserve"> </w:t>
      </w:r>
    </w:p>
    <w:p w:rsidR="00606899" w:rsidRPr="00A35EF2" w:rsidRDefault="00A35EF2" w:rsidP="00A35EF2">
      <w:pPr>
        <w:pStyle w:val="gemStandard"/>
      </w:pPr>
      <w:r>
        <w:rPr>
          <w:b/>
        </w:rPr>
        <w:sym w:font="Wingdings" w:char="F0D5"/>
      </w:r>
    </w:p>
    <w:p w:rsidR="00606899" w:rsidRPr="00A74755" w:rsidRDefault="00606899" w:rsidP="00B21ADD">
      <w:pPr>
        <w:pStyle w:val="gemStandardfett"/>
        <w:rPr>
          <w:lang w:eastAsia="ja-JP"/>
        </w:rPr>
      </w:pPr>
      <w:r w:rsidRPr="00A74755">
        <w:sym w:font="Wingdings" w:char="F0D6"/>
      </w:r>
      <w:r w:rsidRPr="00A74755">
        <w:tab/>
      </w:r>
      <w:r w:rsidRPr="00A74755">
        <w:rPr>
          <w:rFonts w:hint="eastAsia"/>
          <w:lang w:eastAsia="ja-JP"/>
        </w:rPr>
        <w:t>GS-A_2350</w:t>
      </w:r>
      <w:r w:rsidRPr="00A74755">
        <w:rPr>
          <w:lang w:eastAsia="ja-JP"/>
        </w:rPr>
        <w:t xml:space="preserve"> </w:t>
      </w:r>
      <w:r w:rsidRPr="00A74755">
        <w:t>Produktunterstützung der Hersteller</w:t>
      </w:r>
    </w:p>
    <w:p w:rsidR="00A35EF2" w:rsidRDefault="00606899" w:rsidP="00B21ADD">
      <w:pPr>
        <w:pStyle w:val="gemEinzug"/>
        <w:rPr>
          <w:b/>
        </w:rPr>
      </w:pPr>
      <w:r w:rsidRPr="00A74755">
        <w:rPr>
          <w:rFonts w:hint="eastAsia"/>
          <w:lang w:eastAsia="ja-JP"/>
        </w:rPr>
        <w:t xml:space="preserve">Hersteller </w:t>
      </w:r>
      <w:r w:rsidRPr="00A74755">
        <w:rPr>
          <w:lang w:eastAsia="ja-JP"/>
        </w:rPr>
        <w:t xml:space="preserve">von </w:t>
      </w:r>
      <w:r w:rsidR="00A71C58">
        <w:rPr>
          <w:lang w:eastAsia="ja-JP"/>
        </w:rPr>
        <w:t>dezentralen</w:t>
      </w:r>
      <w:r w:rsidR="00A71C58" w:rsidRPr="00A74755">
        <w:rPr>
          <w:lang w:eastAsia="ja-JP"/>
        </w:rPr>
        <w:t xml:space="preserve"> </w:t>
      </w:r>
      <w:r w:rsidRPr="00A74755">
        <w:rPr>
          <w:lang w:eastAsia="ja-JP"/>
        </w:rPr>
        <w:t xml:space="preserve">Produkten der TI </w:t>
      </w:r>
      <w:r w:rsidRPr="00A74755">
        <w:rPr>
          <w:rFonts w:hint="eastAsia"/>
          <w:lang w:eastAsia="ja-JP"/>
        </w:rPr>
        <w:t xml:space="preserve">MÜSSEN </w:t>
      </w:r>
      <w:r w:rsidR="00A47291">
        <w:rPr>
          <w:lang w:eastAsia="ja-JP"/>
        </w:rPr>
        <w:t>der gematik</w:t>
      </w:r>
      <w:r w:rsidRPr="00A74755">
        <w:rPr>
          <w:rFonts w:hint="eastAsia"/>
          <w:lang w:eastAsia="ja-JP"/>
        </w:rPr>
        <w:t xml:space="preserve"> </w:t>
      </w:r>
      <w:proofErr w:type="spellStart"/>
      <w:r w:rsidRPr="00A74755">
        <w:rPr>
          <w:rFonts w:hint="eastAsia"/>
          <w:lang w:eastAsia="ja-JP"/>
        </w:rPr>
        <w:t>Supportinfor</w:t>
      </w:r>
      <w:r w:rsidRPr="00A74755">
        <w:rPr>
          <w:lang w:eastAsia="ja-JP"/>
        </w:rPr>
        <w:softHyphen/>
      </w:r>
      <w:r w:rsidRPr="00A74755">
        <w:rPr>
          <w:rFonts w:hint="eastAsia"/>
          <w:lang w:eastAsia="ja-JP"/>
        </w:rPr>
        <w:t>mationen</w:t>
      </w:r>
      <w:proofErr w:type="spellEnd"/>
      <w:r w:rsidRPr="00A74755">
        <w:rPr>
          <w:rFonts w:hint="eastAsia"/>
          <w:lang w:eastAsia="ja-JP"/>
        </w:rPr>
        <w:t xml:space="preserve">, Sicherheitswarnungen sowie Informationen zu Softwareupdates als </w:t>
      </w:r>
      <w:proofErr w:type="spellStart"/>
      <w:r w:rsidRPr="00A74755">
        <w:rPr>
          <w:rFonts w:hint="eastAsia"/>
          <w:lang w:eastAsia="ja-JP"/>
        </w:rPr>
        <w:t>Pro</w:t>
      </w:r>
      <w:r w:rsidRPr="00A74755">
        <w:rPr>
          <w:lang w:eastAsia="ja-JP"/>
        </w:rPr>
        <w:softHyphen/>
      </w:r>
      <w:r w:rsidRPr="00A74755">
        <w:rPr>
          <w:rFonts w:hint="eastAsia"/>
          <w:lang w:eastAsia="ja-JP"/>
        </w:rPr>
        <w:t>dukt</w:t>
      </w:r>
      <w:r w:rsidRPr="00A74755">
        <w:rPr>
          <w:lang w:eastAsia="ja-JP"/>
        </w:rPr>
        <w:softHyphen/>
      </w:r>
      <w:r w:rsidRPr="00A74755">
        <w:rPr>
          <w:rFonts w:hint="eastAsia"/>
          <w:lang w:eastAsia="ja-JP"/>
        </w:rPr>
        <w:t>unterstützung</w:t>
      </w:r>
      <w:proofErr w:type="spellEnd"/>
      <w:r w:rsidRPr="00A74755">
        <w:rPr>
          <w:rFonts w:hint="eastAsia"/>
          <w:lang w:eastAsia="ja-JP"/>
        </w:rPr>
        <w:t xml:space="preserve"> für von ihnen entwickelte </w:t>
      </w:r>
      <w:r w:rsidRPr="00A74755">
        <w:rPr>
          <w:lang w:eastAsia="ja-JP"/>
        </w:rPr>
        <w:t>Produkte der TI</w:t>
      </w:r>
      <w:r w:rsidRPr="00A74755">
        <w:rPr>
          <w:rFonts w:hint="eastAsia"/>
          <w:lang w:eastAsia="ja-JP"/>
        </w:rPr>
        <w:t xml:space="preserve"> zur Konsolidierung und Weiterleitung an die ISM der Beteiligten zur Verfügung stellen.</w:t>
      </w:r>
      <w:r w:rsidRPr="00A74755">
        <w:rPr>
          <w:b/>
        </w:rPr>
        <w:t xml:space="preserve"> </w:t>
      </w:r>
    </w:p>
    <w:p w:rsidR="00606899" w:rsidRPr="00A35EF2" w:rsidRDefault="00A35EF2" w:rsidP="00A35EF2">
      <w:pPr>
        <w:pStyle w:val="gemStandard"/>
      </w:pPr>
      <w:r>
        <w:rPr>
          <w:b/>
        </w:rPr>
        <w:sym w:font="Wingdings" w:char="F0D5"/>
      </w:r>
    </w:p>
    <w:p w:rsidR="00E86826" w:rsidRPr="00A74755" w:rsidRDefault="00E86826" w:rsidP="00B21ADD">
      <w:pPr>
        <w:pStyle w:val="gemStandardfett"/>
        <w:rPr>
          <w:lang w:eastAsia="ja-JP"/>
        </w:rPr>
      </w:pPr>
      <w:r w:rsidRPr="00A74755">
        <w:sym w:font="Wingdings" w:char="F0D6"/>
      </w:r>
      <w:r w:rsidRPr="00A74755">
        <w:tab/>
      </w:r>
      <w:r w:rsidRPr="00A74755">
        <w:rPr>
          <w:rFonts w:hint="eastAsia"/>
          <w:lang w:eastAsia="ja-JP"/>
        </w:rPr>
        <w:t>GS-A_</w:t>
      </w:r>
      <w:r>
        <w:rPr>
          <w:lang w:eastAsia="ja-JP"/>
        </w:rPr>
        <w:t>4944</w:t>
      </w:r>
      <w:r w:rsidRPr="00A74755">
        <w:rPr>
          <w:lang w:eastAsia="ja-JP"/>
        </w:rPr>
        <w:t xml:space="preserve"> </w:t>
      </w:r>
      <w:r w:rsidRPr="00E86826">
        <w:t>Produktentwicklung: Behebung von Sicherheitsmängeln</w:t>
      </w:r>
    </w:p>
    <w:p w:rsidR="00A35EF2" w:rsidRDefault="00E86826" w:rsidP="00B21ADD">
      <w:pPr>
        <w:pStyle w:val="gemEinzug"/>
        <w:rPr>
          <w:b/>
        </w:rPr>
      </w:pPr>
      <w:r w:rsidRPr="00A74755">
        <w:rPr>
          <w:rFonts w:hint="eastAsia"/>
          <w:lang w:eastAsia="ja-JP"/>
        </w:rPr>
        <w:t xml:space="preserve">Hersteller </w:t>
      </w:r>
      <w:r w:rsidRPr="00A74755">
        <w:rPr>
          <w:lang w:eastAsia="ja-JP"/>
        </w:rPr>
        <w:t xml:space="preserve">von </w:t>
      </w:r>
      <w:r w:rsidR="00A71C58">
        <w:rPr>
          <w:lang w:eastAsia="ja-JP"/>
        </w:rPr>
        <w:t>dezentralen</w:t>
      </w:r>
      <w:r w:rsidR="00A71C58" w:rsidRPr="00A74755">
        <w:rPr>
          <w:lang w:eastAsia="ja-JP"/>
        </w:rPr>
        <w:t xml:space="preserve"> </w:t>
      </w:r>
      <w:r w:rsidRPr="00A74755">
        <w:rPr>
          <w:lang w:eastAsia="ja-JP"/>
        </w:rPr>
        <w:t xml:space="preserve">Produkten der TI </w:t>
      </w:r>
      <w:r w:rsidRPr="00A74755">
        <w:rPr>
          <w:rFonts w:hint="eastAsia"/>
          <w:lang w:eastAsia="ja-JP"/>
        </w:rPr>
        <w:t xml:space="preserve">MÜSSEN </w:t>
      </w:r>
      <w:r w:rsidRPr="00E86826">
        <w:rPr>
          <w:lang w:eastAsia="ja-JP"/>
        </w:rPr>
        <w:t>für die von ih</w:t>
      </w:r>
      <w:r>
        <w:rPr>
          <w:lang w:eastAsia="ja-JP"/>
        </w:rPr>
        <w:t>nen</w:t>
      </w:r>
      <w:r w:rsidRPr="00E86826">
        <w:rPr>
          <w:lang w:eastAsia="ja-JP"/>
        </w:rPr>
        <w:t xml:space="preserve"> angebotenen Produkte der TI gewährleisten, dass technisch-organisatorische Verfahren zur Behebung von Sicherheitsmängeln in den Produkten während der Zeit des Einsatzes in der TI vorgehalten werden. Dies beinhaltet das kontinuierliche Aufspüren (</w:t>
      </w:r>
      <w:proofErr w:type="spellStart"/>
      <w:r w:rsidRPr="00E86826">
        <w:rPr>
          <w:lang w:eastAsia="ja-JP"/>
        </w:rPr>
        <w:t>bug</w:t>
      </w:r>
      <w:proofErr w:type="spellEnd"/>
      <w:r w:rsidRPr="00E86826">
        <w:rPr>
          <w:lang w:eastAsia="ja-JP"/>
        </w:rPr>
        <w:t xml:space="preserve"> </w:t>
      </w:r>
      <w:proofErr w:type="spellStart"/>
      <w:r w:rsidRPr="00E86826">
        <w:rPr>
          <w:lang w:eastAsia="ja-JP"/>
        </w:rPr>
        <w:t>tracking</w:t>
      </w:r>
      <w:proofErr w:type="spellEnd"/>
      <w:r w:rsidRPr="00E86826">
        <w:rPr>
          <w:lang w:eastAsia="ja-JP"/>
        </w:rPr>
        <w:t>) und Nachbessern (</w:t>
      </w:r>
      <w:proofErr w:type="spellStart"/>
      <w:r w:rsidRPr="00E86826">
        <w:rPr>
          <w:lang w:eastAsia="ja-JP"/>
        </w:rPr>
        <w:t>bug</w:t>
      </w:r>
      <w:proofErr w:type="spellEnd"/>
      <w:r w:rsidRPr="00E86826">
        <w:rPr>
          <w:lang w:eastAsia="ja-JP"/>
        </w:rPr>
        <w:t xml:space="preserve"> </w:t>
      </w:r>
      <w:proofErr w:type="spellStart"/>
      <w:r w:rsidRPr="00E86826">
        <w:rPr>
          <w:lang w:eastAsia="ja-JP"/>
        </w:rPr>
        <w:t>fixing</w:t>
      </w:r>
      <w:proofErr w:type="spellEnd"/>
      <w:r w:rsidRPr="00E86826">
        <w:rPr>
          <w:lang w:eastAsia="ja-JP"/>
        </w:rPr>
        <w:t>) von Sicherheitsmängeln (</w:t>
      </w:r>
      <w:proofErr w:type="spellStart"/>
      <w:r w:rsidRPr="00E86826">
        <w:rPr>
          <w:lang w:eastAsia="ja-JP"/>
        </w:rPr>
        <w:t>security</w:t>
      </w:r>
      <w:proofErr w:type="spellEnd"/>
      <w:r w:rsidRPr="00E86826">
        <w:rPr>
          <w:lang w:eastAsia="ja-JP"/>
        </w:rPr>
        <w:t xml:space="preserve"> </w:t>
      </w:r>
      <w:proofErr w:type="spellStart"/>
      <w:r w:rsidRPr="00E86826">
        <w:rPr>
          <w:lang w:eastAsia="ja-JP"/>
        </w:rPr>
        <w:t>bugs</w:t>
      </w:r>
      <w:proofErr w:type="spellEnd"/>
      <w:r w:rsidRPr="00E86826">
        <w:rPr>
          <w:lang w:eastAsia="ja-JP"/>
        </w:rPr>
        <w:t>) und das zur Verfügung stellen von Updates (</w:t>
      </w:r>
      <w:proofErr w:type="spellStart"/>
      <w:r w:rsidRPr="00E86826">
        <w:rPr>
          <w:lang w:eastAsia="ja-JP"/>
        </w:rPr>
        <w:t>security</w:t>
      </w:r>
      <w:proofErr w:type="spellEnd"/>
      <w:r w:rsidRPr="00E86826">
        <w:rPr>
          <w:lang w:eastAsia="ja-JP"/>
        </w:rPr>
        <w:t xml:space="preserve"> </w:t>
      </w:r>
      <w:proofErr w:type="spellStart"/>
      <w:r w:rsidRPr="00E86826">
        <w:rPr>
          <w:lang w:eastAsia="ja-JP"/>
        </w:rPr>
        <w:t>updates</w:t>
      </w:r>
      <w:proofErr w:type="spellEnd"/>
      <w:r w:rsidRPr="00E86826">
        <w:rPr>
          <w:lang w:eastAsia="ja-JP"/>
        </w:rPr>
        <w:t>).</w:t>
      </w:r>
    </w:p>
    <w:p w:rsidR="00E86826" w:rsidRPr="00A35EF2" w:rsidRDefault="00A35EF2" w:rsidP="00A35EF2">
      <w:pPr>
        <w:pStyle w:val="gemStandard"/>
      </w:pPr>
      <w:r>
        <w:rPr>
          <w:b/>
        </w:rPr>
        <w:sym w:font="Wingdings" w:char="F0D5"/>
      </w:r>
    </w:p>
    <w:p w:rsidR="004E221A" w:rsidRPr="00A74755" w:rsidRDefault="004E221A" w:rsidP="00B21ADD">
      <w:pPr>
        <w:pStyle w:val="gemStandardfett"/>
        <w:rPr>
          <w:lang w:eastAsia="ja-JP"/>
        </w:rPr>
      </w:pPr>
      <w:r w:rsidRPr="00A74755">
        <w:sym w:font="Wingdings" w:char="F0D6"/>
      </w:r>
      <w:r w:rsidRPr="00A74755">
        <w:tab/>
      </w:r>
      <w:r w:rsidRPr="00A74755">
        <w:rPr>
          <w:rFonts w:hint="eastAsia"/>
          <w:lang w:eastAsia="ja-JP"/>
        </w:rPr>
        <w:t>GS-A_</w:t>
      </w:r>
      <w:r>
        <w:rPr>
          <w:lang w:eastAsia="ja-JP"/>
        </w:rPr>
        <w:t>4945</w:t>
      </w:r>
      <w:r w:rsidRPr="00A74755">
        <w:rPr>
          <w:lang w:eastAsia="ja-JP"/>
        </w:rPr>
        <w:t xml:space="preserve"> </w:t>
      </w:r>
      <w:r w:rsidRPr="004E221A">
        <w:t>Produktentwicklung: Qualitätssicherung</w:t>
      </w:r>
    </w:p>
    <w:p w:rsidR="00A35EF2" w:rsidRDefault="004E221A" w:rsidP="00B21ADD">
      <w:pPr>
        <w:pStyle w:val="gemEinzug"/>
        <w:rPr>
          <w:b/>
        </w:rPr>
      </w:pPr>
      <w:r w:rsidRPr="00A74755">
        <w:rPr>
          <w:rFonts w:hint="eastAsia"/>
          <w:lang w:eastAsia="ja-JP"/>
        </w:rPr>
        <w:t xml:space="preserve">Hersteller </w:t>
      </w:r>
      <w:r w:rsidRPr="00A74755">
        <w:rPr>
          <w:lang w:eastAsia="ja-JP"/>
        </w:rPr>
        <w:t xml:space="preserve">von </w:t>
      </w:r>
      <w:r w:rsidR="00A71C58">
        <w:rPr>
          <w:lang w:eastAsia="ja-JP"/>
        </w:rPr>
        <w:t>dezentralen</w:t>
      </w:r>
      <w:r w:rsidR="00A71C58" w:rsidRPr="00A74755">
        <w:rPr>
          <w:lang w:eastAsia="ja-JP"/>
        </w:rPr>
        <w:t xml:space="preserve"> </w:t>
      </w:r>
      <w:r w:rsidRPr="00A74755">
        <w:rPr>
          <w:lang w:eastAsia="ja-JP"/>
        </w:rPr>
        <w:t xml:space="preserve">Produkten der TI </w:t>
      </w:r>
      <w:r w:rsidRPr="00A74755">
        <w:rPr>
          <w:rFonts w:hint="eastAsia"/>
          <w:lang w:eastAsia="ja-JP"/>
        </w:rPr>
        <w:t xml:space="preserve">MÜSSEN </w:t>
      </w:r>
      <w:r w:rsidRPr="004E221A">
        <w:rPr>
          <w:lang w:eastAsia="ja-JP"/>
        </w:rPr>
        <w:t>für die von ih</w:t>
      </w:r>
      <w:r>
        <w:rPr>
          <w:lang w:eastAsia="ja-JP"/>
        </w:rPr>
        <w:t>nen</w:t>
      </w:r>
      <w:r w:rsidRPr="004E221A">
        <w:rPr>
          <w:lang w:eastAsia="ja-JP"/>
        </w:rPr>
        <w:t xml:space="preserve"> angebotenen Produkte der TI gewährleisten, dass bei der Entwicklung der Produkte technisch-organisatorische Verfahren der Qualitätssicherung angewendet werden (bspw. </w:t>
      </w:r>
      <w:proofErr w:type="spellStart"/>
      <w:r w:rsidRPr="004E221A">
        <w:rPr>
          <w:lang w:eastAsia="ja-JP"/>
        </w:rPr>
        <w:t>fuzz</w:t>
      </w:r>
      <w:proofErr w:type="spellEnd"/>
      <w:r w:rsidRPr="004E221A">
        <w:rPr>
          <w:lang w:eastAsia="ja-JP"/>
        </w:rPr>
        <w:t xml:space="preserve"> (</w:t>
      </w:r>
      <w:proofErr w:type="spellStart"/>
      <w:r w:rsidRPr="004E221A">
        <w:rPr>
          <w:lang w:eastAsia="ja-JP"/>
        </w:rPr>
        <w:t>robustness</w:t>
      </w:r>
      <w:proofErr w:type="spellEnd"/>
      <w:r w:rsidRPr="004E221A">
        <w:rPr>
          <w:lang w:eastAsia="ja-JP"/>
        </w:rPr>
        <w:t xml:space="preserve">) </w:t>
      </w:r>
      <w:proofErr w:type="spellStart"/>
      <w:r w:rsidRPr="004E221A">
        <w:rPr>
          <w:lang w:eastAsia="ja-JP"/>
        </w:rPr>
        <w:t>testing</w:t>
      </w:r>
      <w:proofErr w:type="spellEnd"/>
      <w:r w:rsidRPr="004E221A">
        <w:rPr>
          <w:lang w:eastAsia="ja-JP"/>
        </w:rPr>
        <w:t xml:space="preserve"> bzw. </w:t>
      </w:r>
      <w:proofErr w:type="spellStart"/>
      <w:r w:rsidRPr="004E221A">
        <w:rPr>
          <w:lang w:eastAsia="ja-JP"/>
        </w:rPr>
        <w:t>penetration</w:t>
      </w:r>
      <w:proofErr w:type="spellEnd"/>
      <w:r w:rsidRPr="004E221A">
        <w:rPr>
          <w:lang w:eastAsia="ja-JP"/>
        </w:rPr>
        <w:t xml:space="preserve"> </w:t>
      </w:r>
      <w:proofErr w:type="spellStart"/>
      <w:r w:rsidRPr="004E221A">
        <w:rPr>
          <w:lang w:eastAsia="ja-JP"/>
        </w:rPr>
        <w:t>testing</w:t>
      </w:r>
      <w:proofErr w:type="spellEnd"/>
      <w:r w:rsidRPr="004E221A">
        <w:rPr>
          <w:lang w:eastAsia="ja-JP"/>
        </w:rPr>
        <w:t xml:space="preserve"> und </w:t>
      </w:r>
      <w:proofErr w:type="spellStart"/>
      <w:r w:rsidRPr="004E221A">
        <w:rPr>
          <w:lang w:eastAsia="ja-JP"/>
        </w:rPr>
        <w:t>source</w:t>
      </w:r>
      <w:proofErr w:type="spellEnd"/>
      <w:r w:rsidRPr="004E221A">
        <w:rPr>
          <w:lang w:eastAsia="ja-JP"/>
        </w:rPr>
        <w:t xml:space="preserve"> </w:t>
      </w:r>
      <w:proofErr w:type="spellStart"/>
      <w:r w:rsidRPr="004E221A">
        <w:rPr>
          <w:lang w:eastAsia="ja-JP"/>
        </w:rPr>
        <w:t>code</w:t>
      </w:r>
      <w:proofErr w:type="spellEnd"/>
      <w:r w:rsidRPr="004E221A">
        <w:rPr>
          <w:lang w:eastAsia="ja-JP"/>
        </w:rPr>
        <w:t xml:space="preserve"> </w:t>
      </w:r>
      <w:proofErr w:type="spellStart"/>
      <w:r w:rsidRPr="004E221A">
        <w:rPr>
          <w:lang w:eastAsia="ja-JP"/>
        </w:rPr>
        <w:t>review</w:t>
      </w:r>
      <w:proofErr w:type="spellEnd"/>
      <w:r w:rsidRPr="004E221A">
        <w:rPr>
          <w:lang w:eastAsia="ja-JP"/>
        </w:rPr>
        <w:t>).</w:t>
      </w:r>
    </w:p>
    <w:p w:rsidR="004E221A" w:rsidRPr="00A35EF2" w:rsidRDefault="00A35EF2" w:rsidP="00A35EF2">
      <w:pPr>
        <w:pStyle w:val="gemStandard"/>
      </w:pPr>
      <w:r>
        <w:rPr>
          <w:b/>
        </w:rPr>
        <w:sym w:font="Wingdings" w:char="F0D5"/>
      </w:r>
    </w:p>
    <w:p w:rsidR="00B947DA" w:rsidRPr="00A74755" w:rsidRDefault="00B947DA" w:rsidP="00B21ADD">
      <w:pPr>
        <w:pStyle w:val="gemStandardfett"/>
        <w:rPr>
          <w:lang w:eastAsia="ja-JP"/>
        </w:rPr>
      </w:pPr>
      <w:r w:rsidRPr="00A74755">
        <w:sym w:font="Wingdings" w:char="F0D6"/>
      </w:r>
      <w:r w:rsidRPr="00A74755">
        <w:tab/>
      </w:r>
      <w:r w:rsidRPr="00A74755">
        <w:rPr>
          <w:rFonts w:hint="eastAsia"/>
          <w:lang w:eastAsia="ja-JP"/>
        </w:rPr>
        <w:t>GS-A_</w:t>
      </w:r>
      <w:r>
        <w:rPr>
          <w:lang w:eastAsia="ja-JP"/>
        </w:rPr>
        <w:t>4946</w:t>
      </w:r>
      <w:r w:rsidRPr="00A74755">
        <w:rPr>
          <w:lang w:eastAsia="ja-JP"/>
        </w:rPr>
        <w:t xml:space="preserve"> </w:t>
      </w:r>
      <w:r w:rsidRPr="00B947DA">
        <w:t>Produktentwicklung: sichere Programmierung</w:t>
      </w:r>
    </w:p>
    <w:p w:rsidR="00A35EF2" w:rsidRDefault="00B947DA" w:rsidP="00B21ADD">
      <w:pPr>
        <w:pStyle w:val="gemEinzug"/>
        <w:rPr>
          <w:b/>
        </w:rPr>
      </w:pPr>
      <w:r w:rsidRPr="00A74755">
        <w:rPr>
          <w:rFonts w:hint="eastAsia"/>
          <w:lang w:eastAsia="ja-JP"/>
        </w:rPr>
        <w:t xml:space="preserve">Hersteller </w:t>
      </w:r>
      <w:r w:rsidRPr="00A74755">
        <w:rPr>
          <w:lang w:eastAsia="ja-JP"/>
        </w:rPr>
        <w:t xml:space="preserve">von </w:t>
      </w:r>
      <w:r w:rsidR="00A71C58">
        <w:rPr>
          <w:lang w:eastAsia="ja-JP"/>
        </w:rPr>
        <w:t>dezentralen</w:t>
      </w:r>
      <w:r w:rsidR="00A71C58" w:rsidRPr="00A74755">
        <w:rPr>
          <w:lang w:eastAsia="ja-JP"/>
        </w:rPr>
        <w:t xml:space="preserve"> </w:t>
      </w:r>
      <w:r w:rsidRPr="00A74755">
        <w:rPr>
          <w:lang w:eastAsia="ja-JP"/>
        </w:rPr>
        <w:t xml:space="preserve">Produkten der TI </w:t>
      </w:r>
      <w:r w:rsidRPr="00A74755">
        <w:rPr>
          <w:rFonts w:hint="eastAsia"/>
          <w:lang w:eastAsia="ja-JP"/>
        </w:rPr>
        <w:t xml:space="preserve">MÜSSEN </w:t>
      </w:r>
      <w:r w:rsidRPr="00B947DA">
        <w:rPr>
          <w:lang w:eastAsia="ja-JP"/>
        </w:rPr>
        <w:t>für die von ih</w:t>
      </w:r>
      <w:r>
        <w:rPr>
          <w:lang w:eastAsia="ja-JP"/>
        </w:rPr>
        <w:t>nen</w:t>
      </w:r>
      <w:r w:rsidRPr="00B947DA">
        <w:rPr>
          <w:lang w:eastAsia="ja-JP"/>
        </w:rPr>
        <w:t xml:space="preserve"> angebotenen Produkte der TI gewährleisten, dass bei der Entwicklung der Produkte Secure </w:t>
      </w:r>
      <w:proofErr w:type="spellStart"/>
      <w:r w:rsidRPr="00B947DA">
        <w:rPr>
          <w:lang w:eastAsia="ja-JP"/>
        </w:rPr>
        <w:t>Coding</w:t>
      </w:r>
      <w:proofErr w:type="spellEnd"/>
      <w:r w:rsidRPr="00B947DA">
        <w:rPr>
          <w:lang w:eastAsia="ja-JP"/>
        </w:rPr>
        <w:t xml:space="preserve"> Guidelines angewendet werden; d.</w:t>
      </w:r>
      <w:r w:rsidR="00950D04">
        <w:rPr>
          <w:lang w:eastAsia="ja-JP"/>
        </w:rPr>
        <w:t> </w:t>
      </w:r>
      <w:r w:rsidRPr="00B947DA">
        <w:rPr>
          <w:lang w:eastAsia="ja-JP"/>
        </w:rPr>
        <w:t>h.</w:t>
      </w:r>
      <w:r w:rsidR="00950D04">
        <w:rPr>
          <w:lang w:eastAsia="ja-JP"/>
        </w:rPr>
        <w:t>,</w:t>
      </w:r>
      <w:r w:rsidRPr="00B947DA">
        <w:rPr>
          <w:lang w:eastAsia="ja-JP"/>
        </w:rPr>
        <w:t xml:space="preserve"> in einschlägigen Fachkreisen anerkannte, erprobte und bewährte Regeln si</w:t>
      </w:r>
      <w:r w:rsidR="00950D04">
        <w:rPr>
          <w:lang w:eastAsia="ja-JP"/>
        </w:rPr>
        <w:t>cherer Programmierung befolgt wu</w:t>
      </w:r>
      <w:r w:rsidRPr="00B947DA">
        <w:rPr>
          <w:lang w:eastAsia="ja-JP"/>
        </w:rPr>
        <w:t>rden.</w:t>
      </w:r>
    </w:p>
    <w:p w:rsidR="00B947DA" w:rsidRPr="00A35EF2" w:rsidRDefault="00A35EF2" w:rsidP="00A35EF2">
      <w:pPr>
        <w:pStyle w:val="gemStandard"/>
      </w:pPr>
      <w:r>
        <w:rPr>
          <w:b/>
        </w:rPr>
        <w:sym w:font="Wingdings" w:char="F0D5"/>
      </w:r>
    </w:p>
    <w:p w:rsidR="00B947DA" w:rsidRPr="00A74755" w:rsidRDefault="00B947DA" w:rsidP="00B21ADD">
      <w:pPr>
        <w:pStyle w:val="gemStandardfett"/>
        <w:rPr>
          <w:lang w:eastAsia="ja-JP"/>
        </w:rPr>
      </w:pPr>
      <w:r w:rsidRPr="00A74755">
        <w:sym w:font="Wingdings" w:char="F0D6"/>
      </w:r>
      <w:r w:rsidRPr="00A74755">
        <w:tab/>
      </w:r>
      <w:r w:rsidRPr="00A74755">
        <w:rPr>
          <w:rFonts w:hint="eastAsia"/>
          <w:lang w:eastAsia="ja-JP"/>
        </w:rPr>
        <w:t>GS-A_</w:t>
      </w:r>
      <w:r>
        <w:rPr>
          <w:lang w:eastAsia="ja-JP"/>
        </w:rPr>
        <w:t>4947</w:t>
      </w:r>
      <w:r w:rsidRPr="00A74755">
        <w:rPr>
          <w:lang w:eastAsia="ja-JP"/>
        </w:rPr>
        <w:t xml:space="preserve"> </w:t>
      </w:r>
      <w:r w:rsidRPr="00B947DA">
        <w:t>Produktentwicklung: Schutz der Vertraulichkeit und Integrität</w:t>
      </w:r>
    </w:p>
    <w:p w:rsidR="00A35EF2" w:rsidRDefault="00B947DA" w:rsidP="00B21ADD">
      <w:pPr>
        <w:pStyle w:val="gemEinzug"/>
        <w:rPr>
          <w:b/>
        </w:rPr>
      </w:pPr>
      <w:r w:rsidRPr="00A74755">
        <w:rPr>
          <w:rFonts w:hint="eastAsia"/>
          <w:lang w:eastAsia="ja-JP"/>
        </w:rPr>
        <w:t xml:space="preserve">Hersteller </w:t>
      </w:r>
      <w:r w:rsidRPr="00A74755">
        <w:rPr>
          <w:lang w:eastAsia="ja-JP"/>
        </w:rPr>
        <w:t xml:space="preserve">von </w:t>
      </w:r>
      <w:r w:rsidR="00A71C58">
        <w:rPr>
          <w:lang w:eastAsia="ja-JP"/>
        </w:rPr>
        <w:t>dezentralen</w:t>
      </w:r>
      <w:r w:rsidR="00A71C58" w:rsidRPr="00A74755">
        <w:rPr>
          <w:lang w:eastAsia="ja-JP"/>
        </w:rPr>
        <w:t xml:space="preserve"> </w:t>
      </w:r>
      <w:r w:rsidRPr="00A74755">
        <w:rPr>
          <w:lang w:eastAsia="ja-JP"/>
        </w:rPr>
        <w:t xml:space="preserve">Produkten der TI </w:t>
      </w:r>
      <w:r w:rsidRPr="00A74755">
        <w:rPr>
          <w:rFonts w:hint="eastAsia"/>
          <w:lang w:eastAsia="ja-JP"/>
        </w:rPr>
        <w:t xml:space="preserve">MÜSSEN </w:t>
      </w:r>
      <w:r w:rsidRPr="00B947DA">
        <w:rPr>
          <w:lang w:eastAsia="ja-JP"/>
        </w:rPr>
        <w:t>für die von ih</w:t>
      </w:r>
      <w:r>
        <w:rPr>
          <w:lang w:eastAsia="ja-JP"/>
        </w:rPr>
        <w:t>nen</w:t>
      </w:r>
      <w:r w:rsidRPr="00B947DA">
        <w:rPr>
          <w:lang w:eastAsia="ja-JP"/>
        </w:rPr>
        <w:t xml:space="preserve"> angebotenen Produkte der TI gewährleisten, dass sie in einer Entwicklungsumgebung entwickelt werden, für die technische und organisatorische Maßnahmen zum Schutz der Vertraulichkeit und Integrität der Produkte getroffen werden.</w:t>
      </w:r>
    </w:p>
    <w:p w:rsidR="00B947DA" w:rsidRPr="00A35EF2" w:rsidRDefault="00A35EF2" w:rsidP="00A35EF2">
      <w:pPr>
        <w:pStyle w:val="gemStandard"/>
      </w:pPr>
      <w:r>
        <w:rPr>
          <w:b/>
        </w:rPr>
        <w:sym w:font="Wingdings" w:char="F0D5"/>
      </w:r>
    </w:p>
    <w:p w:rsidR="009D6CD4" w:rsidRDefault="009D6CD4" w:rsidP="00A35EF2">
      <w:pPr>
        <w:pStyle w:val="berschrift2"/>
      </w:pPr>
      <w:bookmarkStart w:id="66" w:name="_Toc489024306"/>
      <w:bookmarkStart w:id="67" w:name="_Ref489285194"/>
      <w:bookmarkStart w:id="68" w:name="_Toc501701467"/>
      <w:r w:rsidRPr="008510FE">
        <w:t xml:space="preserve">Modul </w:t>
      </w:r>
      <w:r>
        <w:t>„</w:t>
      </w:r>
      <w:r w:rsidRPr="0028086F">
        <w:t xml:space="preserve">Referenz- </w:t>
      </w:r>
      <w:r>
        <w:t>und</w:t>
      </w:r>
      <w:r w:rsidRPr="0028086F">
        <w:t xml:space="preserve"> Testumgebung</w:t>
      </w:r>
      <w:r>
        <w:t>“</w:t>
      </w:r>
      <w:bookmarkEnd w:id="66"/>
      <w:bookmarkEnd w:id="67"/>
      <w:bookmarkEnd w:id="68"/>
    </w:p>
    <w:p w:rsidR="009D6CD4" w:rsidRDefault="00CD5DEE" w:rsidP="00B21ADD">
      <w:pPr>
        <w:pStyle w:val="gemStandard"/>
      </w:pPr>
      <w:r>
        <w:t xml:space="preserve">Alle </w:t>
      </w:r>
      <w:r w:rsidR="009D6CD4">
        <w:t xml:space="preserve">Produkte der TI müssen im Rahmen der Produktzulassung in der Referenz- </w:t>
      </w:r>
      <w:r w:rsidR="00B77858">
        <w:t>und</w:t>
      </w:r>
      <w:r w:rsidR="009D6CD4">
        <w:t xml:space="preserve"> Testumgebung der </w:t>
      </w:r>
      <w:proofErr w:type="spellStart"/>
      <w:r w:rsidR="009D6CD4">
        <w:t>Telematikinfrastruktur</w:t>
      </w:r>
      <w:proofErr w:type="spellEnd"/>
      <w:r w:rsidR="009D6CD4">
        <w:t xml:space="preserve"> getestet werden. Dieses Modul wird daher jedem Hersteller eines Produktes der TI zugeordnet.</w:t>
      </w:r>
    </w:p>
    <w:p w:rsidR="009D6CD4" w:rsidRPr="00CD5DEE" w:rsidRDefault="009D6CD4" w:rsidP="00B21ADD">
      <w:pPr>
        <w:pStyle w:val="gemEinzug"/>
        <w:rPr>
          <w:b/>
        </w:rPr>
      </w:pPr>
      <w:r w:rsidRPr="00CD5DEE">
        <w:rPr>
          <w:b/>
        </w:rPr>
        <w:sym w:font="Wingdings" w:char="F0D6"/>
      </w:r>
      <w:r w:rsidRPr="00CD5DEE">
        <w:rPr>
          <w:b/>
        </w:rPr>
        <w:tab/>
        <w:t>GS-A_</w:t>
      </w:r>
      <w:r w:rsidRPr="00CD5DEE">
        <w:rPr>
          <w:rStyle w:val="gemStandardfettZchn"/>
        </w:rPr>
        <w:t>2157</w:t>
      </w:r>
      <w:r w:rsidRPr="00CD5DEE">
        <w:rPr>
          <w:b/>
        </w:rPr>
        <w:t xml:space="preserve"> Keine Echtdaten in Referenz- und Testumgebungen</w:t>
      </w:r>
    </w:p>
    <w:p w:rsidR="00A35EF2" w:rsidRDefault="00F6057F" w:rsidP="00B21ADD">
      <w:pPr>
        <w:pStyle w:val="gemEinzug"/>
        <w:rPr>
          <w:b/>
        </w:rPr>
      </w:pPr>
      <w:r w:rsidRPr="0028086F">
        <w:t xml:space="preserve">Der </w:t>
      </w:r>
      <w:r>
        <w:t xml:space="preserve">Hersteller, der sein Produkt an die Referenz- oder Testumgebung der </w:t>
      </w:r>
      <w:proofErr w:type="spellStart"/>
      <w:r>
        <w:t>Telematikinfrastruktur</w:t>
      </w:r>
      <w:proofErr w:type="spellEnd"/>
      <w:r>
        <w:t xml:space="preserve"> anbindet,</w:t>
      </w:r>
      <w:r w:rsidR="00D53EC5">
        <w:t xml:space="preserve"> </w:t>
      </w:r>
      <w:r w:rsidRPr="0028086F">
        <w:t>MUSS sicherstellen</w:t>
      </w:r>
      <w:r>
        <w:t xml:space="preserve">, dass im angeschlossenen Produkt </w:t>
      </w:r>
      <w:r w:rsidR="009D6CD4">
        <w:t>keine Echtdaten verarbeitet</w:t>
      </w:r>
      <w:r>
        <w:t xml:space="preserve"> werden</w:t>
      </w:r>
      <w:r w:rsidR="009D6CD4" w:rsidRPr="009551B0">
        <w:t>.</w:t>
      </w:r>
      <w:r w:rsidR="009D6CD4" w:rsidRPr="009551B0">
        <w:rPr>
          <w:b/>
        </w:rPr>
        <w:t xml:space="preserve"> </w:t>
      </w:r>
    </w:p>
    <w:p w:rsidR="009D6CD4" w:rsidRPr="00A35EF2" w:rsidRDefault="00A35EF2" w:rsidP="00A35EF2">
      <w:pPr>
        <w:pStyle w:val="gemStandard"/>
      </w:pPr>
      <w:r>
        <w:rPr>
          <w:b/>
        </w:rPr>
        <w:sym w:font="Wingdings" w:char="F0D5"/>
      </w:r>
    </w:p>
    <w:p w:rsidR="009D6CD4" w:rsidRPr="00CD5DEE" w:rsidRDefault="009D6CD4" w:rsidP="00B21ADD">
      <w:pPr>
        <w:pStyle w:val="gemEinzug"/>
        <w:rPr>
          <w:b/>
        </w:rPr>
      </w:pPr>
      <w:r w:rsidRPr="00CD5DEE">
        <w:rPr>
          <w:b/>
        </w:rPr>
        <w:sym w:font="Wingdings" w:char="F0D6"/>
      </w:r>
      <w:r w:rsidRPr="00CD5DEE">
        <w:rPr>
          <w:b/>
        </w:rPr>
        <w:tab/>
        <w:t>GS-A_2162 Kryptographisches Material in Entwicklungs- und Testumgebungen</w:t>
      </w:r>
    </w:p>
    <w:p w:rsidR="00A35EF2" w:rsidRDefault="00F6057F" w:rsidP="00B21ADD">
      <w:pPr>
        <w:pStyle w:val="gemEinzug"/>
        <w:rPr>
          <w:b/>
        </w:rPr>
      </w:pPr>
      <w:r w:rsidRPr="0028086F">
        <w:t xml:space="preserve">Der </w:t>
      </w:r>
      <w:r>
        <w:t xml:space="preserve">Hersteller, der sein Produkt an die Referenz- oder Testumgebung der </w:t>
      </w:r>
      <w:proofErr w:type="spellStart"/>
      <w:r>
        <w:t>Telematikinfrastruktur</w:t>
      </w:r>
      <w:proofErr w:type="spellEnd"/>
      <w:r>
        <w:t xml:space="preserve"> anbindet</w:t>
      </w:r>
      <w:r w:rsidR="0031006C">
        <w:t xml:space="preserve">, </w:t>
      </w:r>
      <w:r w:rsidRPr="0028086F">
        <w:t>MUSS sicherstellen</w:t>
      </w:r>
      <w:r w:rsidR="009D6CD4" w:rsidRPr="00135BDB">
        <w:t xml:space="preserve">, dass </w:t>
      </w:r>
      <w:r>
        <w:t xml:space="preserve">in seinem angeschlossenem Produkt </w:t>
      </w:r>
      <w:r w:rsidR="009D6CD4" w:rsidRPr="00135BDB">
        <w:t>keine kryptographischen Identitäten bzw. S</w:t>
      </w:r>
      <w:r w:rsidR="009D6CD4">
        <w:t>chlüssel der Produktivumgebung</w:t>
      </w:r>
      <w:r w:rsidR="009D6CD4" w:rsidRPr="00135BDB">
        <w:t xml:space="preserve"> der TI (Umgebungen mit Echtdaten) genutzt werden.</w:t>
      </w:r>
      <w:r w:rsidR="009D6CD4" w:rsidRPr="00135BDB">
        <w:rPr>
          <w:b/>
        </w:rPr>
        <w:t xml:space="preserve"> </w:t>
      </w:r>
    </w:p>
    <w:p w:rsidR="009D6CD4" w:rsidRPr="00A35EF2" w:rsidRDefault="00A35EF2" w:rsidP="00A35EF2">
      <w:pPr>
        <w:pStyle w:val="gemStandard"/>
      </w:pPr>
      <w:r>
        <w:rPr>
          <w:b/>
        </w:rPr>
        <w:sym w:font="Wingdings" w:char="F0D5"/>
      </w:r>
    </w:p>
    <w:p w:rsidR="00A35EF2" w:rsidRDefault="00A35EF2" w:rsidP="00A35EF2">
      <w:pPr>
        <w:pStyle w:val="berschrift1"/>
        <w:sectPr w:rsidR="00A35EF2" w:rsidSect="001A3C0E">
          <w:pgSz w:w="11906" w:h="16838" w:code="9"/>
          <w:pgMar w:top="1916" w:right="1418" w:bottom="1134" w:left="1701" w:header="539" w:footer="437" w:gutter="0"/>
          <w:cols w:space="708"/>
          <w:docGrid w:linePitch="360"/>
        </w:sectPr>
      </w:pPr>
      <w:bookmarkStart w:id="69" w:name="_Toc126455659"/>
      <w:bookmarkStart w:id="70" w:name="_Toc126575084"/>
      <w:bookmarkStart w:id="71" w:name="_Toc126575344"/>
      <w:bookmarkStart w:id="72" w:name="_Toc175538681"/>
      <w:bookmarkStart w:id="73" w:name="_Toc175543335"/>
      <w:bookmarkStart w:id="74" w:name="_Toc175547595"/>
      <w:bookmarkEnd w:id="57"/>
    </w:p>
    <w:p w:rsidR="0098496E" w:rsidRPr="008B4C32" w:rsidRDefault="0098496E" w:rsidP="00A35EF2">
      <w:pPr>
        <w:pStyle w:val="berschrift1"/>
      </w:pPr>
      <w:bookmarkStart w:id="75" w:name="_Toc501701468"/>
      <w:r w:rsidRPr="008B4C32">
        <w:t xml:space="preserve">Anhang </w:t>
      </w:r>
      <w:bookmarkEnd w:id="69"/>
      <w:bookmarkEnd w:id="70"/>
      <w:bookmarkEnd w:id="71"/>
      <w:bookmarkEnd w:id="72"/>
      <w:bookmarkEnd w:id="73"/>
      <w:bookmarkEnd w:id="74"/>
      <w:r w:rsidR="00DB7B23" w:rsidRPr="008B4C32">
        <w:t>A</w:t>
      </w:r>
      <w:r w:rsidR="00932F44">
        <w:t xml:space="preserve"> –</w:t>
      </w:r>
      <w:r w:rsidR="00AE6B8F" w:rsidRPr="008B4C32">
        <w:t xml:space="preserve"> Verzeichnisse</w:t>
      </w:r>
      <w:bookmarkEnd w:id="75"/>
    </w:p>
    <w:p w:rsidR="0098496E" w:rsidRPr="008B4C32" w:rsidRDefault="0098496E" w:rsidP="00A35EF2">
      <w:pPr>
        <w:pStyle w:val="berschrift2"/>
      </w:pPr>
      <w:bookmarkStart w:id="76" w:name="ANFANG_ABKZG"/>
      <w:bookmarkStart w:id="77" w:name="ENDE_KAP3"/>
      <w:bookmarkStart w:id="78" w:name="_Toc434807561"/>
      <w:bookmarkStart w:id="79" w:name="_Toc434987729"/>
      <w:bookmarkStart w:id="80" w:name="_Toc436799862"/>
      <w:bookmarkStart w:id="81" w:name="_Toc520260033"/>
      <w:bookmarkStart w:id="82" w:name="_Toc126455660"/>
      <w:bookmarkStart w:id="83" w:name="_Toc126575085"/>
      <w:bookmarkStart w:id="84" w:name="_Toc126575345"/>
      <w:bookmarkStart w:id="85" w:name="_Toc175538682"/>
      <w:bookmarkStart w:id="86" w:name="_Toc175543336"/>
      <w:bookmarkStart w:id="87" w:name="_Toc175547596"/>
      <w:bookmarkStart w:id="88" w:name="_Toc501701469"/>
      <w:bookmarkEnd w:id="76"/>
      <w:bookmarkEnd w:id="77"/>
      <w:r w:rsidRPr="008B4C32">
        <w:t>A1 – Abkürzungen</w:t>
      </w:r>
      <w:bookmarkEnd w:id="78"/>
      <w:bookmarkEnd w:id="79"/>
      <w:bookmarkEnd w:id="80"/>
      <w:bookmarkEnd w:id="81"/>
      <w:bookmarkEnd w:id="82"/>
      <w:bookmarkEnd w:id="83"/>
      <w:bookmarkEnd w:id="84"/>
      <w:bookmarkEnd w:id="85"/>
      <w:bookmarkEnd w:id="86"/>
      <w:bookmarkEnd w:id="87"/>
      <w:bookmarkEnd w:id="8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439"/>
      </w:tblGrid>
      <w:tr w:rsidR="0098496E" w:rsidRPr="00540031" w:rsidTr="00932F44">
        <w:trPr>
          <w:cantSplit/>
          <w:trHeight w:val="307"/>
          <w:tblHeader/>
        </w:trPr>
        <w:tc>
          <w:tcPr>
            <w:tcW w:w="1440" w:type="dxa"/>
            <w:shd w:val="clear" w:color="auto" w:fill="E0E0E0"/>
          </w:tcPr>
          <w:p w:rsidR="0098496E" w:rsidRPr="00B21ADD" w:rsidRDefault="0098496E" w:rsidP="00B21ADD">
            <w:pPr>
              <w:pStyle w:val="gemtab11ptAbstand"/>
              <w:rPr>
                <w:b/>
              </w:rPr>
            </w:pPr>
            <w:bookmarkStart w:id="89" w:name="ANFANG_DEFS"/>
            <w:bookmarkStart w:id="90" w:name="ENDE_ABKZG"/>
            <w:bookmarkStart w:id="91" w:name="_Toc434807562"/>
            <w:bookmarkStart w:id="92" w:name="_Toc434987730"/>
            <w:bookmarkStart w:id="93" w:name="_Toc436799863"/>
            <w:bookmarkStart w:id="94" w:name="_Toc520260034"/>
            <w:bookmarkEnd w:id="89"/>
            <w:bookmarkEnd w:id="90"/>
            <w:r w:rsidRPr="00B21ADD">
              <w:rPr>
                <w:b/>
              </w:rPr>
              <w:t>Kürzel</w:t>
            </w:r>
          </w:p>
        </w:tc>
        <w:tc>
          <w:tcPr>
            <w:tcW w:w="7439" w:type="dxa"/>
            <w:shd w:val="clear" w:color="auto" w:fill="E0E0E0"/>
          </w:tcPr>
          <w:p w:rsidR="0098496E" w:rsidRPr="00B21ADD" w:rsidRDefault="0098496E" w:rsidP="00B21ADD">
            <w:pPr>
              <w:pStyle w:val="gemtab11ptAbstand"/>
              <w:rPr>
                <w:b/>
              </w:rPr>
            </w:pPr>
            <w:r w:rsidRPr="00B21ADD">
              <w:rPr>
                <w:b/>
              </w:rPr>
              <w:t>Erläuterung</w:t>
            </w:r>
          </w:p>
        </w:tc>
      </w:tr>
      <w:tr w:rsidR="00EA3458" w:rsidRPr="00540031" w:rsidTr="008D7AF6">
        <w:trPr>
          <w:cantSplit/>
          <w:trHeight w:val="319"/>
        </w:trPr>
        <w:tc>
          <w:tcPr>
            <w:tcW w:w="1440" w:type="dxa"/>
            <w:shd w:val="clear" w:color="auto" w:fill="auto"/>
          </w:tcPr>
          <w:p w:rsidR="00EA3458" w:rsidRPr="00540031" w:rsidRDefault="00EA3458" w:rsidP="00B21ADD">
            <w:pPr>
              <w:pStyle w:val="gemtab11ptAbstand"/>
            </w:pPr>
            <w:r>
              <w:t>ISM</w:t>
            </w:r>
          </w:p>
        </w:tc>
        <w:tc>
          <w:tcPr>
            <w:tcW w:w="7439" w:type="dxa"/>
            <w:shd w:val="clear" w:color="auto" w:fill="auto"/>
          </w:tcPr>
          <w:p w:rsidR="00EA3458" w:rsidRPr="00540031" w:rsidRDefault="00EA3458" w:rsidP="00B21ADD">
            <w:pPr>
              <w:pStyle w:val="gemtab11ptAbstand"/>
            </w:pPr>
            <w:r>
              <w:t>Informationssicherheitsmanagement</w:t>
            </w:r>
          </w:p>
        </w:tc>
      </w:tr>
      <w:tr w:rsidR="00F101B2" w:rsidRPr="00540031" w:rsidTr="008B1E01">
        <w:trPr>
          <w:cantSplit/>
          <w:trHeight w:val="319"/>
        </w:trPr>
        <w:tc>
          <w:tcPr>
            <w:tcW w:w="1440" w:type="dxa"/>
            <w:shd w:val="clear" w:color="auto" w:fill="auto"/>
          </w:tcPr>
          <w:p w:rsidR="00F101B2" w:rsidRPr="00540031" w:rsidRDefault="00F101B2" w:rsidP="00B21ADD">
            <w:pPr>
              <w:pStyle w:val="gemtab11ptAbstand"/>
            </w:pPr>
            <w:r>
              <w:t>SGB V</w:t>
            </w:r>
          </w:p>
        </w:tc>
        <w:tc>
          <w:tcPr>
            <w:tcW w:w="7439" w:type="dxa"/>
            <w:shd w:val="clear" w:color="auto" w:fill="auto"/>
          </w:tcPr>
          <w:p w:rsidR="00F101B2" w:rsidRPr="00540031" w:rsidRDefault="00F101B2" w:rsidP="00B21ADD">
            <w:pPr>
              <w:pStyle w:val="gemtab11ptAbstand"/>
            </w:pPr>
            <w:r>
              <w:t>Sozialgesetzbuch</w:t>
            </w:r>
          </w:p>
        </w:tc>
      </w:tr>
      <w:tr w:rsidR="0098496E" w:rsidRPr="00540031" w:rsidTr="00932F44">
        <w:trPr>
          <w:cantSplit/>
          <w:trHeight w:val="319"/>
        </w:trPr>
        <w:tc>
          <w:tcPr>
            <w:tcW w:w="1440" w:type="dxa"/>
            <w:shd w:val="clear" w:color="auto" w:fill="auto"/>
          </w:tcPr>
          <w:p w:rsidR="0098496E" w:rsidRPr="00540031" w:rsidRDefault="00EA3458" w:rsidP="00B21ADD">
            <w:pPr>
              <w:pStyle w:val="gemtab11ptAbstand"/>
            </w:pPr>
            <w:r>
              <w:t>TI</w:t>
            </w:r>
          </w:p>
        </w:tc>
        <w:tc>
          <w:tcPr>
            <w:tcW w:w="7439" w:type="dxa"/>
            <w:shd w:val="clear" w:color="auto" w:fill="auto"/>
          </w:tcPr>
          <w:p w:rsidR="0098496E" w:rsidRPr="00540031" w:rsidRDefault="00EA3458" w:rsidP="00B21ADD">
            <w:pPr>
              <w:pStyle w:val="gemtab11ptAbstand"/>
            </w:pPr>
            <w:proofErr w:type="spellStart"/>
            <w:r>
              <w:t>Telematikinfrastruktur</w:t>
            </w:r>
            <w:proofErr w:type="spellEnd"/>
          </w:p>
        </w:tc>
      </w:tr>
    </w:tbl>
    <w:p w:rsidR="0098496E" w:rsidRPr="008B4C32" w:rsidRDefault="0098496E" w:rsidP="00A35EF2">
      <w:pPr>
        <w:pStyle w:val="berschrift2"/>
      </w:pPr>
      <w:bookmarkStart w:id="95" w:name="_Toc126455662"/>
      <w:bookmarkStart w:id="96" w:name="_Toc126575087"/>
      <w:bookmarkStart w:id="97" w:name="_Toc126575347"/>
      <w:bookmarkStart w:id="98" w:name="_Toc175538684"/>
      <w:bookmarkStart w:id="99" w:name="_Toc175543338"/>
      <w:bookmarkStart w:id="100" w:name="_Toc175547598"/>
      <w:bookmarkStart w:id="101" w:name="_Toc520260035"/>
      <w:bookmarkStart w:id="102" w:name="_Toc501701470"/>
      <w:bookmarkEnd w:id="91"/>
      <w:bookmarkEnd w:id="92"/>
      <w:bookmarkEnd w:id="93"/>
      <w:bookmarkEnd w:id="94"/>
      <w:r w:rsidRPr="008B4C32">
        <w:t>A</w:t>
      </w:r>
      <w:r w:rsidR="00195170">
        <w:t>2</w:t>
      </w:r>
      <w:r w:rsidRPr="008B4C32">
        <w:t xml:space="preserve"> – Abbildungsverzeichnis</w:t>
      </w:r>
      <w:bookmarkEnd w:id="95"/>
      <w:bookmarkEnd w:id="96"/>
      <w:bookmarkEnd w:id="97"/>
      <w:bookmarkEnd w:id="98"/>
      <w:bookmarkEnd w:id="99"/>
      <w:bookmarkEnd w:id="100"/>
      <w:bookmarkEnd w:id="102"/>
    </w:p>
    <w:p w:rsidR="00195170" w:rsidRDefault="00685C07">
      <w:pPr>
        <w:pStyle w:val="Abbildungsverzeichnis"/>
        <w:tabs>
          <w:tab w:val="right" w:leader="dot" w:pos="8777"/>
        </w:tabs>
        <w:rPr>
          <w:rFonts w:asciiTheme="minorHAnsi" w:eastAsiaTheme="minorEastAsia" w:hAnsiTheme="minorHAnsi" w:cstheme="minorBidi"/>
          <w:noProof/>
          <w:szCs w:val="22"/>
        </w:rPr>
      </w:pPr>
      <w:r>
        <w:fldChar w:fldCharType="begin"/>
      </w:r>
      <w:r>
        <w:instrText xml:space="preserve"> TOC \h \z \c "Abbildung" </w:instrText>
      </w:r>
      <w:r>
        <w:fldChar w:fldCharType="separate"/>
      </w:r>
      <w:hyperlink w:anchor="_Toc490485003" w:history="1">
        <w:r w:rsidR="00195170" w:rsidRPr="00E739C9">
          <w:rPr>
            <w:rStyle w:val="Hyperlink"/>
            <w:noProof/>
          </w:rPr>
          <w:t>Abbildung 1 – Anforderungen, Module und Hersteller</w:t>
        </w:r>
        <w:r w:rsidR="00195170">
          <w:rPr>
            <w:noProof/>
            <w:webHidden/>
          </w:rPr>
          <w:tab/>
        </w:r>
        <w:r w:rsidR="00195170">
          <w:rPr>
            <w:rStyle w:val="Hyperlink"/>
            <w:noProof/>
          </w:rPr>
          <w:fldChar w:fldCharType="begin"/>
        </w:r>
        <w:r w:rsidR="00195170">
          <w:rPr>
            <w:noProof/>
            <w:webHidden/>
          </w:rPr>
          <w:instrText xml:space="preserve"> PAGEREF _Toc490485003 \h </w:instrText>
        </w:r>
        <w:r w:rsidR="00195170">
          <w:rPr>
            <w:rStyle w:val="Hyperlink"/>
            <w:noProof/>
          </w:rPr>
        </w:r>
        <w:r w:rsidR="00195170">
          <w:rPr>
            <w:rStyle w:val="Hyperlink"/>
            <w:noProof/>
          </w:rPr>
          <w:fldChar w:fldCharType="separate"/>
        </w:r>
        <w:r w:rsidR="00195170">
          <w:rPr>
            <w:noProof/>
            <w:webHidden/>
          </w:rPr>
          <w:t>6</w:t>
        </w:r>
        <w:r w:rsidR="00195170">
          <w:rPr>
            <w:rStyle w:val="Hyperlink"/>
            <w:noProof/>
          </w:rPr>
          <w:fldChar w:fldCharType="end"/>
        </w:r>
      </w:hyperlink>
    </w:p>
    <w:p w:rsidR="00195170" w:rsidRDefault="00A35EF2">
      <w:pPr>
        <w:pStyle w:val="Abbildungsverzeichnis"/>
        <w:tabs>
          <w:tab w:val="right" w:leader="dot" w:pos="8777"/>
        </w:tabs>
        <w:rPr>
          <w:rFonts w:asciiTheme="minorHAnsi" w:eastAsiaTheme="minorEastAsia" w:hAnsiTheme="minorHAnsi" w:cstheme="minorBidi"/>
          <w:noProof/>
          <w:szCs w:val="22"/>
        </w:rPr>
      </w:pPr>
      <w:hyperlink w:anchor="_Toc490485004" w:history="1">
        <w:r w:rsidR="00195170" w:rsidRPr="00E739C9">
          <w:rPr>
            <w:rStyle w:val="Hyperlink"/>
            <w:noProof/>
          </w:rPr>
          <w:t>Abbildung 2 – Modulübersicht für Herstellermodule</w:t>
        </w:r>
        <w:r w:rsidR="00195170">
          <w:rPr>
            <w:noProof/>
            <w:webHidden/>
          </w:rPr>
          <w:tab/>
        </w:r>
        <w:r w:rsidR="00195170">
          <w:rPr>
            <w:rStyle w:val="Hyperlink"/>
            <w:noProof/>
          </w:rPr>
          <w:fldChar w:fldCharType="begin"/>
        </w:r>
        <w:r w:rsidR="00195170">
          <w:rPr>
            <w:noProof/>
            <w:webHidden/>
          </w:rPr>
          <w:instrText xml:space="preserve"> PAGEREF _Toc490485004 \h </w:instrText>
        </w:r>
        <w:r w:rsidR="00195170">
          <w:rPr>
            <w:rStyle w:val="Hyperlink"/>
            <w:noProof/>
          </w:rPr>
        </w:r>
        <w:r w:rsidR="00195170">
          <w:rPr>
            <w:rStyle w:val="Hyperlink"/>
            <w:noProof/>
          </w:rPr>
          <w:fldChar w:fldCharType="separate"/>
        </w:r>
        <w:r w:rsidR="00195170">
          <w:rPr>
            <w:noProof/>
            <w:webHidden/>
          </w:rPr>
          <w:t>6</w:t>
        </w:r>
        <w:r w:rsidR="00195170">
          <w:rPr>
            <w:rStyle w:val="Hyperlink"/>
            <w:noProof/>
          </w:rPr>
          <w:fldChar w:fldCharType="end"/>
        </w:r>
      </w:hyperlink>
    </w:p>
    <w:p w:rsidR="0098496E" w:rsidRPr="0095746E" w:rsidRDefault="00685C07" w:rsidP="00B21ADD">
      <w:pPr>
        <w:pStyle w:val="Abbildungsverzeichnis"/>
        <w:tabs>
          <w:tab w:val="right" w:leader="dot" w:pos="8777"/>
        </w:tabs>
      </w:pPr>
      <w:r>
        <w:rPr>
          <w:b/>
          <w:bCs/>
          <w:noProof/>
        </w:rPr>
        <w:fldChar w:fldCharType="end"/>
      </w:r>
      <w:r w:rsidR="00BE475D">
        <w:t xml:space="preserve"> </w:t>
      </w:r>
    </w:p>
    <w:p w:rsidR="00BE475D" w:rsidRPr="008B4C32" w:rsidRDefault="00BE475D" w:rsidP="00A35EF2">
      <w:pPr>
        <w:pStyle w:val="berschrift2"/>
      </w:pPr>
      <w:bookmarkStart w:id="103" w:name="_Toc244580834"/>
      <w:bookmarkStart w:id="104" w:name="_Toc501701471"/>
      <w:bookmarkEnd w:id="101"/>
      <w:r w:rsidRPr="00262F15">
        <w:t>A</w:t>
      </w:r>
      <w:r w:rsidR="00195170">
        <w:t>3</w:t>
      </w:r>
      <w:r w:rsidRPr="00262F15">
        <w:t xml:space="preserve"> </w:t>
      </w:r>
      <w:r w:rsidR="00932F44">
        <w:t>–</w:t>
      </w:r>
      <w:r w:rsidRPr="00262F15">
        <w:t xml:space="preserve"> Referenzi</w:t>
      </w:r>
      <w:r w:rsidRPr="008B4C32">
        <w:t>erte Dokumente</w:t>
      </w:r>
      <w:bookmarkEnd w:id="103"/>
      <w:bookmarkEnd w:id="104"/>
    </w:p>
    <w:p w:rsidR="00BE475D" w:rsidRPr="008B4C32" w:rsidRDefault="00BE475D" w:rsidP="00A35EF2">
      <w:pPr>
        <w:pStyle w:val="berschrift3"/>
      </w:pPr>
      <w:bookmarkStart w:id="105" w:name="_Toc244580835"/>
      <w:bookmarkStart w:id="106" w:name="_Toc501701472"/>
      <w:r w:rsidRPr="008B4C32">
        <w:t>A</w:t>
      </w:r>
      <w:r w:rsidR="00195170">
        <w:t>3</w:t>
      </w:r>
      <w:r w:rsidRPr="008B4C32">
        <w:t>.1 – Dokumente der gematik</w:t>
      </w:r>
      <w:bookmarkEnd w:id="105"/>
      <w:bookmarkEnd w:id="106"/>
    </w:p>
    <w:p w:rsidR="00BE475D" w:rsidRPr="00EE667D" w:rsidRDefault="00BE475D" w:rsidP="00B21ADD">
      <w:pPr>
        <w:pStyle w:val="gemStandard"/>
      </w:pPr>
      <w:r w:rsidRPr="00EE667D">
        <w:t xml:space="preserve">Die nachfolgende Tabelle enthält die Bezeichnung der in dem vorliegenden Dokument referenzierten Dokumente der gematik zur </w:t>
      </w:r>
      <w:proofErr w:type="spellStart"/>
      <w:r w:rsidRPr="00EE667D">
        <w:t>Telematikinfrastruktur</w:t>
      </w:r>
      <w:proofErr w:type="spellEnd"/>
      <w:r w:rsidRPr="00EE667D">
        <w:t xml:space="preserve">. Der mit der vorliegenden Version korrelierende Entwicklungsstand dieser Konzepte und Spezifikationen wird pro Release in einer Dokumentenlandkarte definiert, Version und Stand der referenzierten Dokumente sind daher in der nachfolgenden Tabelle nicht aufgeführt. Deren zu diesem Dokument passende jeweils gültige Versionsnummer </w:t>
      </w:r>
      <w:r w:rsidR="005F6FAF">
        <w:t xml:space="preserve">sind in </w:t>
      </w:r>
      <w:r w:rsidRPr="00EE667D">
        <w:t xml:space="preserve">der aktuellsten, </w:t>
      </w:r>
      <w:r w:rsidR="00CB1D7F">
        <w:t>von</w:t>
      </w:r>
      <w:r w:rsidRPr="00EE667D">
        <w:t xml:space="preserve"> der gematik veröffentlichten Dokumentenlandkarte</w:t>
      </w:r>
      <w:r w:rsidR="005F6FAF">
        <w:t xml:space="preserve"> enthalten</w:t>
      </w:r>
      <w:r w:rsidRPr="00EE667D">
        <w:t>, in der die vorliegende Version aufgeführt wird.</w:t>
      </w:r>
    </w:p>
    <w:p w:rsidR="00BE475D" w:rsidRPr="00901AC6" w:rsidRDefault="00BE475D" w:rsidP="00B21ADD">
      <w:pPr>
        <w:pStyle w:val="gemStandard"/>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3"/>
        <w:gridCol w:w="7220"/>
      </w:tblGrid>
      <w:tr w:rsidR="00BE475D" w:rsidRPr="00540031" w:rsidTr="00F101B2">
        <w:trPr>
          <w:cantSplit/>
          <w:tblHeader/>
        </w:trPr>
        <w:tc>
          <w:tcPr>
            <w:tcW w:w="1783" w:type="dxa"/>
            <w:shd w:val="clear" w:color="auto" w:fill="E0E0E0"/>
          </w:tcPr>
          <w:p w:rsidR="00BE475D" w:rsidRPr="00B21ADD" w:rsidRDefault="00BE475D" w:rsidP="00B21ADD">
            <w:pPr>
              <w:pStyle w:val="gemtab11ptAbstand"/>
              <w:rPr>
                <w:b/>
              </w:rPr>
            </w:pPr>
            <w:r w:rsidRPr="00B21ADD">
              <w:rPr>
                <w:b/>
              </w:rPr>
              <w:t>[Quelle]</w:t>
            </w:r>
          </w:p>
        </w:tc>
        <w:tc>
          <w:tcPr>
            <w:tcW w:w="7220" w:type="dxa"/>
            <w:shd w:val="clear" w:color="auto" w:fill="E0E0E0"/>
          </w:tcPr>
          <w:p w:rsidR="00BE475D" w:rsidRPr="00B21ADD" w:rsidRDefault="00BE475D" w:rsidP="00B21ADD">
            <w:pPr>
              <w:pStyle w:val="gemtab11ptAbstand"/>
              <w:rPr>
                <w:b/>
              </w:rPr>
            </w:pPr>
            <w:r w:rsidRPr="00B21ADD">
              <w:rPr>
                <w:b/>
              </w:rPr>
              <w:t>Herausgeber: Titel</w:t>
            </w:r>
          </w:p>
        </w:tc>
      </w:tr>
      <w:tr w:rsidR="00BE475D" w:rsidRPr="00540031" w:rsidTr="00F101B2">
        <w:trPr>
          <w:cantSplit/>
        </w:trPr>
        <w:tc>
          <w:tcPr>
            <w:tcW w:w="1783" w:type="dxa"/>
            <w:shd w:val="clear" w:color="auto" w:fill="auto"/>
          </w:tcPr>
          <w:p w:rsidR="00BE475D" w:rsidRPr="00540031" w:rsidRDefault="00BE475D" w:rsidP="00B21ADD">
            <w:pPr>
              <w:pStyle w:val="gemtab11ptAbstand"/>
            </w:pPr>
            <w:r w:rsidRPr="00540031">
              <w:t>[</w:t>
            </w:r>
            <w:proofErr w:type="spellStart"/>
            <w:r w:rsidRPr="00540031">
              <w:t>gemGlossar</w:t>
            </w:r>
            <w:proofErr w:type="spellEnd"/>
            <w:r w:rsidRPr="00540031">
              <w:t>]</w:t>
            </w:r>
          </w:p>
        </w:tc>
        <w:tc>
          <w:tcPr>
            <w:tcW w:w="7220" w:type="dxa"/>
            <w:shd w:val="clear" w:color="auto" w:fill="auto"/>
          </w:tcPr>
          <w:p w:rsidR="00BE475D" w:rsidRPr="00540031" w:rsidRDefault="00BE475D" w:rsidP="00B21ADD">
            <w:r w:rsidRPr="00540031">
              <w:t>gematik: Einführung der Gesundheitskarte -</w:t>
            </w:r>
          </w:p>
          <w:p w:rsidR="00BE475D" w:rsidRPr="00540031" w:rsidRDefault="00BE475D" w:rsidP="00B21ADD">
            <w:pPr>
              <w:pStyle w:val="gemtab11ptAbstand"/>
            </w:pPr>
            <w:r w:rsidRPr="00540031">
              <w:t>Glossar</w:t>
            </w:r>
          </w:p>
        </w:tc>
      </w:tr>
      <w:tr w:rsidR="00F101B2" w:rsidRPr="00540031" w:rsidTr="008B1E01">
        <w:trPr>
          <w:cantSplit/>
        </w:trPr>
        <w:tc>
          <w:tcPr>
            <w:tcW w:w="1783" w:type="dxa"/>
            <w:shd w:val="clear" w:color="auto" w:fill="auto"/>
          </w:tcPr>
          <w:p w:rsidR="00F101B2" w:rsidRPr="00540031" w:rsidRDefault="00F101B2" w:rsidP="00B21ADD">
            <w:pPr>
              <w:pStyle w:val="gemtab11ptAbstand"/>
            </w:pPr>
            <w:r>
              <w:t>[</w:t>
            </w:r>
            <w:proofErr w:type="spellStart"/>
            <w:r w:rsidRPr="000C4555">
              <w:t>gem</w:t>
            </w:r>
            <w:r>
              <w:t>RL_Betr_TI</w:t>
            </w:r>
            <w:proofErr w:type="spellEnd"/>
            <w:r>
              <w:t>]</w:t>
            </w:r>
          </w:p>
        </w:tc>
        <w:tc>
          <w:tcPr>
            <w:tcW w:w="7220" w:type="dxa"/>
            <w:shd w:val="clear" w:color="auto" w:fill="auto"/>
          </w:tcPr>
          <w:p w:rsidR="00F101B2" w:rsidRPr="00540031" w:rsidRDefault="00F101B2" w:rsidP="00B21ADD">
            <w:pPr>
              <w:pStyle w:val="gemtab11ptAbstand"/>
            </w:pPr>
            <w:r>
              <w:t xml:space="preserve">gematik: </w:t>
            </w:r>
            <w:r w:rsidRPr="00F101B2">
              <w:t>Übergreifende Richtlinien zum Betrieb der TI</w:t>
            </w:r>
          </w:p>
        </w:tc>
      </w:tr>
      <w:tr w:rsidR="00F101B2" w:rsidRPr="00540031" w:rsidTr="00F101B2">
        <w:trPr>
          <w:cantSplit/>
        </w:trPr>
        <w:tc>
          <w:tcPr>
            <w:tcW w:w="1783" w:type="dxa"/>
            <w:shd w:val="clear" w:color="auto" w:fill="auto"/>
          </w:tcPr>
          <w:p w:rsidR="00F101B2" w:rsidRPr="00540031" w:rsidRDefault="00F101B2" w:rsidP="00B21ADD">
            <w:pPr>
              <w:pStyle w:val="gemtab11ptAbstand"/>
            </w:pPr>
            <w:r>
              <w:t>[</w:t>
            </w:r>
            <w:proofErr w:type="spellStart"/>
            <w:r w:rsidRPr="000C4555">
              <w:t>gem</w:t>
            </w:r>
            <w:r>
              <w:t>Spec</w:t>
            </w:r>
            <w:r w:rsidRPr="000C4555">
              <w:t>_</w:t>
            </w:r>
            <w:r>
              <w:t>Krypt</w:t>
            </w:r>
            <w:proofErr w:type="spellEnd"/>
            <w:r>
              <w:t>]</w:t>
            </w:r>
          </w:p>
        </w:tc>
        <w:tc>
          <w:tcPr>
            <w:tcW w:w="7220" w:type="dxa"/>
            <w:shd w:val="clear" w:color="auto" w:fill="auto"/>
          </w:tcPr>
          <w:p w:rsidR="00F101B2" w:rsidRPr="000C4555" w:rsidRDefault="00F101B2" w:rsidP="00B21ADD">
            <w:pPr>
              <w:pStyle w:val="gemtab11ptAbstand"/>
            </w:pPr>
            <w:r>
              <w:t xml:space="preserve">gematik: </w:t>
            </w:r>
            <w:r w:rsidRPr="000C4555">
              <w:t xml:space="preserve">Verwendung kryptographischer Algorithmen in der </w:t>
            </w:r>
          </w:p>
          <w:p w:rsidR="00F101B2" w:rsidRPr="00540031" w:rsidRDefault="00F101B2" w:rsidP="00B21ADD">
            <w:pPr>
              <w:pStyle w:val="gemtab11ptAbstand"/>
            </w:pPr>
            <w:proofErr w:type="spellStart"/>
            <w:r w:rsidRPr="000C4555">
              <w:t>Telematikinfrastruktur</w:t>
            </w:r>
            <w:proofErr w:type="spellEnd"/>
          </w:p>
        </w:tc>
      </w:tr>
    </w:tbl>
    <w:p w:rsidR="008F087D" w:rsidRDefault="008F087D" w:rsidP="00A35EF2">
      <w:pPr>
        <w:pStyle w:val="berschrift3"/>
      </w:pPr>
      <w:bookmarkStart w:id="107" w:name="_GoBack"/>
      <w:bookmarkEnd w:id="107"/>
    </w:p>
    <w:sectPr w:rsidR="008F087D" w:rsidSect="001A3C0E">
      <w:pgSz w:w="11906" w:h="16838" w:code="9"/>
      <w:pgMar w:top="1916" w:right="1418" w:bottom="1134" w:left="1701" w:header="539" w:footer="43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5" w:author="Dost, Mareen" w:date="2017-08-14T14:12:00Z" w:initials="DM">
    <w:p w:rsidR="009A1014" w:rsidRDefault="009A1014">
      <w:pPr>
        <w:pStyle w:val="Kommentartext"/>
      </w:pPr>
      <w:r>
        <w:rPr>
          <w:rStyle w:val="Kommentarzeichen"/>
        </w:rPr>
        <w:annotationRef/>
      </w:r>
      <w:proofErr w:type="spellStart"/>
      <w:r>
        <w:t>Rfc</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948" w:rsidRDefault="000D6948" w:rsidP="00B21ADD">
      <w:pPr>
        <w:pStyle w:val="Kurzberschrift"/>
      </w:pPr>
      <w:r>
        <w:separator/>
      </w:r>
    </w:p>
  </w:endnote>
  <w:endnote w:type="continuationSeparator" w:id="0">
    <w:p w:rsidR="000D6948" w:rsidRDefault="000D6948" w:rsidP="00B21ADD">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152C05" w:rsidTr="000C012E">
      <w:tc>
        <w:tcPr>
          <w:tcW w:w="6644" w:type="dxa"/>
          <w:gridSpan w:val="2"/>
          <w:tcBorders>
            <w:top w:val="nil"/>
            <w:bottom w:val="single" w:sz="4" w:space="0" w:color="auto"/>
          </w:tcBorders>
          <w:shd w:val="clear" w:color="auto" w:fill="auto"/>
        </w:tcPr>
        <w:p w:rsidR="00152C05" w:rsidRDefault="00152C05" w:rsidP="00B21ADD">
          <w:pPr>
            <w:pStyle w:val="Fuzeile"/>
          </w:pPr>
        </w:p>
      </w:tc>
      <w:tc>
        <w:tcPr>
          <w:tcW w:w="2308" w:type="dxa"/>
          <w:tcBorders>
            <w:top w:val="nil"/>
            <w:bottom w:val="single" w:sz="4" w:space="0" w:color="auto"/>
          </w:tcBorders>
          <w:shd w:val="clear" w:color="auto" w:fill="auto"/>
        </w:tcPr>
        <w:p w:rsidR="00152C05" w:rsidRDefault="00152C05" w:rsidP="00B21ADD">
          <w:pPr>
            <w:pStyle w:val="Fuzeile"/>
          </w:pPr>
        </w:p>
      </w:tc>
    </w:tr>
    <w:tr w:rsidR="00152C05" w:rsidTr="000C012E">
      <w:tc>
        <w:tcPr>
          <w:tcW w:w="6644" w:type="dxa"/>
          <w:gridSpan w:val="2"/>
          <w:tcBorders>
            <w:top w:val="single" w:sz="4" w:space="0" w:color="auto"/>
            <w:bottom w:val="nil"/>
          </w:tcBorders>
          <w:shd w:val="clear" w:color="auto" w:fill="auto"/>
        </w:tcPr>
        <w:p w:rsidR="00152C05" w:rsidRDefault="00A35EF2" w:rsidP="00B21ADD">
          <w:pPr>
            <w:pStyle w:val="Fuzeile"/>
          </w:pPr>
          <w:r>
            <w:fldChar w:fldCharType="begin"/>
          </w:r>
          <w:r>
            <w:instrText xml:space="preserve"> FILENAME   \* MERGEFORMAT </w:instrText>
          </w:r>
          <w:r>
            <w:fldChar w:fldCharType="separate"/>
          </w:r>
          <w:r w:rsidR="00152C05">
            <w:rPr>
              <w:noProof/>
            </w:rPr>
            <w:t>gemSpec_Datenschutz_Sicherheit_Hersteller.docx</w:t>
          </w:r>
          <w:r>
            <w:rPr>
              <w:noProof/>
            </w:rPr>
            <w:fldChar w:fldCharType="end"/>
          </w:r>
        </w:p>
      </w:tc>
      <w:tc>
        <w:tcPr>
          <w:tcW w:w="2308" w:type="dxa"/>
          <w:tcBorders>
            <w:top w:val="single" w:sz="4" w:space="0" w:color="auto"/>
            <w:bottom w:val="nil"/>
          </w:tcBorders>
          <w:shd w:val="clear" w:color="auto" w:fill="auto"/>
        </w:tcPr>
        <w:p w:rsidR="00152C05" w:rsidRDefault="00152C05" w:rsidP="00B21ADD">
          <w:pPr>
            <w:pStyle w:val="Fuzeile"/>
            <w:jc w:val="right"/>
          </w:pPr>
          <w:r>
            <w:t xml:space="preserve">Seite </w:t>
          </w:r>
          <w:r w:rsidRPr="008F5DB7">
            <w:rPr>
              <w:rStyle w:val="Seitenzahl"/>
              <w:sz w:val="16"/>
              <w:szCs w:val="16"/>
            </w:rPr>
            <w:fldChar w:fldCharType="begin"/>
          </w:r>
          <w:r w:rsidRPr="008F5DB7">
            <w:rPr>
              <w:rStyle w:val="Seitenzahl"/>
              <w:sz w:val="16"/>
              <w:szCs w:val="16"/>
            </w:rPr>
            <w:instrText xml:space="preserve"> PAGE </w:instrText>
          </w:r>
          <w:r w:rsidRPr="008F5DB7">
            <w:rPr>
              <w:rStyle w:val="Seitenzahl"/>
              <w:sz w:val="16"/>
              <w:szCs w:val="16"/>
            </w:rPr>
            <w:fldChar w:fldCharType="separate"/>
          </w:r>
          <w:r w:rsidR="00A35EF2">
            <w:rPr>
              <w:rStyle w:val="Seitenzahl"/>
              <w:noProof/>
              <w:sz w:val="16"/>
              <w:szCs w:val="16"/>
            </w:rPr>
            <w:t>10</w:t>
          </w:r>
          <w:r w:rsidRPr="008F5DB7">
            <w:rPr>
              <w:rStyle w:val="Seitenzahl"/>
              <w:sz w:val="16"/>
              <w:szCs w:val="16"/>
            </w:rPr>
            <w:fldChar w:fldCharType="end"/>
          </w:r>
          <w:r w:rsidRPr="008F5DB7">
            <w:rPr>
              <w:rStyle w:val="Seitenzahl"/>
              <w:sz w:val="18"/>
              <w:szCs w:val="18"/>
            </w:rPr>
            <w:t xml:space="preserve"> von </w:t>
          </w:r>
          <w:r w:rsidRPr="008F5DB7">
            <w:rPr>
              <w:rStyle w:val="Seitenzahl"/>
              <w:sz w:val="16"/>
              <w:szCs w:val="16"/>
            </w:rPr>
            <w:fldChar w:fldCharType="begin"/>
          </w:r>
          <w:r w:rsidRPr="008F5DB7">
            <w:rPr>
              <w:rStyle w:val="Seitenzahl"/>
              <w:sz w:val="16"/>
              <w:szCs w:val="16"/>
            </w:rPr>
            <w:instrText xml:space="preserve"> NUMPAGES </w:instrText>
          </w:r>
          <w:r w:rsidRPr="008F5DB7">
            <w:rPr>
              <w:rStyle w:val="Seitenzahl"/>
              <w:sz w:val="16"/>
              <w:szCs w:val="16"/>
            </w:rPr>
            <w:fldChar w:fldCharType="separate"/>
          </w:r>
          <w:r w:rsidR="00A35EF2">
            <w:rPr>
              <w:rStyle w:val="Seitenzahl"/>
              <w:noProof/>
              <w:sz w:val="16"/>
              <w:szCs w:val="16"/>
            </w:rPr>
            <w:t>10</w:t>
          </w:r>
          <w:r w:rsidRPr="008F5DB7">
            <w:rPr>
              <w:rStyle w:val="Seitenzahl"/>
              <w:sz w:val="16"/>
              <w:szCs w:val="16"/>
            </w:rPr>
            <w:fldChar w:fldCharType="end"/>
          </w:r>
        </w:p>
      </w:tc>
    </w:tr>
    <w:tr w:rsidR="00152C05" w:rsidTr="000C012E">
      <w:tc>
        <w:tcPr>
          <w:tcW w:w="3921" w:type="dxa"/>
          <w:tcBorders>
            <w:top w:val="nil"/>
          </w:tcBorders>
          <w:shd w:val="clear" w:color="auto" w:fill="auto"/>
        </w:tcPr>
        <w:p w:rsidR="00152C05" w:rsidRDefault="00152C05" w:rsidP="00B21ADD">
          <w:pPr>
            <w:pStyle w:val="Fuzeile"/>
          </w:pPr>
          <w:r>
            <w:t xml:space="preserve">Version: </w:t>
          </w:r>
          <w:r>
            <w:fldChar w:fldCharType="begin"/>
          </w:r>
          <w:r>
            <w:instrText xml:space="preserve"> REF Version \h </w:instrText>
          </w:r>
          <w:r w:rsidR="00B21ADD">
            <w:instrText xml:space="preserve"> \* MERGEFORMAT </w:instrText>
          </w:r>
          <w:r>
            <w:fldChar w:fldCharType="separate"/>
          </w:r>
          <w:r>
            <w:rPr>
              <w:rFonts w:eastAsia="Times New Roman"/>
            </w:rPr>
            <w:t>1.0.0 CC</w:t>
          </w:r>
          <w:r>
            <w:fldChar w:fldCharType="end"/>
          </w:r>
        </w:p>
      </w:tc>
      <w:tc>
        <w:tcPr>
          <w:tcW w:w="2723" w:type="dxa"/>
          <w:tcBorders>
            <w:top w:val="nil"/>
          </w:tcBorders>
          <w:shd w:val="clear" w:color="auto" w:fill="auto"/>
        </w:tcPr>
        <w:p w:rsidR="00152C05" w:rsidRDefault="00152C05" w:rsidP="00B21ADD">
          <w:pPr>
            <w:pStyle w:val="Fuzeile"/>
          </w:pPr>
          <w:r w:rsidRPr="008F5DB7">
            <w:rPr>
              <w:rStyle w:val="Seitenzahl"/>
              <w:sz w:val="16"/>
            </w:rPr>
            <w:t xml:space="preserve">© </w:t>
          </w:r>
          <w:r w:rsidRPr="008F5DB7">
            <w:rPr>
              <w:rStyle w:val="Seitenzahl"/>
              <w:sz w:val="16"/>
              <w:szCs w:val="16"/>
            </w:rPr>
            <w:t xml:space="preserve">gematik – </w:t>
          </w:r>
          <w:r w:rsidRPr="008F5DB7">
            <w:rPr>
              <w:rStyle w:val="Seitenzahl"/>
              <w:sz w:val="16"/>
              <w:szCs w:val="16"/>
            </w:rPr>
            <w:fldChar w:fldCharType="begin"/>
          </w:r>
          <w:r w:rsidRPr="008F5DB7">
            <w:rPr>
              <w:rStyle w:val="Seitenzahl"/>
              <w:sz w:val="16"/>
              <w:szCs w:val="16"/>
            </w:rPr>
            <w:instrText xml:space="preserve"> REF Klasse \h </w:instrText>
          </w:r>
          <w:r w:rsidR="00B21ADD">
            <w:rPr>
              <w:rStyle w:val="Seitenzahl"/>
              <w:sz w:val="16"/>
              <w:szCs w:val="16"/>
            </w:rPr>
            <w:instrText xml:space="preserve"> \* MERGEFORMAT </w:instrText>
          </w:r>
          <w:r w:rsidRPr="008F5DB7">
            <w:rPr>
              <w:rStyle w:val="Seitenzahl"/>
              <w:sz w:val="16"/>
              <w:szCs w:val="16"/>
            </w:rPr>
          </w:r>
          <w:r w:rsidRPr="008F5DB7">
            <w:rPr>
              <w:rStyle w:val="Seitenzahl"/>
              <w:sz w:val="16"/>
              <w:szCs w:val="16"/>
            </w:rPr>
            <w:fldChar w:fldCharType="separate"/>
          </w:r>
          <w:proofErr w:type="spellStart"/>
          <w:r>
            <w:rPr>
              <w:rFonts w:eastAsia="Times New Roman"/>
            </w:rPr>
            <w:t>vertraulich_LA</w:t>
          </w:r>
          <w:proofErr w:type="spellEnd"/>
          <w:r w:rsidRPr="008F5DB7">
            <w:rPr>
              <w:rStyle w:val="Seitenzahl"/>
              <w:sz w:val="16"/>
              <w:szCs w:val="16"/>
            </w:rPr>
            <w:fldChar w:fldCharType="end"/>
          </w:r>
        </w:p>
      </w:tc>
      <w:tc>
        <w:tcPr>
          <w:tcW w:w="2308" w:type="dxa"/>
          <w:tcBorders>
            <w:top w:val="nil"/>
          </w:tcBorders>
          <w:shd w:val="clear" w:color="auto" w:fill="auto"/>
        </w:tcPr>
        <w:p w:rsidR="00152C05" w:rsidRDefault="00152C05" w:rsidP="00B21ADD">
          <w:pPr>
            <w:pStyle w:val="Fuzeile"/>
            <w:jc w:val="right"/>
          </w:pPr>
          <w:r>
            <w:t xml:space="preserve">Stand: </w:t>
          </w:r>
          <w:r>
            <w:fldChar w:fldCharType="begin"/>
          </w:r>
          <w:r>
            <w:instrText xml:space="preserve"> REF Stand \h </w:instrText>
          </w:r>
          <w:r w:rsidR="00B21ADD">
            <w:instrText xml:space="preserve"> \* MERGEFORMAT </w:instrText>
          </w:r>
          <w:r>
            <w:fldChar w:fldCharType="separate"/>
          </w:r>
          <w:r>
            <w:rPr>
              <w:rFonts w:eastAsia="Times New Roman"/>
            </w:rPr>
            <w:t>14.08.2017</w:t>
          </w:r>
          <w:r>
            <w:fldChar w:fldCharType="end"/>
          </w:r>
          <w:r w:rsidR="00D53EC5">
            <w:t xml:space="preserve"> </w:t>
          </w:r>
          <w:r>
            <w:t xml:space="preserve"> </w:t>
          </w:r>
        </w:p>
      </w:tc>
    </w:tr>
  </w:tbl>
  <w:p w:rsidR="00152C05" w:rsidRPr="00152C05" w:rsidRDefault="00152C05" w:rsidP="00B21AD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D31B11" w:rsidTr="000C012E">
      <w:tc>
        <w:tcPr>
          <w:tcW w:w="6644" w:type="dxa"/>
          <w:gridSpan w:val="2"/>
          <w:tcBorders>
            <w:top w:val="nil"/>
            <w:bottom w:val="single" w:sz="4" w:space="0" w:color="auto"/>
          </w:tcBorders>
          <w:shd w:val="clear" w:color="auto" w:fill="auto"/>
        </w:tcPr>
        <w:p w:rsidR="00D31B11" w:rsidRDefault="00D31B11" w:rsidP="00B21ADD">
          <w:pPr>
            <w:pStyle w:val="Fuzeile"/>
          </w:pPr>
        </w:p>
      </w:tc>
      <w:tc>
        <w:tcPr>
          <w:tcW w:w="2308" w:type="dxa"/>
          <w:tcBorders>
            <w:top w:val="nil"/>
            <w:bottom w:val="single" w:sz="4" w:space="0" w:color="auto"/>
          </w:tcBorders>
          <w:shd w:val="clear" w:color="auto" w:fill="auto"/>
        </w:tcPr>
        <w:p w:rsidR="00D31B11" w:rsidRDefault="00D31B11" w:rsidP="00B21ADD">
          <w:pPr>
            <w:pStyle w:val="Fuzeile"/>
          </w:pPr>
        </w:p>
      </w:tc>
    </w:tr>
    <w:tr w:rsidR="00D31B11" w:rsidTr="000C012E">
      <w:tc>
        <w:tcPr>
          <w:tcW w:w="6644" w:type="dxa"/>
          <w:gridSpan w:val="2"/>
          <w:tcBorders>
            <w:top w:val="single" w:sz="4" w:space="0" w:color="auto"/>
            <w:bottom w:val="nil"/>
          </w:tcBorders>
          <w:shd w:val="clear" w:color="auto" w:fill="auto"/>
        </w:tcPr>
        <w:p w:rsidR="00D31B11" w:rsidRDefault="00A35EF2" w:rsidP="00B21ADD">
          <w:pPr>
            <w:pStyle w:val="Fuzeile"/>
          </w:pPr>
          <w:r>
            <w:fldChar w:fldCharType="begin"/>
          </w:r>
          <w:r>
            <w:instrText xml:space="preserve"> FILENAME   \* MERGEFORMAT </w:instrText>
          </w:r>
          <w:r>
            <w:fldChar w:fldCharType="separate"/>
          </w:r>
          <w:r w:rsidR="00152C05">
            <w:rPr>
              <w:noProof/>
            </w:rPr>
            <w:t>gemSpec_Datenschutz_Sicherheit_Hersteller.docx</w:t>
          </w:r>
          <w:r>
            <w:rPr>
              <w:noProof/>
            </w:rPr>
            <w:fldChar w:fldCharType="end"/>
          </w:r>
        </w:p>
      </w:tc>
      <w:tc>
        <w:tcPr>
          <w:tcW w:w="2308" w:type="dxa"/>
          <w:tcBorders>
            <w:top w:val="single" w:sz="4" w:space="0" w:color="auto"/>
            <w:bottom w:val="nil"/>
          </w:tcBorders>
          <w:shd w:val="clear" w:color="auto" w:fill="auto"/>
        </w:tcPr>
        <w:p w:rsidR="00D31B11" w:rsidRDefault="00D31B11" w:rsidP="00B21ADD">
          <w:pPr>
            <w:pStyle w:val="Fuzeile"/>
          </w:pPr>
          <w:r>
            <w:t xml:space="preserve">Seite </w:t>
          </w:r>
          <w:r w:rsidRPr="008F5DB7">
            <w:rPr>
              <w:rStyle w:val="Seitenzahl"/>
              <w:sz w:val="16"/>
              <w:szCs w:val="16"/>
            </w:rPr>
            <w:fldChar w:fldCharType="begin"/>
          </w:r>
          <w:r w:rsidRPr="008F5DB7">
            <w:rPr>
              <w:rStyle w:val="Seitenzahl"/>
              <w:sz w:val="16"/>
              <w:szCs w:val="16"/>
            </w:rPr>
            <w:instrText xml:space="preserve"> PAGE </w:instrText>
          </w:r>
          <w:r w:rsidRPr="008F5DB7">
            <w:rPr>
              <w:rStyle w:val="Seitenzahl"/>
              <w:sz w:val="16"/>
              <w:szCs w:val="16"/>
            </w:rPr>
            <w:fldChar w:fldCharType="separate"/>
          </w:r>
          <w:r w:rsidR="00A35EF2">
            <w:rPr>
              <w:rStyle w:val="Seitenzahl"/>
              <w:noProof/>
              <w:sz w:val="16"/>
              <w:szCs w:val="16"/>
            </w:rPr>
            <w:t>3</w:t>
          </w:r>
          <w:r w:rsidRPr="008F5DB7">
            <w:rPr>
              <w:rStyle w:val="Seitenzahl"/>
              <w:sz w:val="16"/>
              <w:szCs w:val="16"/>
            </w:rPr>
            <w:fldChar w:fldCharType="end"/>
          </w:r>
          <w:r w:rsidRPr="008F5DB7">
            <w:rPr>
              <w:rStyle w:val="Seitenzahl"/>
              <w:sz w:val="18"/>
              <w:szCs w:val="18"/>
            </w:rPr>
            <w:t xml:space="preserve"> von </w:t>
          </w:r>
          <w:r w:rsidRPr="008F5DB7">
            <w:rPr>
              <w:rStyle w:val="Seitenzahl"/>
              <w:sz w:val="16"/>
              <w:szCs w:val="16"/>
            </w:rPr>
            <w:fldChar w:fldCharType="begin"/>
          </w:r>
          <w:r w:rsidRPr="008F5DB7">
            <w:rPr>
              <w:rStyle w:val="Seitenzahl"/>
              <w:sz w:val="16"/>
              <w:szCs w:val="16"/>
            </w:rPr>
            <w:instrText xml:space="preserve"> NUMPAGES </w:instrText>
          </w:r>
          <w:r w:rsidRPr="008F5DB7">
            <w:rPr>
              <w:rStyle w:val="Seitenzahl"/>
              <w:sz w:val="16"/>
              <w:szCs w:val="16"/>
            </w:rPr>
            <w:fldChar w:fldCharType="separate"/>
          </w:r>
          <w:r w:rsidR="00A35EF2">
            <w:rPr>
              <w:rStyle w:val="Seitenzahl"/>
              <w:noProof/>
              <w:sz w:val="16"/>
              <w:szCs w:val="16"/>
            </w:rPr>
            <w:t>10</w:t>
          </w:r>
          <w:r w:rsidRPr="008F5DB7">
            <w:rPr>
              <w:rStyle w:val="Seitenzahl"/>
              <w:sz w:val="16"/>
              <w:szCs w:val="16"/>
            </w:rPr>
            <w:fldChar w:fldCharType="end"/>
          </w:r>
        </w:p>
      </w:tc>
    </w:tr>
    <w:tr w:rsidR="00D31B11" w:rsidTr="000C012E">
      <w:tc>
        <w:tcPr>
          <w:tcW w:w="3921" w:type="dxa"/>
          <w:tcBorders>
            <w:top w:val="nil"/>
          </w:tcBorders>
          <w:shd w:val="clear" w:color="auto" w:fill="auto"/>
        </w:tcPr>
        <w:p w:rsidR="00D31B11" w:rsidRDefault="00D31B11" w:rsidP="00B21ADD">
          <w:pPr>
            <w:pStyle w:val="Fuzeile"/>
          </w:pPr>
          <w:r>
            <w:t xml:space="preserve">Version: </w:t>
          </w:r>
          <w:r>
            <w:fldChar w:fldCharType="begin"/>
          </w:r>
          <w:r>
            <w:instrText xml:space="preserve"> REF Version \h </w:instrText>
          </w:r>
          <w:r>
            <w:fldChar w:fldCharType="separate"/>
          </w:r>
          <w:r w:rsidR="00152C05">
            <w:rPr>
              <w:rFonts w:eastAsia="Times New Roman"/>
            </w:rPr>
            <w:t>1.0.0 CC</w:t>
          </w:r>
          <w:r>
            <w:fldChar w:fldCharType="end"/>
          </w:r>
        </w:p>
      </w:tc>
      <w:tc>
        <w:tcPr>
          <w:tcW w:w="2723" w:type="dxa"/>
          <w:tcBorders>
            <w:top w:val="nil"/>
          </w:tcBorders>
          <w:shd w:val="clear" w:color="auto" w:fill="auto"/>
        </w:tcPr>
        <w:p w:rsidR="00D31B11" w:rsidRDefault="00D31B11" w:rsidP="00B21ADD">
          <w:pPr>
            <w:pStyle w:val="Fuzeile"/>
          </w:pPr>
          <w:r w:rsidRPr="008F5DB7">
            <w:rPr>
              <w:rStyle w:val="Seitenzahl"/>
              <w:sz w:val="16"/>
            </w:rPr>
            <w:t xml:space="preserve">© </w:t>
          </w:r>
          <w:r w:rsidRPr="008F5DB7">
            <w:rPr>
              <w:rStyle w:val="Seitenzahl"/>
              <w:sz w:val="16"/>
              <w:szCs w:val="16"/>
            </w:rPr>
            <w:t xml:space="preserve">gematik – </w:t>
          </w:r>
          <w:r w:rsidRPr="008F5DB7">
            <w:rPr>
              <w:rStyle w:val="Seitenzahl"/>
              <w:sz w:val="16"/>
              <w:szCs w:val="16"/>
            </w:rPr>
            <w:fldChar w:fldCharType="begin"/>
          </w:r>
          <w:r w:rsidRPr="008F5DB7">
            <w:rPr>
              <w:rStyle w:val="Seitenzahl"/>
              <w:sz w:val="16"/>
              <w:szCs w:val="16"/>
            </w:rPr>
            <w:instrText xml:space="preserve"> REF Klasse \h </w:instrText>
          </w:r>
          <w:r w:rsidRPr="008F5DB7">
            <w:rPr>
              <w:rStyle w:val="Seitenzahl"/>
              <w:sz w:val="16"/>
              <w:szCs w:val="16"/>
            </w:rPr>
          </w:r>
          <w:r w:rsidRPr="008F5DB7">
            <w:rPr>
              <w:rStyle w:val="Seitenzahl"/>
              <w:sz w:val="16"/>
              <w:szCs w:val="16"/>
            </w:rPr>
            <w:fldChar w:fldCharType="separate"/>
          </w:r>
          <w:proofErr w:type="spellStart"/>
          <w:r w:rsidR="00152C05">
            <w:rPr>
              <w:rFonts w:eastAsia="Times New Roman"/>
            </w:rPr>
            <w:t>vertraulich_LA</w:t>
          </w:r>
          <w:proofErr w:type="spellEnd"/>
          <w:r w:rsidRPr="008F5DB7">
            <w:rPr>
              <w:rStyle w:val="Seitenzahl"/>
              <w:sz w:val="16"/>
              <w:szCs w:val="16"/>
            </w:rPr>
            <w:fldChar w:fldCharType="end"/>
          </w:r>
        </w:p>
      </w:tc>
      <w:tc>
        <w:tcPr>
          <w:tcW w:w="2308" w:type="dxa"/>
          <w:tcBorders>
            <w:top w:val="nil"/>
          </w:tcBorders>
          <w:shd w:val="clear" w:color="auto" w:fill="auto"/>
        </w:tcPr>
        <w:p w:rsidR="00D31B11" w:rsidRDefault="00D31B11" w:rsidP="00B21ADD">
          <w:pPr>
            <w:pStyle w:val="Fuzeile"/>
          </w:pPr>
          <w:r>
            <w:t xml:space="preserve">Stand: </w:t>
          </w:r>
          <w:r>
            <w:fldChar w:fldCharType="begin"/>
          </w:r>
          <w:r>
            <w:instrText xml:space="preserve"> REF Stand \h </w:instrText>
          </w:r>
          <w:r>
            <w:fldChar w:fldCharType="separate"/>
          </w:r>
          <w:r w:rsidR="00152C05">
            <w:rPr>
              <w:rFonts w:eastAsia="Times New Roman"/>
            </w:rPr>
            <w:t>14.08.2017</w:t>
          </w:r>
          <w:r>
            <w:fldChar w:fldCharType="end"/>
          </w:r>
          <w:r w:rsidR="00D53EC5">
            <w:t xml:space="preserve"> </w:t>
          </w:r>
          <w:r>
            <w:t xml:space="preserve"> </w:t>
          </w:r>
        </w:p>
      </w:tc>
    </w:tr>
  </w:tbl>
  <w:p w:rsidR="00D31B11" w:rsidRDefault="00D31B11" w:rsidP="00B21AD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948" w:rsidRDefault="000D6948" w:rsidP="00B21ADD">
      <w:pPr>
        <w:pStyle w:val="Kurzberschrift"/>
      </w:pPr>
      <w:r>
        <w:separator/>
      </w:r>
    </w:p>
  </w:footnote>
  <w:footnote w:type="continuationSeparator" w:id="0">
    <w:p w:rsidR="000D6948" w:rsidRDefault="000D6948" w:rsidP="00B21ADD">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9B30B1" w:rsidTr="008F5DB7">
      <w:tc>
        <w:tcPr>
          <w:tcW w:w="6503" w:type="dxa"/>
          <w:shd w:val="clear" w:color="auto" w:fill="auto"/>
        </w:tcPr>
        <w:p w:rsidR="009B30B1" w:rsidRPr="00CD5DEE" w:rsidRDefault="009B30B1" w:rsidP="00B21ADD">
          <w:pPr>
            <w:pStyle w:val="gemTitelKopf"/>
            <w:rPr>
              <w:rFonts w:ascii="Tahoma" w:hAnsi="Tahoma" w:cs="Tahoma"/>
              <w:sz w:val="24"/>
            </w:rPr>
          </w:pPr>
          <w:r w:rsidRPr="00CD5DEE">
            <w:rPr>
              <w:rFonts w:ascii="Tahoma" w:hAnsi="Tahoma" w:cs="Tahoma"/>
              <w:sz w:val="24"/>
            </w:rPr>
            <w:fldChar w:fldCharType="begin"/>
          </w:r>
          <w:r w:rsidRPr="00CD5DEE">
            <w:rPr>
              <w:rFonts w:ascii="Tahoma" w:hAnsi="Tahoma" w:cs="Tahoma"/>
              <w:sz w:val="24"/>
            </w:rPr>
            <w:instrText xml:space="preserve"> REF  DokTitel \h  \* MERGEFORMAT </w:instrText>
          </w:r>
          <w:r w:rsidRPr="00CD5DEE">
            <w:rPr>
              <w:rFonts w:ascii="Tahoma" w:hAnsi="Tahoma" w:cs="Tahoma"/>
              <w:sz w:val="24"/>
            </w:rPr>
          </w:r>
          <w:r w:rsidRPr="00CD5DEE">
            <w:rPr>
              <w:rFonts w:ascii="Tahoma" w:hAnsi="Tahoma" w:cs="Tahoma"/>
              <w:sz w:val="24"/>
            </w:rPr>
            <w:fldChar w:fldCharType="separate"/>
          </w:r>
          <w:r w:rsidR="00152C05" w:rsidRPr="00CD5DEE">
            <w:rPr>
              <w:rFonts w:ascii="Tahoma" w:hAnsi="Tahoma" w:cs="Tahoma"/>
              <w:sz w:val="24"/>
            </w:rPr>
            <w:t>Spezifikation Datenschutz- und Sicherheitsanforderungen an Hersteller</w:t>
          </w:r>
          <w:r w:rsidRPr="00CD5DEE">
            <w:rPr>
              <w:rFonts w:ascii="Tahoma" w:hAnsi="Tahoma" w:cs="Tahoma"/>
              <w:sz w:val="24"/>
            </w:rPr>
            <w:fldChar w:fldCharType="end"/>
          </w:r>
        </w:p>
      </w:tc>
      <w:tc>
        <w:tcPr>
          <w:tcW w:w="2442" w:type="dxa"/>
          <w:shd w:val="clear" w:color="auto" w:fill="auto"/>
        </w:tcPr>
        <w:p w:rsidR="009B30B1" w:rsidRDefault="009B30B1" w:rsidP="00B21ADD">
          <w:pPr>
            <w:pStyle w:val="gemTitelKopf"/>
          </w:pPr>
          <w:r>
            <w:rPr>
              <w:noProof/>
            </w:rPr>
            <w:drawing>
              <wp:inline distT="0" distB="0" distL="0" distR="0" wp14:anchorId="155995C8" wp14:editId="28D3CBDC">
                <wp:extent cx="1409700" cy="523875"/>
                <wp:effectExtent l="0" t="0" r="0" b="9525"/>
                <wp:docPr id="2" name="Bild 1" descr="Logo_Gematik_2012_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Gematik_2012_Clai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r>
  </w:tbl>
  <w:p w:rsidR="009B30B1" w:rsidRDefault="009B30B1" w:rsidP="00B21ADD">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3B7" w:rsidRDefault="003543B7" w:rsidP="00B21ADD">
    <w:pPr>
      <w:pStyle w:val="Kopfzeile"/>
    </w:pPr>
    <w:r>
      <w:rPr>
        <w:noProof/>
      </w:rPr>
      <w:drawing>
        <wp:anchor distT="0" distB="0" distL="114300" distR="114300" simplePos="0" relativeHeight="251659264" behindDoc="1" locked="0" layoutInCell="1" allowOverlap="1" wp14:anchorId="60408538" wp14:editId="2643AE6E">
          <wp:simplePos x="0" y="0"/>
          <wp:positionH relativeFrom="column">
            <wp:posOffset>3658235</wp:posOffset>
          </wp:positionH>
          <wp:positionV relativeFrom="paragraph">
            <wp:posOffset>-28575</wp:posOffset>
          </wp:positionV>
          <wp:extent cx="1904400" cy="712800"/>
          <wp:effectExtent l="0" t="0" r="635" b="0"/>
          <wp:wrapTight wrapText="bothSides">
            <wp:wrapPolygon edited="0">
              <wp:start x="0" y="0"/>
              <wp:lineTo x="0" y="20791"/>
              <wp:lineTo x="21391" y="20791"/>
              <wp:lineTo x="21391" y="0"/>
              <wp:lineTo x="0" y="0"/>
            </wp:wrapPolygon>
          </wp:wrapTight>
          <wp:docPr id="7" name="Bild 7" descr="Logo_Gematik_2012_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Gematik_2012_Clai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4400" cy="71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0B1" w:rsidRDefault="009B30B1" w:rsidP="00B21AD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101DB"/>
    <w:multiLevelType w:val="hybridMultilevel"/>
    <w:tmpl w:val="B9AC8066"/>
    <w:lvl w:ilvl="0" w:tplc="B218BE4C">
      <w:start w:val="1"/>
      <w:numFmt w:val="bullet"/>
      <w:pStyle w:val="gemTabAufzhlung"/>
      <w:lvlText w:val=""/>
      <w:lvlJc w:val="left"/>
      <w:pPr>
        <w:tabs>
          <w:tab w:val="num" w:pos="907"/>
        </w:tabs>
        <w:ind w:left="1247" w:hanging="283"/>
      </w:pPr>
      <w:rPr>
        <w:rFonts w:ascii="Wingdings" w:hAnsi="Wingdings" w:hint="default"/>
      </w:rPr>
    </w:lvl>
    <w:lvl w:ilvl="1" w:tplc="04070003" w:tentative="1">
      <w:start w:val="1"/>
      <w:numFmt w:val="bullet"/>
      <w:lvlText w:val="o"/>
      <w:lvlJc w:val="left"/>
      <w:pPr>
        <w:tabs>
          <w:tab w:val="num" w:pos="2880"/>
        </w:tabs>
        <w:ind w:left="2880" w:hanging="360"/>
      </w:pPr>
      <w:rPr>
        <w:rFonts w:ascii="Courier New" w:hAnsi="Courier New" w:cs="Courier New" w:hint="default"/>
      </w:rPr>
    </w:lvl>
    <w:lvl w:ilvl="2" w:tplc="04070005" w:tentative="1">
      <w:start w:val="1"/>
      <w:numFmt w:val="bullet"/>
      <w:lvlText w:val=""/>
      <w:lvlJc w:val="left"/>
      <w:pPr>
        <w:tabs>
          <w:tab w:val="num" w:pos="3600"/>
        </w:tabs>
        <w:ind w:left="3600" w:hanging="360"/>
      </w:pPr>
      <w:rPr>
        <w:rFonts w:ascii="Wingdings" w:hAnsi="Wingdings" w:hint="default"/>
      </w:rPr>
    </w:lvl>
    <w:lvl w:ilvl="3" w:tplc="04070001" w:tentative="1">
      <w:start w:val="1"/>
      <w:numFmt w:val="bullet"/>
      <w:lvlText w:val=""/>
      <w:lvlJc w:val="left"/>
      <w:pPr>
        <w:tabs>
          <w:tab w:val="num" w:pos="4320"/>
        </w:tabs>
        <w:ind w:left="4320" w:hanging="360"/>
      </w:pPr>
      <w:rPr>
        <w:rFonts w:ascii="Symbol" w:hAnsi="Symbol" w:hint="default"/>
      </w:rPr>
    </w:lvl>
    <w:lvl w:ilvl="4" w:tplc="04070003" w:tentative="1">
      <w:start w:val="1"/>
      <w:numFmt w:val="bullet"/>
      <w:lvlText w:val="o"/>
      <w:lvlJc w:val="left"/>
      <w:pPr>
        <w:tabs>
          <w:tab w:val="num" w:pos="5040"/>
        </w:tabs>
        <w:ind w:left="5040" w:hanging="360"/>
      </w:pPr>
      <w:rPr>
        <w:rFonts w:ascii="Courier New" w:hAnsi="Courier New" w:cs="Courier New" w:hint="default"/>
      </w:rPr>
    </w:lvl>
    <w:lvl w:ilvl="5" w:tplc="04070005" w:tentative="1">
      <w:start w:val="1"/>
      <w:numFmt w:val="bullet"/>
      <w:lvlText w:val=""/>
      <w:lvlJc w:val="left"/>
      <w:pPr>
        <w:tabs>
          <w:tab w:val="num" w:pos="5760"/>
        </w:tabs>
        <w:ind w:left="5760" w:hanging="360"/>
      </w:pPr>
      <w:rPr>
        <w:rFonts w:ascii="Wingdings" w:hAnsi="Wingdings" w:hint="default"/>
      </w:rPr>
    </w:lvl>
    <w:lvl w:ilvl="6" w:tplc="04070001" w:tentative="1">
      <w:start w:val="1"/>
      <w:numFmt w:val="bullet"/>
      <w:lvlText w:val=""/>
      <w:lvlJc w:val="left"/>
      <w:pPr>
        <w:tabs>
          <w:tab w:val="num" w:pos="6480"/>
        </w:tabs>
        <w:ind w:left="6480" w:hanging="360"/>
      </w:pPr>
      <w:rPr>
        <w:rFonts w:ascii="Symbol" w:hAnsi="Symbol" w:hint="default"/>
      </w:rPr>
    </w:lvl>
    <w:lvl w:ilvl="7" w:tplc="04070003" w:tentative="1">
      <w:start w:val="1"/>
      <w:numFmt w:val="bullet"/>
      <w:lvlText w:val="o"/>
      <w:lvlJc w:val="left"/>
      <w:pPr>
        <w:tabs>
          <w:tab w:val="num" w:pos="7200"/>
        </w:tabs>
        <w:ind w:left="7200" w:hanging="360"/>
      </w:pPr>
      <w:rPr>
        <w:rFonts w:ascii="Courier New" w:hAnsi="Courier New" w:cs="Courier New" w:hint="default"/>
      </w:rPr>
    </w:lvl>
    <w:lvl w:ilvl="8" w:tplc="04070005" w:tentative="1">
      <w:start w:val="1"/>
      <w:numFmt w:val="bullet"/>
      <w:lvlText w:val=""/>
      <w:lvlJc w:val="left"/>
      <w:pPr>
        <w:tabs>
          <w:tab w:val="num" w:pos="7920"/>
        </w:tabs>
        <w:ind w:left="7920" w:hanging="360"/>
      </w:pPr>
      <w:rPr>
        <w:rFonts w:ascii="Wingdings" w:hAnsi="Wingdings" w:hint="default"/>
      </w:rPr>
    </w:lvl>
  </w:abstractNum>
  <w:abstractNum w:abstractNumId="1">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39E73DF"/>
    <w:multiLevelType w:val="hybridMultilevel"/>
    <w:tmpl w:val="6E226F04"/>
    <w:lvl w:ilvl="0" w:tplc="F806A7D8">
      <w:start w:val="1"/>
      <w:numFmt w:val="bullet"/>
      <w:pStyle w:val="gemAufzhlung"/>
      <w:lvlText w:val=""/>
      <w:lvlJc w:val="left"/>
      <w:pPr>
        <w:tabs>
          <w:tab w:val="num" w:pos="1701"/>
        </w:tabs>
        <w:ind w:left="1701" w:hanging="283"/>
      </w:pPr>
      <w:rPr>
        <w:rFonts w:ascii="Symbol" w:hAnsi="Symbol" w:hint="default"/>
      </w:rPr>
    </w:lvl>
    <w:lvl w:ilvl="1" w:tplc="04070003">
      <w:start w:val="1"/>
      <w:numFmt w:val="bullet"/>
      <w:lvlText w:val="o"/>
      <w:lvlJc w:val="left"/>
      <w:pPr>
        <w:tabs>
          <w:tab w:val="num" w:pos="2007"/>
        </w:tabs>
        <w:ind w:left="2007" w:hanging="360"/>
      </w:pPr>
      <w:rPr>
        <w:rFonts w:ascii="Courier New" w:hAnsi="Courier New" w:cs="Courier New" w:hint="default"/>
      </w:rPr>
    </w:lvl>
    <w:lvl w:ilvl="2" w:tplc="04070005">
      <w:start w:val="1"/>
      <w:numFmt w:val="bullet"/>
      <w:lvlText w:val=""/>
      <w:lvlJc w:val="left"/>
      <w:pPr>
        <w:tabs>
          <w:tab w:val="num" w:pos="2727"/>
        </w:tabs>
        <w:ind w:left="2727" w:hanging="360"/>
      </w:pPr>
      <w:rPr>
        <w:rFonts w:ascii="Wingdings" w:hAnsi="Wingdings" w:hint="default"/>
      </w:rPr>
    </w:lvl>
    <w:lvl w:ilvl="3" w:tplc="0407000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3">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39F949B5"/>
    <w:multiLevelType w:val="hybridMultilevel"/>
    <w:tmpl w:val="B14A16C6"/>
    <w:lvl w:ilvl="0" w:tplc="0D106A22">
      <w:start w:val="1"/>
      <w:numFmt w:val="decimal"/>
      <w:pStyle w:val="gemListe"/>
      <w:lvlText w:val="(%1)"/>
      <w:lvlJc w:val="left"/>
      <w:pPr>
        <w:tabs>
          <w:tab w:val="num" w:pos="182"/>
        </w:tabs>
        <w:ind w:left="737" w:hanging="340"/>
      </w:pPr>
      <w:rPr>
        <w:rFonts w:hint="default"/>
      </w:rPr>
    </w:lvl>
    <w:lvl w:ilvl="1" w:tplc="04070019">
      <w:start w:val="1"/>
      <w:numFmt w:val="lowerLetter"/>
      <w:lvlText w:val="%2."/>
      <w:lvlJc w:val="left"/>
      <w:pPr>
        <w:tabs>
          <w:tab w:val="num" w:pos="1982"/>
        </w:tabs>
        <w:ind w:left="1982" w:hanging="360"/>
      </w:pPr>
    </w:lvl>
    <w:lvl w:ilvl="2" w:tplc="0407001B" w:tentative="1">
      <w:start w:val="1"/>
      <w:numFmt w:val="lowerRoman"/>
      <w:lvlText w:val="%3."/>
      <w:lvlJc w:val="right"/>
      <w:pPr>
        <w:tabs>
          <w:tab w:val="num" w:pos="2702"/>
        </w:tabs>
        <w:ind w:left="2702" w:hanging="180"/>
      </w:pPr>
    </w:lvl>
    <w:lvl w:ilvl="3" w:tplc="0407000F" w:tentative="1">
      <w:start w:val="1"/>
      <w:numFmt w:val="decimal"/>
      <w:lvlText w:val="%4."/>
      <w:lvlJc w:val="left"/>
      <w:pPr>
        <w:tabs>
          <w:tab w:val="num" w:pos="3422"/>
        </w:tabs>
        <w:ind w:left="3422" w:hanging="360"/>
      </w:pPr>
    </w:lvl>
    <w:lvl w:ilvl="4" w:tplc="04070019" w:tentative="1">
      <w:start w:val="1"/>
      <w:numFmt w:val="lowerLetter"/>
      <w:lvlText w:val="%5."/>
      <w:lvlJc w:val="left"/>
      <w:pPr>
        <w:tabs>
          <w:tab w:val="num" w:pos="4142"/>
        </w:tabs>
        <w:ind w:left="4142" w:hanging="360"/>
      </w:pPr>
    </w:lvl>
    <w:lvl w:ilvl="5" w:tplc="0407001B" w:tentative="1">
      <w:start w:val="1"/>
      <w:numFmt w:val="lowerRoman"/>
      <w:lvlText w:val="%6."/>
      <w:lvlJc w:val="right"/>
      <w:pPr>
        <w:tabs>
          <w:tab w:val="num" w:pos="4862"/>
        </w:tabs>
        <w:ind w:left="4862" w:hanging="180"/>
      </w:pPr>
    </w:lvl>
    <w:lvl w:ilvl="6" w:tplc="0407000F" w:tentative="1">
      <w:start w:val="1"/>
      <w:numFmt w:val="decimal"/>
      <w:lvlText w:val="%7."/>
      <w:lvlJc w:val="left"/>
      <w:pPr>
        <w:tabs>
          <w:tab w:val="num" w:pos="5582"/>
        </w:tabs>
        <w:ind w:left="5582" w:hanging="360"/>
      </w:pPr>
    </w:lvl>
    <w:lvl w:ilvl="7" w:tplc="04070019" w:tentative="1">
      <w:start w:val="1"/>
      <w:numFmt w:val="lowerLetter"/>
      <w:lvlText w:val="%8."/>
      <w:lvlJc w:val="left"/>
      <w:pPr>
        <w:tabs>
          <w:tab w:val="num" w:pos="6302"/>
        </w:tabs>
        <w:ind w:left="6302" w:hanging="360"/>
      </w:pPr>
    </w:lvl>
    <w:lvl w:ilvl="8" w:tplc="0407001B" w:tentative="1">
      <w:start w:val="1"/>
      <w:numFmt w:val="lowerRoman"/>
      <w:lvlText w:val="%9."/>
      <w:lvlJc w:val="right"/>
      <w:pPr>
        <w:tabs>
          <w:tab w:val="num" w:pos="7022"/>
        </w:tabs>
        <w:ind w:left="7022" w:hanging="180"/>
      </w:pPr>
    </w:lvl>
  </w:abstractNum>
  <w:abstractNum w:abstractNumId="5">
    <w:nsid w:val="554E56FA"/>
    <w:multiLevelType w:val="hybridMultilevel"/>
    <w:tmpl w:val="FFDEB14E"/>
    <w:lvl w:ilvl="0" w:tplc="7C821C30">
      <w:start w:val="1"/>
      <w:numFmt w:val="bullet"/>
      <w:pStyle w:val="gemZwischenberschrift"/>
      <w:lvlText w:val=""/>
      <w:lvlJc w:val="left"/>
      <w:pPr>
        <w:tabs>
          <w:tab w:val="num" w:pos="720"/>
        </w:tabs>
        <w:ind w:left="720" w:hanging="360"/>
      </w:pPr>
      <w:rPr>
        <w:rFonts w:ascii="Symbol" w:hAnsi="Symbol" w:hint="default"/>
      </w:rPr>
    </w:lvl>
    <w:lvl w:ilvl="1" w:tplc="A2C87AAA" w:tentative="1">
      <w:start w:val="1"/>
      <w:numFmt w:val="bullet"/>
      <w:lvlText w:val="o"/>
      <w:lvlJc w:val="left"/>
      <w:pPr>
        <w:tabs>
          <w:tab w:val="num" w:pos="1440"/>
        </w:tabs>
        <w:ind w:left="1440" w:hanging="360"/>
      </w:pPr>
      <w:rPr>
        <w:rFonts w:ascii="Courier New" w:hAnsi="Courier New" w:cs="Courier New" w:hint="default"/>
      </w:rPr>
    </w:lvl>
    <w:lvl w:ilvl="2" w:tplc="28E086F8" w:tentative="1">
      <w:start w:val="1"/>
      <w:numFmt w:val="bullet"/>
      <w:lvlText w:val=""/>
      <w:lvlJc w:val="left"/>
      <w:pPr>
        <w:tabs>
          <w:tab w:val="num" w:pos="2160"/>
        </w:tabs>
        <w:ind w:left="2160" w:hanging="360"/>
      </w:pPr>
      <w:rPr>
        <w:rFonts w:ascii="Wingdings" w:hAnsi="Wingdings" w:hint="default"/>
      </w:rPr>
    </w:lvl>
    <w:lvl w:ilvl="3" w:tplc="77349C56" w:tentative="1">
      <w:start w:val="1"/>
      <w:numFmt w:val="bullet"/>
      <w:lvlText w:val=""/>
      <w:lvlJc w:val="left"/>
      <w:pPr>
        <w:tabs>
          <w:tab w:val="num" w:pos="2880"/>
        </w:tabs>
        <w:ind w:left="2880" w:hanging="360"/>
      </w:pPr>
      <w:rPr>
        <w:rFonts w:ascii="Symbol" w:hAnsi="Symbol" w:hint="default"/>
      </w:rPr>
    </w:lvl>
    <w:lvl w:ilvl="4" w:tplc="FC60B6C6" w:tentative="1">
      <w:start w:val="1"/>
      <w:numFmt w:val="bullet"/>
      <w:lvlText w:val="o"/>
      <w:lvlJc w:val="left"/>
      <w:pPr>
        <w:tabs>
          <w:tab w:val="num" w:pos="3600"/>
        </w:tabs>
        <w:ind w:left="3600" w:hanging="360"/>
      </w:pPr>
      <w:rPr>
        <w:rFonts w:ascii="Courier New" w:hAnsi="Courier New" w:cs="Courier New" w:hint="default"/>
      </w:rPr>
    </w:lvl>
    <w:lvl w:ilvl="5" w:tplc="76B68D86" w:tentative="1">
      <w:start w:val="1"/>
      <w:numFmt w:val="bullet"/>
      <w:lvlText w:val=""/>
      <w:lvlJc w:val="left"/>
      <w:pPr>
        <w:tabs>
          <w:tab w:val="num" w:pos="4320"/>
        </w:tabs>
        <w:ind w:left="4320" w:hanging="360"/>
      </w:pPr>
      <w:rPr>
        <w:rFonts w:ascii="Wingdings" w:hAnsi="Wingdings" w:hint="default"/>
      </w:rPr>
    </w:lvl>
    <w:lvl w:ilvl="6" w:tplc="B2DE89CE" w:tentative="1">
      <w:start w:val="1"/>
      <w:numFmt w:val="bullet"/>
      <w:lvlText w:val=""/>
      <w:lvlJc w:val="left"/>
      <w:pPr>
        <w:tabs>
          <w:tab w:val="num" w:pos="5040"/>
        </w:tabs>
        <w:ind w:left="5040" w:hanging="360"/>
      </w:pPr>
      <w:rPr>
        <w:rFonts w:ascii="Symbol" w:hAnsi="Symbol" w:hint="default"/>
      </w:rPr>
    </w:lvl>
    <w:lvl w:ilvl="7" w:tplc="3B0A626A" w:tentative="1">
      <w:start w:val="1"/>
      <w:numFmt w:val="bullet"/>
      <w:lvlText w:val="o"/>
      <w:lvlJc w:val="left"/>
      <w:pPr>
        <w:tabs>
          <w:tab w:val="num" w:pos="5760"/>
        </w:tabs>
        <w:ind w:left="5760" w:hanging="360"/>
      </w:pPr>
      <w:rPr>
        <w:rFonts w:ascii="Courier New" w:hAnsi="Courier New" w:cs="Courier New" w:hint="default"/>
      </w:rPr>
    </w:lvl>
    <w:lvl w:ilvl="8" w:tplc="056C7AC2"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de-DE" w:vendorID="64" w:dllVersion="131078" w:nlCheck="1" w:checkStyle="1"/>
  <w:activeWritingStyle w:appName="MSWord" w:lang="en-US" w:vendorID="64" w:dllVersion="131078" w:nlCheck="1" w:checkStyle="1"/>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6145"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32D"/>
    <w:rsid w:val="00006D55"/>
    <w:rsid w:val="00006D7B"/>
    <w:rsid w:val="0000773E"/>
    <w:rsid w:val="0001219C"/>
    <w:rsid w:val="000139E0"/>
    <w:rsid w:val="00014B9A"/>
    <w:rsid w:val="000155F3"/>
    <w:rsid w:val="00017F0D"/>
    <w:rsid w:val="000240F9"/>
    <w:rsid w:val="00025A81"/>
    <w:rsid w:val="00027203"/>
    <w:rsid w:val="000312DE"/>
    <w:rsid w:val="00032F96"/>
    <w:rsid w:val="0004073C"/>
    <w:rsid w:val="00042081"/>
    <w:rsid w:val="000439AA"/>
    <w:rsid w:val="00051500"/>
    <w:rsid w:val="00053843"/>
    <w:rsid w:val="0006009E"/>
    <w:rsid w:val="00061842"/>
    <w:rsid w:val="00061929"/>
    <w:rsid w:val="00063CA3"/>
    <w:rsid w:val="00063DF6"/>
    <w:rsid w:val="0007042A"/>
    <w:rsid w:val="0007085F"/>
    <w:rsid w:val="00076937"/>
    <w:rsid w:val="00077D1E"/>
    <w:rsid w:val="000800A9"/>
    <w:rsid w:val="00080434"/>
    <w:rsid w:val="00086A88"/>
    <w:rsid w:val="00086BC6"/>
    <w:rsid w:val="000921A7"/>
    <w:rsid w:val="000925E8"/>
    <w:rsid w:val="00094ADC"/>
    <w:rsid w:val="00097749"/>
    <w:rsid w:val="000A4BAB"/>
    <w:rsid w:val="000A7280"/>
    <w:rsid w:val="000B272D"/>
    <w:rsid w:val="000B3AEF"/>
    <w:rsid w:val="000B7EA2"/>
    <w:rsid w:val="000C1E0A"/>
    <w:rsid w:val="000C234B"/>
    <w:rsid w:val="000D3337"/>
    <w:rsid w:val="000D5852"/>
    <w:rsid w:val="000D6948"/>
    <w:rsid w:val="000E0AAC"/>
    <w:rsid w:val="000E3EA6"/>
    <w:rsid w:val="000E77BE"/>
    <w:rsid w:val="000F16CF"/>
    <w:rsid w:val="000F417E"/>
    <w:rsid w:val="000F43F4"/>
    <w:rsid w:val="00100701"/>
    <w:rsid w:val="00100DD6"/>
    <w:rsid w:val="001119AE"/>
    <w:rsid w:val="001167E7"/>
    <w:rsid w:val="001178EE"/>
    <w:rsid w:val="00121BD1"/>
    <w:rsid w:val="00134E42"/>
    <w:rsid w:val="00135A57"/>
    <w:rsid w:val="00135BDB"/>
    <w:rsid w:val="00140BAD"/>
    <w:rsid w:val="0014273D"/>
    <w:rsid w:val="00145114"/>
    <w:rsid w:val="001514A3"/>
    <w:rsid w:val="00152C05"/>
    <w:rsid w:val="00154156"/>
    <w:rsid w:val="001609A7"/>
    <w:rsid w:val="00161AEF"/>
    <w:rsid w:val="001629F6"/>
    <w:rsid w:val="001653E5"/>
    <w:rsid w:val="001676D3"/>
    <w:rsid w:val="001705FD"/>
    <w:rsid w:val="00170CAD"/>
    <w:rsid w:val="001828BC"/>
    <w:rsid w:val="0019036F"/>
    <w:rsid w:val="00191622"/>
    <w:rsid w:val="00195170"/>
    <w:rsid w:val="00195918"/>
    <w:rsid w:val="001A3C0E"/>
    <w:rsid w:val="001A6348"/>
    <w:rsid w:val="001A73E7"/>
    <w:rsid w:val="001B16B2"/>
    <w:rsid w:val="001B6206"/>
    <w:rsid w:val="001B6591"/>
    <w:rsid w:val="001C0E4E"/>
    <w:rsid w:val="001C30E1"/>
    <w:rsid w:val="001C559E"/>
    <w:rsid w:val="001C77E2"/>
    <w:rsid w:val="001D0019"/>
    <w:rsid w:val="001D13AB"/>
    <w:rsid w:val="001D1EAE"/>
    <w:rsid w:val="001D2FC7"/>
    <w:rsid w:val="001D3F0B"/>
    <w:rsid w:val="001D78FD"/>
    <w:rsid w:val="001E35D1"/>
    <w:rsid w:val="001E3634"/>
    <w:rsid w:val="001F4931"/>
    <w:rsid w:val="001F6478"/>
    <w:rsid w:val="001F6E85"/>
    <w:rsid w:val="00200938"/>
    <w:rsid w:val="00200D68"/>
    <w:rsid w:val="00201C9D"/>
    <w:rsid w:val="00201E43"/>
    <w:rsid w:val="00203C49"/>
    <w:rsid w:val="00204CCF"/>
    <w:rsid w:val="00204EF8"/>
    <w:rsid w:val="0020777F"/>
    <w:rsid w:val="00211D5F"/>
    <w:rsid w:val="00221FD8"/>
    <w:rsid w:val="00231CDC"/>
    <w:rsid w:val="002324B2"/>
    <w:rsid w:val="00233824"/>
    <w:rsid w:val="00233E18"/>
    <w:rsid w:val="00237725"/>
    <w:rsid w:val="00240100"/>
    <w:rsid w:val="00242215"/>
    <w:rsid w:val="0024429D"/>
    <w:rsid w:val="00244D03"/>
    <w:rsid w:val="00246DA7"/>
    <w:rsid w:val="00250CCA"/>
    <w:rsid w:val="0025103F"/>
    <w:rsid w:val="00253418"/>
    <w:rsid w:val="002564C6"/>
    <w:rsid w:val="00262F15"/>
    <w:rsid w:val="00273F1E"/>
    <w:rsid w:val="00275F19"/>
    <w:rsid w:val="00282D0D"/>
    <w:rsid w:val="002847EF"/>
    <w:rsid w:val="00284C89"/>
    <w:rsid w:val="00290F64"/>
    <w:rsid w:val="0029127A"/>
    <w:rsid w:val="00294FE7"/>
    <w:rsid w:val="00295DA9"/>
    <w:rsid w:val="002A0969"/>
    <w:rsid w:val="002A14BA"/>
    <w:rsid w:val="002A4C6E"/>
    <w:rsid w:val="002A5A7D"/>
    <w:rsid w:val="002B09E8"/>
    <w:rsid w:val="002B1A87"/>
    <w:rsid w:val="002C118D"/>
    <w:rsid w:val="002D0190"/>
    <w:rsid w:val="002D3905"/>
    <w:rsid w:val="002D470E"/>
    <w:rsid w:val="002E29C7"/>
    <w:rsid w:val="002E2B81"/>
    <w:rsid w:val="002E5F72"/>
    <w:rsid w:val="002F1CAE"/>
    <w:rsid w:val="002F325F"/>
    <w:rsid w:val="002F5238"/>
    <w:rsid w:val="002F6ABF"/>
    <w:rsid w:val="002F6CCB"/>
    <w:rsid w:val="002F79FE"/>
    <w:rsid w:val="003003A2"/>
    <w:rsid w:val="0030069E"/>
    <w:rsid w:val="00301651"/>
    <w:rsid w:val="00302CAC"/>
    <w:rsid w:val="003073B2"/>
    <w:rsid w:val="0031006C"/>
    <w:rsid w:val="00310786"/>
    <w:rsid w:val="003145CD"/>
    <w:rsid w:val="00323799"/>
    <w:rsid w:val="00323E48"/>
    <w:rsid w:val="0032563C"/>
    <w:rsid w:val="0033422D"/>
    <w:rsid w:val="0033427A"/>
    <w:rsid w:val="00335547"/>
    <w:rsid w:val="003369CF"/>
    <w:rsid w:val="0033762A"/>
    <w:rsid w:val="00350386"/>
    <w:rsid w:val="00351F00"/>
    <w:rsid w:val="00353712"/>
    <w:rsid w:val="003543B7"/>
    <w:rsid w:val="003555F8"/>
    <w:rsid w:val="00362AC6"/>
    <w:rsid w:val="00363B1A"/>
    <w:rsid w:val="0036533D"/>
    <w:rsid w:val="00366B9F"/>
    <w:rsid w:val="0036751B"/>
    <w:rsid w:val="00367780"/>
    <w:rsid w:val="00367E22"/>
    <w:rsid w:val="00372289"/>
    <w:rsid w:val="003741FD"/>
    <w:rsid w:val="003757BF"/>
    <w:rsid w:val="00376549"/>
    <w:rsid w:val="00376D70"/>
    <w:rsid w:val="00376F58"/>
    <w:rsid w:val="00380401"/>
    <w:rsid w:val="003823F5"/>
    <w:rsid w:val="00384E88"/>
    <w:rsid w:val="00385D6A"/>
    <w:rsid w:val="0038632B"/>
    <w:rsid w:val="003900CE"/>
    <w:rsid w:val="00391D9F"/>
    <w:rsid w:val="00395178"/>
    <w:rsid w:val="003A4072"/>
    <w:rsid w:val="003A5FE2"/>
    <w:rsid w:val="003B5A16"/>
    <w:rsid w:val="003B5B69"/>
    <w:rsid w:val="003B5EC5"/>
    <w:rsid w:val="003B6205"/>
    <w:rsid w:val="003B6EF8"/>
    <w:rsid w:val="003C3FD2"/>
    <w:rsid w:val="003C4550"/>
    <w:rsid w:val="003C6F1D"/>
    <w:rsid w:val="003D2220"/>
    <w:rsid w:val="003D2BA7"/>
    <w:rsid w:val="003D6D9D"/>
    <w:rsid w:val="003E2709"/>
    <w:rsid w:val="003E4E25"/>
    <w:rsid w:val="003F2C7A"/>
    <w:rsid w:val="003F3238"/>
    <w:rsid w:val="003F6C58"/>
    <w:rsid w:val="0040671C"/>
    <w:rsid w:val="0041065A"/>
    <w:rsid w:val="004155C9"/>
    <w:rsid w:val="00416CE8"/>
    <w:rsid w:val="00426516"/>
    <w:rsid w:val="004301F1"/>
    <w:rsid w:val="0043106C"/>
    <w:rsid w:val="004349D8"/>
    <w:rsid w:val="00437A60"/>
    <w:rsid w:val="004438D9"/>
    <w:rsid w:val="00451F49"/>
    <w:rsid w:val="00460B14"/>
    <w:rsid w:val="00460DB5"/>
    <w:rsid w:val="004627A7"/>
    <w:rsid w:val="00470D33"/>
    <w:rsid w:val="00471460"/>
    <w:rsid w:val="00471E0F"/>
    <w:rsid w:val="00471F32"/>
    <w:rsid w:val="00476FD4"/>
    <w:rsid w:val="004812BF"/>
    <w:rsid w:val="004861A6"/>
    <w:rsid w:val="004A06E2"/>
    <w:rsid w:val="004A0B74"/>
    <w:rsid w:val="004A0FDD"/>
    <w:rsid w:val="004A113B"/>
    <w:rsid w:val="004A1266"/>
    <w:rsid w:val="004A2692"/>
    <w:rsid w:val="004A3FA3"/>
    <w:rsid w:val="004A72D0"/>
    <w:rsid w:val="004B3124"/>
    <w:rsid w:val="004B3463"/>
    <w:rsid w:val="004B52EB"/>
    <w:rsid w:val="004B585D"/>
    <w:rsid w:val="004B781D"/>
    <w:rsid w:val="004C145A"/>
    <w:rsid w:val="004C2F41"/>
    <w:rsid w:val="004C39C0"/>
    <w:rsid w:val="004C4D01"/>
    <w:rsid w:val="004D113D"/>
    <w:rsid w:val="004D3D17"/>
    <w:rsid w:val="004D47AD"/>
    <w:rsid w:val="004D527D"/>
    <w:rsid w:val="004D55C8"/>
    <w:rsid w:val="004D76A3"/>
    <w:rsid w:val="004E0CFA"/>
    <w:rsid w:val="004E1B97"/>
    <w:rsid w:val="004E221A"/>
    <w:rsid w:val="004E3EF8"/>
    <w:rsid w:val="004F50F2"/>
    <w:rsid w:val="004F7855"/>
    <w:rsid w:val="00503766"/>
    <w:rsid w:val="005067D4"/>
    <w:rsid w:val="005073B5"/>
    <w:rsid w:val="00511353"/>
    <w:rsid w:val="00514A96"/>
    <w:rsid w:val="005209BE"/>
    <w:rsid w:val="00520C30"/>
    <w:rsid w:val="0052251D"/>
    <w:rsid w:val="005269C0"/>
    <w:rsid w:val="00530429"/>
    <w:rsid w:val="0053574D"/>
    <w:rsid w:val="00536542"/>
    <w:rsid w:val="005374E3"/>
    <w:rsid w:val="00540031"/>
    <w:rsid w:val="00551F1D"/>
    <w:rsid w:val="005563AB"/>
    <w:rsid w:val="00563CDE"/>
    <w:rsid w:val="00563F51"/>
    <w:rsid w:val="005640E9"/>
    <w:rsid w:val="00565653"/>
    <w:rsid w:val="0056771D"/>
    <w:rsid w:val="005704C8"/>
    <w:rsid w:val="00584399"/>
    <w:rsid w:val="005843CC"/>
    <w:rsid w:val="00587230"/>
    <w:rsid w:val="0059175C"/>
    <w:rsid w:val="0059513B"/>
    <w:rsid w:val="005968D7"/>
    <w:rsid w:val="005970F8"/>
    <w:rsid w:val="005A2B20"/>
    <w:rsid w:val="005A2EE5"/>
    <w:rsid w:val="005B1B9B"/>
    <w:rsid w:val="005B20B6"/>
    <w:rsid w:val="005B415A"/>
    <w:rsid w:val="005B52CF"/>
    <w:rsid w:val="005B73FE"/>
    <w:rsid w:val="005C4FA2"/>
    <w:rsid w:val="005C71CC"/>
    <w:rsid w:val="005C735B"/>
    <w:rsid w:val="005C7DD7"/>
    <w:rsid w:val="005D1F33"/>
    <w:rsid w:val="005D44FA"/>
    <w:rsid w:val="005D6B31"/>
    <w:rsid w:val="005E2A47"/>
    <w:rsid w:val="005F1B6B"/>
    <w:rsid w:val="005F5C03"/>
    <w:rsid w:val="005F6FAF"/>
    <w:rsid w:val="006009D3"/>
    <w:rsid w:val="00600CCC"/>
    <w:rsid w:val="00601312"/>
    <w:rsid w:val="00606899"/>
    <w:rsid w:val="00614F22"/>
    <w:rsid w:val="00616829"/>
    <w:rsid w:val="00617C19"/>
    <w:rsid w:val="00622FF4"/>
    <w:rsid w:val="006306EC"/>
    <w:rsid w:val="00630F18"/>
    <w:rsid w:val="00640A6C"/>
    <w:rsid w:val="006456F8"/>
    <w:rsid w:val="00645FBE"/>
    <w:rsid w:val="00646B93"/>
    <w:rsid w:val="00647E10"/>
    <w:rsid w:val="00652E81"/>
    <w:rsid w:val="00656272"/>
    <w:rsid w:val="0065688E"/>
    <w:rsid w:val="00662F08"/>
    <w:rsid w:val="00664CE1"/>
    <w:rsid w:val="00670E30"/>
    <w:rsid w:val="00675561"/>
    <w:rsid w:val="00675AA8"/>
    <w:rsid w:val="00682F59"/>
    <w:rsid w:val="00685C07"/>
    <w:rsid w:val="0068785C"/>
    <w:rsid w:val="00687D4E"/>
    <w:rsid w:val="00691FF2"/>
    <w:rsid w:val="00692347"/>
    <w:rsid w:val="0069654A"/>
    <w:rsid w:val="006A20FB"/>
    <w:rsid w:val="006A3114"/>
    <w:rsid w:val="006A44D4"/>
    <w:rsid w:val="006A6732"/>
    <w:rsid w:val="006B0635"/>
    <w:rsid w:val="006B4293"/>
    <w:rsid w:val="006B6E5F"/>
    <w:rsid w:val="006C14A4"/>
    <w:rsid w:val="006C4AFC"/>
    <w:rsid w:val="006C7BEC"/>
    <w:rsid w:val="006D036C"/>
    <w:rsid w:val="006D4F20"/>
    <w:rsid w:val="006E5816"/>
    <w:rsid w:val="006E63FE"/>
    <w:rsid w:val="006F020D"/>
    <w:rsid w:val="006F22A6"/>
    <w:rsid w:val="006F5AF8"/>
    <w:rsid w:val="006F5CBB"/>
    <w:rsid w:val="006F7CFD"/>
    <w:rsid w:val="006F7D7E"/>
    <w:rsid w:val="00700004"/>
    <w:rsid w:val="00710C87"/>
    <w:rsid w:val="0071553D"/>
    <w:rsid w:val="00717E4A"/>
    <w:rsid w:val="00721B05"/>
    <w:rsid w:val="00727C0A"/>
    <w:rsid w:val="0073287F"/>
    <w:rsid w:val="0073547F"/>
    <w:rsid w:val="0074168C"/>
    <w:rsid w:val="00744801"/>
    <w:rsid w:val="007459DB"/>
    <w:rsid w:val="0075494B"/>
    <w:rsid w:val="007562EE"/>
    <w:rsid w:val="0076148F"/>
    <w:rsid w:val="00763943"/>
    <w:rsid w:val="00764877"/>
    <w:rsid w:val="00766F70"/>
    <w:rsid w:val="00783C29"/>
    <w:rsid w:val="00785EDB"/>
    <w:rsid w:val="007913B1"/>
    <w:rsid w:val="00796D48"/>
    <w:rsid w:val="007975E5"/>
    <w:rsid w:val="007A07FC"/>
    <w:rsid w:val="007A0E22"/>
    <w:rsid w:val="007A1B24"/>
    <w:rsid w:val="007A3FCD"/>
    <w:rsid w:val="007B073E"/>
    <w:rsid w:val="007B1D0A"/>
    <w:rsid w:val="007B5829"/>
    <w:rsid w:val="007C3741"/>
    <w:rsid w:val="007C6C9D"/>
    <w:rsid w:val="007D4AC6"/>
    <w:rsid w:val="007D5E36"/>
    <w:rsid w:val="007D7A2B"/>
    <w:rsid w:val="007E0641"/>
    <w:rsid w:val="007E1738"/>
    <w:rsid w:val="007E1762"/>
    <w:rsid w:val="007E6A37"/>
    <w:rsid w:val="007F0EFC"/>
    <w:rsid w:val="007F232D"/>
    <w:rsid w:val="007F51EB"/>
    <w:rsid w:val="00801343"/>
    <w:rsid w:val="008048B1"/>
    <w:rsid w:val="00815302"/>
    <w:rsid w:val="00817EF5"/>
    <w:rsid w:val="00817F88"/>
    <w:rsid w:val="008204CA"/>
    <w:rsid w:val="008208F9"/>
    <w:rsid w:val="00825694"/>
    <w:rsid w:val="008258BC"/>
    <w:rsid w:val="00831B04"/>
    <w:rsid w:val="00831D72"/>
    <w:rsid w:val="00835F49"/>
    <w:rsid w:val="008366A0"/>
    <w:rsid w:val="00836E83"/>
    <w:rsid w:val="008409C3"/>
    <w:rsid w:val="008447F5"/>
    <w:rsid w:val="008468F1"/>
    <w:rsid w:val="008504F9"/>
    <w:rsid w:val="0085113F"/>
    <w:rsid w:val="00853D61"/>
    <w:rsid w:val="00854CC9"/>
    <w:rsid w:val="00857AA2"/>
    <w:rsid w:val="00860C19"/>
    <w:rsid w:val="008616FE"/>
    <w:rsid w:val="00865760"/>
    <w:rsid w:val="00866802"/>
    <w:rsid w:val="00874EDC"/>
    <w:rsid w:val="00875266"/>
    <w:rsid w:val="00890FD0"/>
    <w:rsid w:val="008956AC"/>
    <w:rsid w:val="0089680F"/>
    <w:rsid w:val="008979AD"/>
    <w:rsid w:val="008A16CC"/>
    <w:rsid w:val="008A70DA"/>
    <w:rsid w:val="008B0411"/>
    <w:rsid w:val="008B4C32"/>
    <w:rsid w:val="008B768F"/>
    <w:rsid w:val="008B7CE2"/>
    <w:rsid w:val="008C0362"/>
    <w:rsid w:val="008C4523"/>
    <w:rsid w:val="008C48F5"/>
    <w:rsid w:val="008C4E1D"/>
    <w:rsid w:val="008C66ED"/>
    <w:rsid w:val="008C747D"/>
    <w:rsid w:val="008D318D"/>
    <w:rsid w:val="008D38E4"/>
    <w:rsid w:val="008D6152"/>
    <w:rsid w:val="008D7EEA"/>
    <w:rsid w:val="008D7F68"/>
    <w:rsid w:val="008E2246"/>
    <w:rsid w:val="008E2EC4"/>
    <w:rsid w:val="008E36AE"/>
    <w:rsid w:val="008F087D"/>
    <w:rsid w:val="008F4997"/>
    <w:rsid w:val="008F5DB7"/>
    <w:rsid w:val="008F7CFA"/>
    <w:rsid w:val="009010DF"/>
    <w:rsid w:val="00901EBA"/>
    <w:rsid w:val="0090508B"/>
    <w:rsid w:val="0090697D"/>
    <w:rsid w:val="00906DFD"/>
    <w:rsid w:val="00914893"/>
    <w:rsid w:val="00915154"/>
    <w:rsid w:val="00920935"/>
    <w:rsid w:val="009240F2"/>
    <w:rsid w:val="00925018"/>
    <w:rsid w:val="00927AB2"/>
    <w:rsid w:val="00931D59"/>
    <w:rsid w:val="00932F44"/>
    <w:rsid w:val="00932F83"/>
    <w:rsid w:val="00934805"/>
    <w:rsid w:val="0093633E"/>
    <w:rsid w:val="00936850"/>
    <w:rsid w:val="00947CCC"/>
    <w:rsid w:val="00950D04"/>
    <w:rsid w:val="0095388B"/>
    <w:rsid w:val="009551B0"/>
    <w:rsid w:val="00955A88"/>
    <w:rsid w:val="0095746E"/>
    <w:rsid w:val="00960C63"/>
    <w:rsid w:val="009618DF"/>
    <w:rsid w:val="00964D8B"/>
    <w:rsid w:val="00967127"/>
    <w:rsid w:val="00972CDE"/>
    <w:rsid w:val="00973621"/>
    <w:rsid w:val="00974EFE"/>
    <w:rsid w:val="00981A47"/>
    <w:rsid w:val="0098496E"/>
    <w:rsid w:val="0098588B"/>
    <w:rsid w:val="00990339"/>
    <w:rsid w:val="009933B5"/>
    <w:rsid w:val="009954B6"/>
    <w:rsid w:val="00995D09"/>
    <w:rsid w:val="009A1014"/>
    <w:rsid w:val="009A401C"/>
    <w:rsid w:val="009A436F"/>
    <w:rsid w:val="009A4DA2"/>
    <w:rsid w:val="009A5131"/>
    <w:rsid w:val="009B30B1"/>
    <w:rsid w:val="009B4A69"/>
    <w:rsid w:val="009B549F"/>
    <w:rsid w:val="009B69A0"/>
    <w:rsid w:val="009C291F"/>
    <w:rsid w:val="009C49CF"/>
    <w:rsid w:val="009C695D"/>
    <w:rsid w:val="009D42FA"/>
    <w:rsid w:val="009D6CD4"/>
    <w:rsid w:val="009E1DE5"/>
    <w:rsid w:val="009E5E4E"/>
    <w:rsid w:val="009E6C21"/>
    <w:rsid w:val="009F165B"/>
    <w:rsid w:val="00A0070F"/>
    <w:rsid w:val="00A00B5E"/>
    <w:rsid w:val="00A00B7C"/>
    <w:rsid w:val="00A015DF"/>
    <w:rsid w:val="00A02AA8"/>
    <w:rsid w:val="00A03DED"/>
    <w:rsid w:val="00A10608"/>
    <w:rsid w:val="00A1196D"/>
    <w:rsid w:val="00A12C10"/>
    <w:rsid w:val="00A12F42"/>
    <w:rsid w:val="00A14A65"/>
    <w:rsid w:val="00A15E9C"/>
    <w:rsid w:val="00A274DE"/>
    <w:rsid w:val="00A27C9F"/>
    <w:rsid w:val="00A30C9A"/>
    <w:rsid w:val="00A32D33"/>
    <w:rsid w:val="00A35A6F"/>
    <w:rsid w:val="00A35EF2"/>
    <w:rsid w:val="00A371FF"/>
    <w:rsid w:val="00A4029A"/>
    <w:rsid w:val="00A433CD"/>
    <w:rsid w:val="00A47291"/>
    <w:rsid w:val="00A514EF"/>
    <w:rsid w:val="00A632FA"/>
    <w:rsid w:val="00A649C3"/>
    <w:rsid w:val="00A651D1"/>
    <w:rsid w:val="00A70DC7"/>
    <w:rsid w:val="00A71C58"/>
    <w:rsid w:val="00A728AF"/>
    <w:rsid w:val="00A745A3"/>
    <w:rsid w:val="00A77403"/>
    <w:rsid w:val="00A8540A"/>
    <w:rsid w:val="00A857E3"/>
    <w:rsid w:val="00A87B2C"/>
    <w:rsid w:val="00A87F5F"/>
    <w:rsid w:val="00A907E9"/>
    <w:rsid w:val="00A96E82"/>
    <w:rsid w:val="00AA3730"/>
    <w:rsid w:val="00AA4307"/>
    <w:rsid w:val="00AA4734"/>
    <w:rsid w:val="00AB0E45"/>
    <w:rsid w:val="00AB3C36"/>
    <w:rsid w:val="00AB4652"/>
    <w:rsid w:val="00AC37F6"/>
    <w:rsid w:val="00AC3A4A"/>
    <w:rsid w:val="00AC409A"/>
    <w:rsid w:val="00AD4FCF"/>
    <w:rsid w:val="00AD6B2D"/>
    <w:rsid w:val="00AD74DC"/>
    <w:rsid w:val="00AD7E89"/>
    <w:rsid w:val="00AE1E56"/>
    <w:rsid w:val="00AE387F"/>
    <w:rsid w:val="00AE6B8F"/>
    <w:rsid w:val="00AF20E8"/>
    <w:rsid w:val="00AF36CB"/>
    <w:rsid w:val="00AF5B92"/>
    <w:rsid w:val="00B05571"/>
    <w:rsid w:val="00B135F9"/>
    <w:rsid w:val="00B1702E"/>
    <w:rsid w:val="00B175B2"/>
    <w:rsid w:val="00B175DE"/>
    <w:rsid w:val="00B17F7B"/>
    <w:rsid w:val="00B21ADD"/>
    <w:rsid w:val="00B23133"/>
    <w:rsid w:val="00B26F34"/>
    <w:rsid w:val="00B27CF7"/>
    <w:rsid w:val="00B31196"/>
    <w:rsid w:val="00B336E4"/>
    <w:rsid w:val="00B37A30"/>
    <w:rsid w:val="00B42190"/>
    <w:rsid w:val="00B4769F"/>
    <w:rsid w:val="00B50909"/>
    <w:rsid w:val="00B51CB6"/>
    <w:rsid w:val="00B54F8B"/>
    <w:rsid w:val="00B551E1"/>
    <w:rsid w:val="00B552C5"/>
    <w:rsid w:val="00B600F8"/>
    <w:rsid w:val="00B66303"/>
    <w:rsid w:val="00B666A1"/>
    <w:rsid w:val="00B67E34"/>
    <w:rsid w:val="00B72A8E"/>
    <w:rsid w:val="00B75C9F"/>
    <w:rsid w:val="00B77858"/>
    <w:rsid w:val="00B8381E"/>
    <w:rsid w:val="00B9328D"/>
    <w:rsid w:val="00B93F19"/>
    <w:rsid w:val="00B947DA"/>
    <w:rsid w:val="00B95BCC"/>
    <w:rsid w:val="00B96722"/>
    <w:rsid w:val="00BA017C"/>
    <w:rsid w:val="00BA1450"/>
    <w:rsid w:val="00BA74C3"/>
    <w:rsid w:val="00BB1D53"/>
    <w:rsid w:val="00BB6FCA"/>
    <w:rsid w:val="00BC3338"/>
    <w:rsid w:val="00BD0C05"/>
    <w:rsid w:val="00BD4847"/>
    <w:rsid w:val="00BD54A8"/>
    <w:rsid w:val="00BE38A1"/>
    <w:rsid w:val="00BE43FC"/>
    <w:rsid w:val="00BE475D"/>
    <w:rsid w:val="00BE5DAB"/>
    <w:rsid w:val="00BE6CBB"/>
    <w:rsid w:val="00BF2FB7"/>
    <w:rsid w:val="00BF4B9D"/>
    <w:rsid w:val="00C00D7B"/>
    <w:rsid w:val="00C01275"/>
    <w:rsid w:val="00C06C29"/>
    <w:rsid w:val="00C10019"/>
    <w:rsid w:val="00C1030D"/>
    <w:rsid w:val="00C107C6"/>
    <w:rsid w:val="00C1409E"/>
    <w:rsid w:val="00C1602A"/>
    <w:rsid w:val="00C17F94"/>
    <w:rsid w:val="00C22CF3"/>
    <w:rsid w:val="00C24B14"/>
    <w:rsid w:val="00C27926"/>
    <w:rsid w:val="00C311B0"/>
    <w:rsid w:val="00C32407"/>
    <w:rsid w:val="00C403FC"/>
    <w:rsid w:val="00C40D0F"/>
    <w:rsid w:val="00C52F3C"/>
    <w:rsid w:val="00C55E2E"/>
    <w:rsid w:val="00C57880"/>
    <w:rsid w:val="00C61424"/>
    <w:rsid w:val="00C63D4D"/>
    <w:rsid w:val="00C65502"/>
    <w:rsid w:val="00C662B2"/>
    <w:rsid w:val="00C67AAE"/>
    <w:rsid w:val="00C72546"/>
    <w:rsid w:val="00C7699C"/>
    <w:rsid w:val="00C80F0D"/>
    <w:rsid w:val="00C81A2B"/>
    <w:rsid w:val="00C940D1"/>
    <w:rsid w:val="00C94778"/>
    <w:rsid w:val="00CA7B46"/>
    <w:rsid w:val="00CB08CC"/>
    <w:rsid w:val="00CB155F"/>
    <w:rsid w:val="00CB1D7F"/>
    <w:rsid w:val="00CC2DDC"/>
    <w:rsid w:val="00CC4839"/>
    <w:rsid w:val="00CC4A60"/>
    <w:rsid w:val="00CD0C23"/>
    <w:rsid w:val="00CD47D5"/>
    <w:rsid w:val="00CD5DEE"/>
    <w:rsid w:val="00CE1EF0"/>
    <w:rsid w:val="00CE3EE8"/>
    <w:rsid w:val="00CE4839"/>
    <w:rsid w:val="00CE5091"/>
    <w:rsid w:val="00CE561A"/>
    <w:rsid w:val="00CE6A12"/>
    <w:rsid w:val="00CF184F"/>
    <w:rsid w:val="00CF3056"/>
    <w:rsid w:val="00CF3C3F"/>
    <w:rsid w:val="00CF5012"/>
    <w:rsid w:val="00D007F4"/>
    <w:rsid w:val="00D04B66"/>
    <w:rsid w:val="00D05B70"/>
    <w:rsid w:val="00D16C0A"/>
    <w:rsid w:val="00D22717"/>
    <w:rsid w:val="00D2467B"/>
    <w:rsid w:val="00D319ED"/>
    <w:rsid w:val="00D31B11"/>
    <w:rsid w:val="00D34BC4"/>
    <w:rsid w:val="00D34F93"/>
    <w:rsid w:val="00D37043"/>
    <w:rsid w:val="00D37512"/>
    <w:rsid w:val="00D43131"/>
    <w:rsid w:val="00D53EC5"/>
    <w:rsid w:val="00D542CC"/>
    <w:rsid w:val="00D613C4"/>
    <w:rsid w:val="00D65B20"/>
    <w:rsid w:val="00D6667E"/>
    <w:rsid w:val="00D67BB4"/>
    <w:rsid w:val="00D73017"/>
    <w:rsid w:val="00D73606"/>
    <w:rsid w:val="00D75E5C"/>
    <w:rsid w:val="00D81C8D"/>
    <w:rsid w:val="00D85E6F"/>
    <w:rsid w:val="00D86A88"/>
    <w:rsid w:val="00D904C4"/>
    <w:rsid w:val="00D90CC4"/>
    <w:rsid w:val="00DA0A10"/>
    <w:rsid w:val="00DA6100"/>
    <w:rsid w:val="00DB6480"/>
    <w:rsid w:val="00DB7B23"/>
    <w:rsid w:val="00DC0F89"/>
    <w:rsid w:val="00DC3F37"/>
    <w:rsid w:val="00DC6AAD"/>
    <w:rsid w:val="00DC6CAD"/>
    <w:rsid w:val="00DD1221"/>
    <w:rsid w:val="00DD3705"/>
    <w:rsid w:val="00DE1202"/>
    <w:rsid w:val="00DE28B7"/>
    <w:rsid w:val="00DE4F55"/>
    <w:rsid w:val="00DE6150"/>
    <w:rsid w:val="00DF0E3E"/>
    <w:rsid w:val="00DF158F"/>
    <w:rsid w:val="00DF18D3"/>
    <w:rsid w:val="00DF1A96"/>
    <w:rsid w:val="00DF2B98"/>
    <w:rsid w:val="00DF2E6D"/>
    <w:rsid w:val="00DF3DF4"/>
    <w:rsid w:val="00E00147"/>
    <w:rsid w:val="00E02142"/>
    <w:rsid w:val="00E02DEC"/>
    <w:rsid w:val="00E059FC"/>
    <w:rsid w:val="00E06247"/>
    <w:rsid w:val="00E1092D"/>
    <w:rsid w:val="00E125F9"/>
    <w:rsid w:val="00E14D0F"/>
    <w:rsid w:val="00E17D92"/>
    <w:rsid w:val="00E21116"/>
    <w:rsid w:val="00E22A87"/>
    <w:rsid w:val="00E24AA1"/>
    <w:rsid w:val="00E3012A"/>
    <w:rsid w:val="00E34FD0"/>
    <w:rsid w:val="00E36ED9"/>
    <w:rsid w:val="00E37E3D"/>
    <w:rsid w:val="00E4037E"/>
    <w:rsid w:val="00E42806"/>
    <w:rsid w:val="00E451D9"/>
    <w:rsid w:val="00E5471F"/>
    <w:rsid w:val="00E55CD4"/>
    <w:rsid w:val="00E61255"/>
    <w:rsid w:val="00E61CDD"/>
    <w:rsid w:val="00E634C8"/>
    <w:rsid w:val="00E646D6"/>
    <w:rsid w:val="00E657C9"/>
    <w:rsid w:val="00E73844"/>
    <w:rsid w:val="00E776DF"/>
    <w:rsid w:val="00E80BEB"/>
    <w:rsid w:val="00E82097"/>
    <w:rsid w:val="00E83321"/>
    <w:rsid w:val="00E86826"/>
    <w:rsid w:val="00E93FDC"/>
    <w:rsid w:val="00E95BDD"/>
    <w:rsid w:val="00EA0491"/>
    <w:rsid w:val="00EA0B4D"/>
    <w:rsid w:val="00EA2567"/>
    <w:rsid w:val="00EA3458"/>
    <w:rsid w:val="00EA61EB"/>
    <w:rsid w:val="00EA6A6D"/>
    <w:rsid w:val="00EB0597"/>
    <w:rsid w:val="00EB3A25"/>
    <w:rsid w:val="00EB3B16"/>
    <w:rsid w:val="00EB4BE5"/>
    <w:rsid w:val="00EB792B"/>
    <w:rsid w:val="00EB7976"/>
    <w:rsid w:val="00EC0247"/>
    <w:rsid w:val="00EC0DC7"/>
    <w:rsid w:val="00EC29AD"/>
    <w:rsid w:val="00ED3CA5"/>
    <w:rsid w:val="00ED41C8"/>
    <w:rsid w:val="00ED6001"/>
    <w:rsid w:val="00ED63D3"/>
    <w:rsid w:val="00EE1BA6"/>
    <w:rsid w:val="00EE3FBA"/>
    <w:rsid w:val="00EF1245"/>
    <w:rsid w:val="00EF3D14"/>
    <w:rsid w:val="00EF4AD9"/>
    <w:rsid w:val="00EF631B"/>
    <w:rsid w:val="00F01A02"/>
    <w:rsid w:val="00F03872"/>
    <w:rsid w:val="00F06A47"/>
    <w:rsid w:val="00F101B2"/>
    <w:rsid w:val="00F117A4"/>
    <w:rsid w:val="00F1379C"/>
    <w:rsid w:val="00F210C5"/>
    <w:rsid w:val="00F210E5"/>
    <w:rsid w:val="00F26CEC"/>
    <w:rsid w:val="00F2752E"/>
    <w:rsid w:val="00F37E72"/>
    <w:rsid w:val="00F42176"/>
    <w:rsid w:val="00F435E5"/>
    <w:rsid w:val="00F45353"/>
    <w:rsid w:val="00F6057F"/>
    <w:rsid w:val="00F61ACA"/>
    <w:rsid w:val="00F63F9F"/>
    <w:rsid w:val="00F6469D"/>
    <w:rsid w:val="00F653B6"/>
    <w:rsid w:val="00F65F0C"/>
    <w:rsid w:val="00F6716F"/>
    <w:rsid w:val="00F67522"/>
    <w:rsid w:val="00F67AD7"/>
    <w:rsid w:val="00F747B7"/>
    <w:rsid w:val="00F76959"/>
    <w:rsid w:val="00F7750D"/>
    <w:rsid w:val="00F83374"/>
    <w:rsid w:val="00F83D9A"/>
    <w:rsid w:val="00F91511"/>
    <w:rsid w:val="00F92F6F"/>
    <w:rsid w:val="00FA0084"/>
    <w:rsid w:val="00FA2888"/>
    <w:rsid w:val="00FA4D7F"/>
    <w:rsid w:val="00FA7DD2"/>
    <w:rsid w:val="00FB06B0"/>
    <w:rsid w:val="00FB1578"/>
    <w:rsid w:val="00FB3ABB"/>
    <w:rsid w:val="00FB5B44"/>
    <w:rsid w:val="00FB63A9"/>
    <w:rsid w:val="00FB7EA7"/>
    <w:rsid w:val="00FC0F26"/>
    <w:rsid w:val="00FC1189"/>
    <w:rsid w:val="00FC1CA0"/>
    <w:rsid w:val="00FC20F9"/>
    <w:rsid w:val="00FC2BAC"/>
    <w:rsid w:val="00FC75B1"/>
    <w:rsid w:val="00FD1521"/>
    <w:rsid w:val="00FD1579"/>
    <w:rsid w:val="00FD231D"/>
    <w:rsid w:val="00FD360D"/>
    <w:rsid w:val="00FD5BF1"/>
    <w:rsid w:val="00FE1BB7"/>
    <w:rsid w:val="00FE1C55"/>
    <w:rsid w:val="00FF22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f" fillcolor="white" stroke="f">
      <v:fill color="white" on="f"/>
      <v:stroke on="f"/>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B21ADD"/>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A35EF2"/>
    <w:pPr>
      <w:keepNext/>
      <w:pageBreakBefore/>
      <w:numPr>
        <w:numId w:val="6"/>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A35EF2"/>
    <w:pPr>
      <w:keepNext/>
      <w:numPr>
        <w:ilvl w:val="1"/>
        <w:numId w:val="6"/>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A35EF2"/>
    <w:pPr>
      <w:keepNext/>
      <w:numPr>
        <w:ilvl w:val="2"/>
        <w:numId w:val="6"/>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A35EF2"/>
    <w:pPr>
      <w:keepNext/>
      <w:numPr>
        <w:ilvl w:val="3"/>
        <w:numId w:val="6"/>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A35EF2"/>
    <w:pPr>
      <w:keepNext/>
      <w:numPr>
        <w:ilvl w:val="4"/>
        <w:numId w:val="6"/>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A35EF2"/>
    <w:pPr>
      <w:keepNext/>
      <w:numPr>
        <w:ilvl w:val="5"/>
        <w:numId w:val="6"/>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6"/>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6"/>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6"/>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EM3Zchn">
    <w:name w:val="GEM_Ü3 Zchn"/>
    <w:link w:val="GEM3"/>
    <w:rsid w:val="000B7EA2"/>
    <w:rPr>
      <w:rFonts w:ascii="Arial" w:hAnsi="Arial"/>
      <w:b/>
      <w:sz w:val="24"/>
      <w:szCs w:val="24"/>
      <w:lang w:eastAsia="en-US"/>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2"/>
      </w:numPr>
      <w:outlineLvl w:val="9"/>
    </w:pPr>
    <w:rPr>
      <w:bCs/>
      <w:iCs/>
      <w:szCs w:val="22"/>
    </w:rPr>
  </w:style>
  <w:style w:type="paragraph" w:customStyle="1" w:styleId="GEM3">
    <w:name w:val="GEM_Ü3"/>
    <w:basedOn w:val="berschrift3"/>
    <w:next w:val="gemStandard"/>
    <w:link w:val="GEM3Zchn"/>
    <w:rsid w:val="000B7EA2"/>
    <w:pPr>
      <w:numPr>
        <w:numId w:val="2"/>
      </w:numPr>
    </w:pPr>
  </w:style>
  <w:style w:type="paragraph" w:customStyle="1" w:styleId="gem4">
    <w:name w:val="gem_Ü4"/>
    <w:basedOn w:val="berschrift4"/>
    <w:next w:val="gemStandard"/>
    <w:link w:val="gem4Zchn"/>
    <w:rsid w:val="00E02142"/>
    <w:pPr>
      <w:numPr>
        <w:numId w:val="2"/>
      </w:numPr>
      <w:outlineLvl w:val="9"/>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0B7EA2"/>
    <w:pPr>
      <w:numPr>
        <w:numId w:val="2"/>
      </w:numPr>
      <w:ind w:left="431" w:hanging="431"/>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0B7EA2"/>
    <w:pPr>
      <w:numPr>
        <w:numId w:val="2"/>
      </w:numPr>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8B4C32"/>
    <w:pPr>
      <w:numPr>
        <w:numId w:val="0"/>
      </w:numPr>
    </w:pPr>
    <w:rPr>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1D1EAE"/>
    <w:pPr>
      <w:numPr>
        <w:numId w:val="4"/>
      </w:numPr>
      <w:tabs>
        <w:tab w:val="left" w:pos="1134"/>
      </w:tabs>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1"/>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character" w:styleId="Kommentarzeichen">
    <w:name w:val="annotation reference"/>
    <w:semiHidden/>
    <w:rsid w:val="00920935"/>
    <w:rPr>
      <w:sz w:val="16"/>
      <w:szCs w:val="16"/>
    </w:rPr>
  </w:style>
  <w:style w:type="paragraph" w:styleId="Kommentartext">
    <w:name w:val="annotation text"/>
    <w:basedOn w:val="Standard"/>
    <w:link w:val="KommentartextZchn"/>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3"/>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Standard"/>
    <w:rsid w:val="00AF5B92"/>
    <w:pPr>
      <w:spacing w:before="120"/>
    </w:pPr>
    <w:rPr>
      <w:b/>
      <w:bCs/>
      <w:sz w:val="20"/>
      <w:szCs w:val="20"/>
    </w:r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E02142"/>
    <w:rPr>
      <w:rFonts w:ascii="Arial" w:hAnsi="Arial"/>
      <w:b/>
      <w:bCs/>
      <w:iCs/>
      <w:lang w:eastAsia="en-US"/>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1D1EAE"/>
    <w:rPr>
      <w:rFonts w:ascii="Arial" w:eastAsia="MS Mincho" w:hAnsi="Arial"/>
      <w:sz w:val="22"/>
      <w:szCs w:val="24"/>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eastAsia="Times New Roman"/>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0B7EA2"/>
    <w:rPr>
      <w:rFonts w:ascii="Arial" w:hAnsi="Arial"/>
      <w:b/>
      <w:sz w:val="26"/>
      <w:szCs w:val="24"/>
      <w:lang w:eastAsia="en-US"/>
    </w:rPr>
  </w:style>
  <w:style w:type="character" w:customStyle="1" w:styleId="gemZwischenberschriftChar">
    <w:name w:val="gem_Zwischenüberschrift Char"/>
    <w:link w:val="gemZwischenberschrift"/>
    <w:rsid w:val="0098496E"/>
    <w:rPr>
      <w:rFonts w:ascii="Arial" w:eastAsia="MS Mincho" w:hAnsi="Arial"/>
      <w:b/>
      <w:sz w:val="22"/>
      <w:szCs w:val="22"/>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5"/>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paragraph" w:styleId="Beschriftung">
    <w:name w:val="caption"/>
    <w:basedOn w:val="Standard"/>
    <w:next w:val="Standard"/>
    <w:unhideWhenUsed/>
    <w:qFormat/>
    <w:rsid w:val="00C22CF3"/>
    <w:pPr>
      <w:spacing w:after="200"/>
    </w:pPr>
    <w:rPr>
      <w:b/>
      <w:bCs/>
      <w:color w:val="4F81BD" w:themeColor="accent1"/>
      <w:sz w:val="18"/>
      <w:szCs w:val="18"/>
    </w:rPr>
  </w:style>
  <w:style w:type="character" w:customStyle="1" w:styleId="KommentartextZchn">
    <w:name w:val="Kommentartext Zchn"/>
    <w:basedOn w:val="Absatz-Standardschriftart"/>
    <w:link w:val="Kommentartext"/>
    <w:semiHidden/>
    <w:rsid w:val="006009D3"/>
    <w:rPr>
      <w:rFonts w:ascii="Arial" w:eastAsia="MS Mincho" w:hAnsi="Arial"/>
    </w:rPr>
  </w:style>
  <w:style w:type="paragraph" w:styleId="Listenabsatz">
    <w:name w:val="List Paragraph"/>
    <w:basedOn w:val="Standard"/>
    <w:uiPriority w:val="34"/>
    <w:qFormat/>
    <w:rsid w:val="0093633E"/>
    <w:pPr>
      <w:ind w:left="720"/>
      <w:contextualSpacing/>
    </w:pPr>
  </w:style>
  <w:style w:type="character" w:customStyle="1" w:styleId="gemAufzhlungZchnZchn">
    <w:name w:val="gem_Aufzählung Zchn Zchn"/>
    <w:basedOn w:val="Absatz-Standardschriftart"/>
    <w:rsid w:val="007E6A37"/>
    <w:rPr>
      <w:rFonts w:ascii="Arial" w:eastAsia="MS Mincho" w:hAnsi="Arial"/>
      <w:sz w:val="22"/>
      <w:szCs w:val="24"/>
      <w:lang w:val="de-DE" w:eastAsia="de-DE" w:bidi="ar-SA"/>
    </w:rPr>
  </w:style>
  <w:style w:type="paragraph" w:styleId="Titel">
    <w:name w:val="Title"/>
    <w:basedOn w:val="Standard"/>
    <w:next w:val="Standard"/>
    <w:link w:val="TitelZchn"/>
    <w:uiPriority w:val="10"/>
    <w:qFormat/>
    <w:rsid w:val="00A35EF2"/>
    <w:pPr>
      <w:keepNext/>
      <w:spacing w:before="360"/>
      <w:jc w:val="center"/>
    </w:pPr>
    <w:rPr>
      <w:rFonts w:eastAsia="Times New Roman"/>
      <w:b/>
      <w:sz w:val="28"/>
      <w:szCs w:val="52"/>
      <w:lang w:eastAsia="en-US"/>
    </w:rPr>
  </w:style>
  <w:style w:type="character" w:customStyle="1" w:styleId="TitelZchn">
    <w:name w:val="Titel Zchn"/>
    <w:link w:val="Titel"/>
    <w:uiPriority w:val="10"/>
    <w:rsid w:val="00A35EF2"/>
    <w:rPr>
      <w:rFonts w:ascii="Arial" w:hAnsi="Arial"/>
      <w:b/>
      <w:sz w:val="28"/>
      <w:szCs w:val="52"/>
      <w:lang w:eastAsia="en-US"/>
    </w:rPr>
  </w:style>
  <w:style w:type="character" w:customStyle="1" w:styleId="berschrift1Zchn">
    <w:name w:val="Überschrift 1 Zchn"/>
    <w:link w:val="berschrift1"/>
    <w:uiPriority w:val="9"/>
    <w:rsid w:val="00A35EF2"/>
    <w:rPr>
      <w:rFonts w:ascii="Arial" w:hAnsi="Arial"/>
      <w:b/>
      <w:sz w:val="28"/>
      <w:szCs w:val="32"/>
      <w:lang w:eastAsia="en-US"/>
    </w:rPr>
  </w:style>
  <w:style w:type="character" w:customStyle="1" w:styleId="berschrift2Zchn">
    <w:name w:val="Überschrift 2 Zchn"/>
    <w:link w:val="berschrift2"/>
    <w:uiPriority w:val="9"/>
    <w:rsid w:val="00A35EF2"/>
    <w:rPr>
      <w:rFonts w:ascii="Arial" w:hAnsi="Arial"/>
      <w:b/>
      <w:sz w:val="26"/>
      <w:szCs w:val="26"/>
      <w:lang w:eastAsia="en-US"/>
    </w:rPr>
  </w:style>
  <w:style w:type="character" w:customStyle="1" w:styleId="berschrift3Zchn">
    <w:name w:val="Überschrift 3 Zchn"/>
    <w:link w:val="berschrift3"/>
    <w:uiPriority w:val="9"/>
    <w:rsid w:val="00A35EF2"/>
    <w:rPr>
      <w:rFonts w:ascii="Arial" w:hAnsi="Arial"/>
      <w:b/>
      <w:sz w:val="24"/>
      <w:szCs w:val="24"/>
      <w:lang w:eastAsia="en-US"/>
    </w:rPr>
  </w:style>
  <w:style w:type="character" w:customStyle="1" w:styleId="berschrift4Zchn">
    <w:name w:val="Überschrift 4 Zchn"/>
    <w:link w:val="berschrift4"/>
    <w:uiPriority w:val="9"/>
    <w:rsid w:val="00A35EF2"/>
    <w:rPr>
      <w:rFonts w:ascii="Arial" w:hAnsi="Arial"/>
      <w:b/>
      <w:iCs/>
      <w:sz w:val="22"/>
      <w:szCs w:val="24"/>
      <w:lang w:eastAsia="en-US"/>
    </w:rPr>
  </w:style>
  <w:style w:type="character" w:customStyle="1" w:styleId="berschrift5Zchn">
    <w:name w:val="Überschrift 5 Zchn"/>
    <w:link w:val="berschrift5"/>
    <w:uiPriority w:val="9"/>
    <w:rsid w:val="00A35EF2"/>
    <w:rPr>
      <w:rFonts w:ascii="Arial" w:hAnsi="Arial"/>
      <w:i/>
      <w:sz w:val="22"/>
      <w:szCs w:val="24"/>
      <w:lang w:eastAsia="en-US"/>
    </w:rPr>
  </w:style>
  <w:style w:type="character" w:customStyle="1" w:styleId="berschrift6Zchn">
    <w:name w:val="Überschrift 6 Zchn"/>
    <w:link w:val="berschrift6"/>
    <w:uiPriority w:val="9"/>
    <w:rsid w:val="00A35EF2"/>
    <w:rPr>
      <w:rFonts w:ascii="Arial" w:hAnsi="Arial"/>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B21ADD"/>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A35EF2"/>
    <w:pPr>
      <w:keepNext/>
      <w:pageBreakBefore/>
      <w:numPr>
        <w:numId w:val="6"/>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A35EF2"/>
    <w:pPr>
      <w:keepNext/>
      <w:numPr>
        <w:ilvl w:val="1"/>
        <w:numId w:val="6"/>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A35EF2"/>
    <w:pPr>
      <w:keepNext/>
      <w:numPr>
        <w:ilvl w:val="2"/>
        <w:numId w:val="6"/>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A35EF2"/>
    <w:pPr>
      <w:keepNext/>
      <w:numPr>
        <w:ilvl w:val="3"/>
        <w:numId w:val="6"/>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A35EF2"/>
    <w:pPr>
      <w:keepNext/>
      <w:numPr>
        <w:ilvl w:val="4"/>
        <w:numId w:val="6"/>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A35EF2"/>
    <w:pPr>
      <w:keepNext/>
      <w:numPr>
        <w:ilvl w:val="5"/>
        <w:numId w:val="6"/>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6"/>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6"/>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6"/>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EM3Zchn">
    <w:name w:val="GEM_Ü3 Zchn"/>
    <w:link w:val="GEM3"/>
    <w:rsid w:val="000B7EA2"/>
    <w:rPr>
      <w:rFonts w:ascii="Arial" w:hAnsi="Arial"/>
      <w:b/>
      <w:sz w:val="24"/>
      <w:szCs w:val="24"/>
      <w:lang w:eastAsia="en-US"/>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2"/>
      </w:numPr>
      <w:outlineLvl w:val="9"/>
    </w:pPr>
    <w:rPr>
      <w:bCs/>
      <w:iCs/>
      <w:szCs w:val="22"/>
    </w:rPr>
  </w:style>
  <w:style w:type="paragraph" w:customStyle="1" w:styleId="GEM3">
    <w:name w:val="GEM_Ü3"/>
    <w:basedOn w:val="berschrift3"/>
    <w:next w:val="gemStandard"/>
    <w:link w:val="GEM3Zchn"/>
    <w:rsid w:val="000B7EA2"/>
    <w:pPr>
      <w:numPr>
        <w:numId w:val="2"/>
      </w:numPr>
    </w:pPr>
  </w:style>
  <w:style w:type="paragraph" w:customStyle="1" w:styleId="gem4">
    <w:name w:val="gem_Ü4"/>
    <w:basedOn w:val="berschrift4"/>
    <w:next w:val="gemStandard"/>
    <w:link w:val="gem4Zchn"/>
    <w:rsid w:val="00E02142"/>
    <w:pPr>
      <w:numPr>
        <w:numId w:val="2"/>
      </w:numPr>
      <w:outlineLvl w:val="9"/>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0B7EA2"/>
    <w:pPr>
      <w:numPr>
        <w:numId w:val="2"/>
      </w:numPr>
      <w:ind w:left="431" w:hanging="431"/>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0B7EA2"/>
    <w:pPr>
      <w:numPr>
        <w:numId w:val="2"/>
      </w:numPr>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8B4C32"/>
    <w:pPr>
      <w:numPr>
        <w:numId w:val="0"/>
      </w:numPr>
    </w:pPr>
    <w:rPr>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1D1EAE"/>
    <w:pPr>
      <w:numPr>
        <w:numId w:val="4"/>
      </w:numPr>
      <w:tabs>
        <w:tab w:val="left" w:pos="1134"/>
      </w:tabs>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1"/>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character" w:styleId="Kommentarzeichen">
    <w:name w:val="annotation reference"/>
    <w:semiHidden/>
    <w:rsid w:val="00920935"/>
    <w:rPr>
      <w:sz w:val="16"/>
      <w:szCs w:val="16"/>
    </w:rPr>
  </w:style>
  <w:style w:type="paragraph" w:styleId="Kommentartext">
    <w:name w:val="annotation text"/>
    <w:basedOn w:val="Standard"/>
    <w:link w:val="KommentartextZchn"/>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3"/>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Standard"/>
    <w:rsid w:val="00AF5B92"/>
    <w:pPr>
      <w:spacing w:before="120"/>
    </w:pPr>
    <w:rPr>
      <w:b/>
      <w:bCs/>
      <w:sz w:val="20"/>
      <w:szCs w:val="20"/>
    </w:r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E02142"/>
    <w:rPr>
      <w:rFonts w:ascii="Arial" w:hAnsi="Arial"/>
      <w:b/>
      <w:bCs/>
      <w:iCs/>
      <w:lang w:eastAsia="en-US"/>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1D1EAE"/>
    <w:rPr>
      <w:rFonts w:ascii="Arial" w:eastAsia="MS Mincho" w:hAnsi="Arial"/>
      <w:sz w:val="22"/>
      <w:szCs w:val="24"/>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eastAsia="Times New Roman"/>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0B7EA2"/>
    <w:rPr>
      <w:rFonts w:ascii="Arial" w:hAnsi="Arial"/>
      <w:b/>
      <w:sz w:val="26"/>
      <w:szCs w:val="24"/>
      <w:lang w:eastAsia="en-US"/>
    </w:rPr>
  </w:style>
  <w:style w:type="character" w:customStyle="1" w:styleId="gemZwischenberschriftChar">
    <w:name w:val="gem_Zwischenüberschrift Char"/>
    <w:link w:val="gemZwischenberschrift"/>
    <w:rsid w:val="0098496E"/>
    <w:rPr>
      <w:rFonts w:ascii="Arial" w:eastAsia="MS Mincho" w:hAnsi="Arial"/>
      <w:b/>
      <w:sz w:val="22"/>
      <w:szCs w:val="22"/>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5"/>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paragraph" w:styleId="Beschriftung">
    <w:name w:val="caption"/>
    <w:basedOn w:val="Standard"/>
    <w:next w:val="Standard"/>
    <w:unhideWhenUsed/>
    <w:qFormat/>
    <w:rsid w:val="00C22CF3"/>
    <w:pPr>
      <w:spacing w:after="200"/>
    </w:pPr>
    <w:rPr>
      <w:b/>
      <w:bCs/>
      <w:color w:val="4F81BD" w:themeColor="accent1"/>
      <w:sz w:val="18"/>
      <w:szCs w:val="18"/>
    </w:rPr>
  </w:style>
  <w:style w:type="character" w:customStyle="1" w:styleId="KommentartextZchn">
    <w:name w:val="Kommentartext Zchn"/>
    <w:basedOn w:val="Absatz-Standardschriftart"/>
    <w:link w:val="Kommentartext"/>
    <w:semiHidden/>
    <w:rsid w:val="006009D3"/>
    <w:rPr>
      <w:rFonts w:ascii="Arial" w:eastAsia="MS Mincho" w:hAnsi="Arial"/>
    </w:rPr>
  </w:style>
  <w:style w:type="paragraph" w:styleId="Listenabsatz">
    <w:name w:val="List Paragraph"/>
    <w:basedOn w:val="Standard"/>
    <w:uiPriority w:val="34"/>
    <w:qFormat/>
    <w:rsid w:val="0093633E"/>
    <w:pPr>
      <w:ind w:left="720"/>
      <w:contextualSpacing/>
    </w:pPr>
  </w:style>
  <w:style w:type="character" w:customStyle="1" w:styleId="gemAufzhlungZchnZchn">
    <w:name w:val="gem_Aufzählung Zchn Zchn"/>
    <w:basedOn w:val="Absatz-Standardschriftart"/>
    <w:rsid w:val="007E6A37"/>
    <w:rPr>
      <w:rFonts w:ascii="Arial" w:eastAsia="MS Mincho" w:hAnsi="Arial"/>
      <w:sz w:val="22"/>
      <w:szCs w:val="24"/>
      <w:lang w:val="de-DE" w:eastAsia="de-DE" w:bidi="ar-SA"/>
    </w:rPr>
  </w:style>
  <w:style w:type="paragraph" w:styleId="Titel">
    <w:name w:val="Title"/>
    <w:basedOn w:val="Standard"/>
    <w:next w:val="Standard"/>
    <w:link w:val="TitelZchn"/>
    <w:uiPriority w:val="10"/>
    <w:qFormat/>
    <w:rsid w:val="00A35EF2"/>
    <w:pPr>
      <w:keepNext/>
      <w:spacing w:before="360"/>
      <w:jc w:val="center"/>
    </w:pPr>
    <w:rPr>
      <w:rFonts w:eastAsia="Times New Roman"/>
      <w:b/>
      <w:sz w:val="28"/>
      <w:szCs w:val="52"/>
      <w:lang w:eastAsia="en-US"/>
    </w:rPr>
  </w:style>
  <w:style w:type="character" w:customStyle="1" w:styleId="TitelZchn">
    <w:name w:val="Titel Zchn"/>
    <w:link w:val="Titel"/>
    <w:uiPriority w:val="10"/>
    <w:rsid w:val="00A35EF2"/>
    <w:rPr>
      <w:rFonts w:ascii="Arial" w:hAnsi="Arial"/>
      <w:b/>
      <w:sz w:val="28"/>
      <w:szCs w:val="52"/>
      <w:lang w:eastAsia="en-US"/>
    </w:rPr>
  </w:style>
  <w:style w:type="character" w:customStyle="1" w:styleId="berschrift1Zchn">
    <w:name w:val="Überschrift 1 Zchn"/>
    <w:link w:val="berschrift1"/>
    <w:uiPriority w:val="9"/>
    <w:rsid w:val="00A35EF2"/>
    <w:rPr>
      <w:rFonts w:ascii="Arial" w:hAnsi="Arial"/>
      <w:b/>
      <w:sz w:val="28"/>
      <w:szCs w:val="32"/>
      <w:lang w:eastAsia="en-US"/>
    </w:rPr>
  </w:style>
  <w:style w:type="character" w:customStyle="1" w:styleId="berschrift2Zchn">
    <w:name w:val="Überschrift 2 Zchn"/>
    <w:link w:val="berschrift2"/>
    <w:uiPriority w:val="9"/>
    <w:rsid w:val="00A35EF2"/>
    <w:rPr>
      <w:rFonts w:ascii="Arial" w:hAnsi="Arial"/>
      <w:b/>
      <w:sz w:val="26"/>
      <w:szCs w:val="26"/>
      <w:lang w:eastAsia="en-US"/>
    </w:rPr>
  </w:style>
  <w:style w:type="character" w:customStyle="1" w:styleId="berschrift3Zchn">
    <w:name w:val="Überschrift 3 Zchn"/>
    <w:link w:val="berschrift3"/>
    <w:uiPriority w:val="9"/>
    <w:rsid w:val="00A35EF2"/>
    <w:rPr>
      <w:rFonts w:ascii="Arial" w:hAnsi="Arial"/>
      <w:b/>
      <w:sz w:val="24"/>
      <w:szCs w:val="24"/>
      <w:lang w:eastAsia="en-US"/>
    </w:rPr>
  </w:style>
  <w:style w:type="character" w:customStyle="1" w:styleId="berschrift4Zchn">
    <w:name w:val="Überschrift 4 Zchn"/>
    <w:link w:val="berschrift4"/>
    <w:uiPriority w:val="9"/>
    <w:rsid w:val="00A35EF2"/>
    <w:rPr>
      <w:rFonts w:ascii="Arial" w:hAnsi="Arial"/>
      <w:b/>
      <w:iCs/>
      <w:sz w:val="22"/>
      <w:szCs w:val="24"/>
      <w:lang w:eastAsia="en-US"/>
    </w:rPr>
  </w:style>
  <w:style w:type="character" w:customStyle="1" w:styleId="berschrift5Zchn">
    <w:name w:val="Überschrift 5 Zchn"/>
    <w:link w:val="berschrift5"/>
    <w:uiPriority w:val="9"/>
    <w:rsid w:val="00A35EF2"/>
    <w:rPr>
      <w:rFonts w:ascii="Arial" w:hAnsi="Arial"/>
      <w:i/>
      <w:sz w:val="22"/>
      <w:szCs w:val="24"/>
      <w:lang w:eastAsia="en-US"/>
    </w:rPr>
  </w:style>
  <w:style w:type="character" w:customStyle="1" w:styleId="berschrift6Zchn">
    <w:name w:val="Überschrift 6 Zchn"/>
    <w:link w:val="berschrift6"/>
    <w:uiPriority w:val="9"/>
    <w:rsid w:val="00A35EF2"/>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463335">
      <w:bodyDiv w:val="1"/>
      <w:marLeft w:val="0"/>
      <w:marRight w:val="0"/>
      <w:marTop w:val="0"/>
      <w:marBottom w:val="0"/>
      <w:divBdr>
        <w:top w:val="none" w:sz="0" w:space="0" w:color="auto"/>
        <w:left w:val="none" w:sz="0" w:space="0" w:color="auto"/>
        <w:bottom w:val="none" w:sz="0" w:space="0" w:color="auto"/>
        <w:right w:val="none" w:sz="0" w:space="0" w:color="auto"/>
      </w:divBdr>
      <w:divsChild>
        <w:div w:id="292951307">
          <w:marLeft w:val="274"/>
          <w:marRight w:val="0"/>
          <w:marTop w:val="91"/>
          <w:marBottom w:val="0"/>
          <w:divBdr>
            <w:top w:val="none" w:sz="0" w:space="0" w:color="auto"/>
            <w:left w:val="none" w:sz="0" w:space="0" w:color="auto"/>
            <w:bottom w:val="none" w:sz="0" w:space="0" w:color="auto"/>
            <w:right w:val="none" w:sz="0" w:space="0" w:color="auto"/>
          </w:divBdr>
        </w:div>
        <w:div w:id="126971709">
          <w:marLeft w:val="562"/>
          <w:marRight w:val="0"/>
          <w:marTop w:val="77"/>
          <w:marBottom w:val="0"/>
          <w:divBdr>
            <w:top w:val="none" w:sz="0" w:space="0" w:color="auto"/>
            <w:left w:val="none" w:sz="0" w:space="0" w:color="auto"/>
            <w:bottom w:val="none" w:sz="0" w:space="0" w:color="auto"/>
            <w:right w:val="none" w:sz="0" w:space="0" w:color="auto"/>
          </w:divBdr>
        </w:div>
        <w:div w:id="1918322821">
          <w:marLeft w:val="562"/>
          <w:marRight w:val="0"/>
          <w:marTop w:val="77"/>
          <w:marBottom w:val="0"/>
          <w:divBdr>
            <w:top w:val="none" w:sz="0" w:space="0" w:color="auto"/>
            <w:left w:val="none" w:sz="0" w:space="0" w:color="auto"/>
            <w:bottom w:val="none" w:sz="0" w:space="0" w:color="auto"/>
            <w:right w:val="none" w:sz="0" w:space="0" w:color="auto"/>
          </w:divBdr>
        </w:div>
        <w:div w:id="1503006352">
          <w:marLeft w:val="850"/>
          <w:marRight w:val="0"/>
          <w:marTop w:val="67"/>
          <w:marBottom w:val="0"/>
          <w:divBdr>
            <w:top w:val="none" w:sz="0" w:space="0" w:color="auto"/>
            <w:left w:val="none" w:sz="0" w:space="0" w:color="auto"/>
            <w:bottom w:val="none" w:sz="0" w:space="0" w:color="auto"/>
            <w:right w:val="none" w:sz="0" w:space="0" w:color="auto"/>
          </w:divBdr>
        </w:div>
        <w:div w:id="1794981034">
          <w:marLeft w:val="562"/>
          <w:marRight w:val="0"/>
          <w:marTop w:val="77"/>
          <w:marBottom w:val="0"/>
          <w:divBdr>
            <w:top w:val="none" w:sz="0" w:space="0" w:color="auto"/>
            <w:left w:val="none" w:sz="0" w:space="0" w:color="auto"/>
            <w:bottom w:val="none" w:sz="0" w:space="0" w:color="auto"/>
            <w:right w:val="none" w:sz="0" w:space="0" w:color="auto"/>
          </w:divBdr>
        </w:div>
        <w:div w:id="710879571">
          <w:marLeft w:val="850"/>
          <w:marRight w:val="0"/>
          <w:marTop w:val="67"/>
          <w:marBottom w:val="0"/>
          <w:divBdr>
            <w:top w:val="none" w:sz="0" w:space="0" w:color="auto"/>
            <w:left w:val="none" w:sz="0" w:space="0" w:color="auto"/>
            <w:bottom w:val="none" w:sz="0" w:space="0" w:color="auto"/>
            <w:right w:val="none" w:sz="0" w:space="0" w:color="auto"/>
          </w:divBdr>
        </w:div>
        <w:div w:id="2075347431">
          <w:marLeft w:val="274"/>
          <w:marRight w:val="0"/>
          <w:marTop w:val="91"/>
          <w:marBottom w:val="0"/>
          <w:divBdr>
            <w:top w:val="none" w:sz="0" w:space="0" w:color="auto"/>
            <w:left w:val="none" w:sz="0" w:space="0" w:color="auto"/>
            <w:bottom w:val="none" w:sz="0" w:space="0" w:color="auto"/>
            <w:right w:val="none" w:sz="0" w:space="0" w:color="auto"/>
          </w:divBdr>
        </w:div>
        <w:div w:id="827943793">
          <w:marLeft w:val="562"/>
          <w:marRight w:val="0"/>
          <w:marTop w:val="77"/>
          <w:marBottom w:val="0"/>
          <w:divBdr>
            <w:top w:val="none" w:sz="0" w:space="0" w:color="auto"/>
            <w:left w:val="none" w:sz="0" w:space="0" w:color="auto"/>
            <w:bottom w:val="none" w:sz="0" w:space="0" w:color="auto"/>
            <w:right w:val="none" w:sz="0" w:space="0" w:color="auto"/>
          </w:divBdr>
        </w:div>
        <w:div w:id="339359313">
          <w:marLeft w:val="562"/>
          <w:marRight w:val="0"/>
          <w:marTop w:val="77"/>
          <w:marBottom w:val="0"/>
          <w:divBdr>
            <w:top w:val="none" w:sz="0" w:space="0" w:color="auto"/>
            <w:left w:val="none" w:sz="0" w:space="0" w:color="auto"/>
            <w:bottom w:val="none" w:sz="0" w:space="0" w:color="auto"/>
            <w:right w:val="none" w:sz="0" w:space="0" w:color="auto"/>
          </w:divBdr>
        </w:div>
        <w:div w:id="1349403137">
          <w:marLeft w:val="562"/>
          <w:marRight w:val="0"/>
          <w:marTop w:val="77"/>
          <w:marBottom w:val="0"/>
          <w:divBdr>
            <w:top w:val="none" w:sz="0" w:space="0" w:color="auto"/>
            <w:left w:val="none" w:sz="0" w:space="0" w:color="auto"/>
            <w:bottom w:val="none" w:sz="0" w:space="0" w:color="auto"/>
            <w:right w:val="none" w:sz="0" w:space="0" w:color="auto"/>
          </w:divBdr>
        </w:div>
      </w:divsChild>
    </w:div>
    <w:div w:id="1094203907">
      <w:bodyDiv w:val="1"/>
      <w:marLeft w:val="0"/>
      <w:marRight w:val="0"/>
      <w:marTop w:val="0"/>
      <w:marBottom w:val="0"/>
      <w:divBdr>
        <w:top w:val="none" w:sz="0" w:space="0" w:color="auto"/>
        <w:left w:val="none" w:sz="0" w:space="0" w:color="auto"/>
        <w:bottom w:val="none" w:sz="0" w:space="0" w:color="auto"/>
        <w:right w:val="none" w:sz="0" w:space="0" w:color="auto"/>
      </w:divBdr>
    </w:div>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91431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allgemein.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1F0FB-2356-4F46-AB12-DBA62EE9C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Spezifikation_allgemein.dotm</Template>
  <TotalTime>0</TotalTime>
  <Pages>10</Pages>
  <Words>1683</Words>
  <Characters>10608</Characters>
  <Application>Microsoft Office Word</Application>
  <DocSecurity>4</DocSecurity>
  <Lines>88</Lines>
  <Paragraphs>24</Paragraphs>
  <ScaleCrop>false</ScaleCrop>
  <HeadingPairs>
    <vt:vector size="2" baseType="variant">
      <vt:variant>
        <vt:lpstr>Titel</vt:lpstr>
      </vt:variant>
      <vt:variant>
        <vt:i4>1</vt:i4>
      </vt:variant>
    </vt:vector>
  </HeadingPairs>
  <TitlesOfParts>
    <vt:vector size="1" baseType="lpstr">
      <vt:lpstr>gematik  &lt;Ergebnistyp&gt; &lt;Thematik&gt;</vt:lpstr>
    </vt:vector>
  </TitlesOfParts>
  <Company>gematik mbH</Company>
  <LinksUpToDate>false</LinksUpToDate>
  <CharactersWithSpaces>12267</CharactersWithSpaces>
  <SharedDoc>false</SharedDoc>
  <HLinks>
    <vt:vector size="126" baseType="variant">
      <vt:variant>
        <vt:i4>1310779</vt:i4>
      </vt:variant>
      <vt:variant>
        <vt:i4>122</vt:i4>
      </vt:variant>
      <vt:variant>
        <vt:i4>0</vt:i4>
      </vt:variant>
      <vt:variant>
        <vt:i4>5</vt:i4>
      </vt:variant>
      <vt:variant>
        <vt:lpwstr/>
      </vt:variant>
      <vt:variant>
        <vt:lpwstr>_Toc329233209</vt:lpwstr>
      </vt:variant>
      <vt:variant>
        <vt:i4>1310779</vt:i4>
      </vt:variant>
      <vt:variant>
        <vt:i4>116</vt:i4>
      </vt:variant>
      <vt:variant>
        <vt:i4>0</vt:i4>
      </vt:variant>
      <vt:variant>
        <vt:i4>5</vt:i4>
      </vt:variant>
      <vt:variant>
        <vt:lpwstr/>
      </vt:variant>
      <vt:variant>
        <vt:lpwstr>_Toc329233208</vt:lpwstr>
      </vt:variant>
      <vt:variant>
        <vt:i4>1310779</vt:i4>
      </vt:variant>
      <vt:variant>
        <vt:i4>110</vt:i4>
      </vt:variant>
      <vt:variant>
        <vt:i4>0</vt:i4>
      </vt:variant>
      <vt:variant>
        <vt:i4>5</vt:i4>
      </vt:variant>
      <vt:variant>
        <vt:lpwstr/>
      </vt:variant>
      <vt:variant>
        <vt:lpwstr>_Toc329233207</vt:lpwstr>
      </vt:variant>
      <vt:variant>
        <vt:i4>1310779</vt:i4>
      </vt:variant>
      <vt:variant>
        <vt:i4>104</vt:i4>
      </vt:variant>
      <vt:variant>
        <vt:i4>0</vt:i4>
      </vt:variant>
      <vt:variant>
        <vt:i4>5</vt:i4>
      </vt:variant>
      <vt:variant>
        <vt:lpwstr/>
      </vt:variant>
      <vt:variant>
        <vt:lpwstr>_Toc329233206</vt:lpwstr>
      </vt:variant>
      <vt:variant>
        <vt:i4>1310779</vt:i4>
      </vt:variant>
      <vt:variant>
        <vt:i4>98</vt:i4>
      </vt:variant>
      <vt:variant>
        <vt:i4>0</vt:i4>
      </vt:variant>
      <vt:variant>
        <vt:i4>5</vt:i4>
      </vt:variant>
      <vt:variant>
        <vt:lpwstr/>
      </vt:variant>
      <vt:variant>
        <vt:lpwstr>_Toc329233205</vt:lpwstr>
      </vt:variant>
      <vt:variant>
        <vt:i4>1310779</vt:i4>
      </vt:variant>
      <vt:variant>
        <vt:i4>92</vt:i4>
      </vt:variant>
      <vt:variant>
        <vt:i4>0</vt:i4>
      </vt:variant>
      <vt:variant>
        <vt:i4>5</vt:i4>
      </vt:variant>
      <vt:variant>
        <vt:lpwstr/>
      </vt:variant>
      <vt:variant>
        <vt:lpwstr>_Toc329233204</vt:lpwstr>
      </vt:variant>
      <vt:variant>
        <vt:i4>1310779</vt:i4>
      </vt:variant>
      <vt:variant>
        <vt:i4>86</vt:i4>
      </vt:variant>
      <vt:variant>
        <vt:i4>0</vt:i4>
      </vt:variant>
      <vt:variant>
        <vt:i4>5</vt:i4>
      </vt:variant>
      <vt:variant>
        <vt:lpwstr/>
      </vt:variant>
      <vt:variant>
        <vt:lpwstr>_Toc329233203</vt:lpwstr>
      </vt:variant>
      <vt:variant>
        <vt:i4>1310779</vt:i4>
      </vt:variant>
      <vt:variant>
        <vt:i4>80</vt:i4>
      </vt:variant>
      <vt:variant>
        <vt:i4>0</vt:i4>
      </vt:variant>
      <vt:variant>
        <vt:i4>5</vt:i4>
      </vt:variant>
      <vt:variant>
        <vt:lpwstr/>
      </vt:variant>
      <vt:variant>
        <vt:lpwstr>_Toc329233202</vt:lpwstr>
      </vt:variant>
      <vt:variant>
        <vt:i4>1310779</vt:i4>
      </vt:variant>
      <vt:variant>
        <vt:i4>74</vt:i4>
      </vt:variant>
      <vt:variant>
        <vt:i4>0</vt:i4>
      </vt:variant>
      <vt:variant>
        <vt:i4>5</vt:i4>
      </vt:variant>
      <vt:variant>
        <vt:lpwstr/>
      </vt:variant>
      <vt:variant>
        <vt:lpwstr>_Toc329233201</vt:lpwstr>
      </vt:variant>
      <vt:variant>
        <vt:i4>1310779</vt:i4>
      </vt:variant>
      <vt:variant>
        <vt:i4>68</vt:i4>
      </vt:variant>
      <vt:variant>
        <vt:i4>0</vt:i4>
      </vt:variant>
      <vt:variant>
        <vt:i4>5</vt:i4>
      </vt:variant>
      <vt:variant>
        <vt:lpwstr/>
      </vt:variant>
      <vt:variant>
        <vt:lpwstr>_Toc329233200</vt:lpwstr>
      </vt:variant>
      <vt:variant>
        <vt:i4>1900600</vt:i4>
      </vt:variant>
      <vt:variant>
        <vt:i4>62</vt:i4>
      </vt:variant>
      <vt:variant>
        <vt:i4>0</vt:i4>
      </vt:variant>
      <vt:variant>
        <vt:i4>5</vt:i4>
      </vt:variant>
      <vt:variant>
        <vt:lpwstr/>
      </vt:variant>
      <vt:variant>
        <vt:lpwstr>_Toc329233199</vt:lpwstr>
      </vt:variant>
      <vt:variant>
        <vt:i4>1900600</vt:i4>
      </vt:variant>
      <vt:variant>
        <vt:i4>56</vt:i4>
      </vt:variant>
      <vt:variant>
        <vt:i4>0</vt:i4>
      </vt:variant>
      <vt:variant>
        <vt:i4>5</vt:i4>
      </vt:variant>
      <vt:variant>
        <vt:lpwstr/>
      </vt:variant>
      <vt:variant>
        <vt:lpwstr>_Toc329233198</vt:lpwstr>
      </vt:variant>
      <vt:variant>
        <vt:i4>1900600</vt:i4>
      </vt:variant>
      <vt:variant>
        <vt:i4>50</vt:i4>
      </vt:variant>
      <vt:variant>
        <vt:i4>0</vt:i4>
      </vt:variant>
      <vt:variant>
        <vt:i4>5</vt:i4>
      </vt:variant>
      <vt:variant>
        <vt:lpwstr/>
      </vt:variant>
      <vt:variant>
        <vt:lpwstr>_Toc329233197</vt:lpwstr>
      </vt:variant>
      <vt:variant>
        <vt:i4>1900600</vt:i4>
      </vt:variant>
      <vt:variant>
        <vt:i4>44</vt:i4>
      </vt:variant>
      <vt:variant>
        <vt:i4>0</vt:i4>
      </vt:variant>
      <vt:variant>
        <vt:i4>5</vt:i4>
      </vt:variant>
      <vt:variant>
        <vt:lpwstr/>
      </vt:variant>
      <vt:variant>
        <vt:lpwstr>_Toc329233196</vt:lpwstr>
      </vt:variant>
      <vt:variant>
        <vt:i4>1900600</vt:i4>
      </vt:variant>
      <vt:variant>
        <vt:i4>38</vt:i4>
      </vt:variant>
      <vt:variant>
        <vt:i4>0</vt:i4>
      </vt:variant>
      <vt:variant>
        <vt:i4>5</vt:i4>
      </vt:variant>
      <vt:variant>
        <vt:lpwstr/>
      </vt:variant>
      <vt:variant>
        <vt:lpwstr>_Toc329233195</vt:lpwstr>
      </vt:variant>
      <vt:variant>
        <vt:i4>1900600</vt:i4>
      </vt:variant>
      <vt:variant>
        <vt:i4>32</vt:i4>
      </vt:variant>
      <vt:variant>
        <vt:i4>0</vt:i4>
      </vt:variant>
      <vt:variant>
        <vt:i4>5</vt:i4>
      </vt:variant>
      <vt:variant>
        <vt:lpwstr/>
      </vt:variant>
      <vt:variant>
        <vt:lpwstr>_Toc329233194</vt:lpwstr>
      </vt:variant>
      <vt:variant>
        <vt:i4>1900600</vt:i4>
      </vt:variant>
      <vt:variant>
        <vt:i4>26</vt:i4>
      </vt:variant>
      <vt:variant>
        <vt:i4>0</vt:i4>
      </vt:variant>
      <vt:variant>
        <vt:i4>5</vt:i4>
      </vt:variant>
      <vt:variant>
        <vt:lpwstr/>
      </vt:variant>
      <vt:variant>
        <vt:lpwstr>_Toc329233193</vt:lpwstr>
      </vt:variant>
      <vt:variant>
        <vt:i4>1900600</vt:i4>
      </vt:variant>
      <vt:variant>
        <vt:i4>20</vt:i4>
      </vt:variant>
      <vt:variant>
        <vt:i4>0</vt:i4>
      </vt:variant>
      <vt:variant>
        <vt:i4>5</vt:i4>
      </vt:variant>
      <vt:variant>
        <vt:lpwstr/>
      </vt:variant>
      <vt:variant>
        <vt:lpwstr>_Toc329233192</vt:lpwstr>
      </vt:variant>
      <vt:variant>
        <vt:i4>1900600</vt:i4>
      </vt:variant>
      <vt:variant>
        <vt:i4>14</vt:i4>
      </vt:variant>
      <vt:variant>
        <vt:i4>0</vt:i4>
      </vt:variant>
      <vt:variant>
        <vt:i4>5</vt:i4>
      </vt:variant>
      <vt:variant>
        <vt:lpwstr/>
      </vt:variant>
      <vt:variant>
        <vt:lpwstr>_Toc329233191</vt:lpwstr>
      </vt:variant>
      <vt:variant>
        <vt:i4>1900600</vt:i4>
      </vt:variant>
      <vt:variant>
        <vt:i4>8</vt:i4>
      </vt:variant>
      <vt:variant>
        <vt:i4>0</vt:i4>
      </vt:variant>
      <vt:variant>
        <vt:i4>5</vt:i4>
      </vt:variant>
      <vt:variant>
        <vt:lpwstr/>
      </vt:variant>
      <vt:variant>
        <vt:lpwstr>_Toc329233190</vt:lpwstr>
      </vt:variant>
      <vt:variant>
        <vt:i4>1835064</vt:i4>
      </vt:variant>
      <vt:variant>
        <vt:i4>2</vt:i4>
      </vt:variant>
      <vt:variant>
        <vt:i4>0</vt:i4>
      </vt:variant>
      <vt:variant>
        <vt:i4>5</vt:i4>
      </vt:variant>
      <vt:variant>
        <vt:lpwstr/>
      </vt:variant>
      <vt:variant>
        <vt:lpwstr>_Toc329233189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gematik  &lt;Ergebnistyp&gt; &lt;Thematik&gt;</dc:title>
  <dc:creator>MiH</dc:creator>
  <cp:lastModifiedBy>Schopf, Gunnar</cp:lastModifiedBy>
  <cp:revision>2</cp:revision>
  <cp:lastPrinted>2017-08-11T11:53:00Z</cp:lastPrinted>
  <dcterms:created xsi:type="dcterms:W3CDTF">2017-12-22T09:22:00Z</dcterms:created>
  <dcterms:modified xsi:type="dcterms:W3CDTF">2017-12-22T09:22:00Z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version">
    <vt:lpwstr>1.2.0</vt:lpwstr>
  </property>
  <property fmtid="{D5CDD505-2E9C-101B-9397-08002B2CF9AE}" pid="3" name="gemVorlagenName">
    <vt:lpwstr>Spezifikation_allgemein</vt:lpwstr>
  </property>
</Properties>
</file>