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jc w:val="left"/>
      </w:pPr>
      <w:r>
        <w:rPr>
          <w:rFonts w:ascii="Times New Roman" w:hAnsi="Times New Roman" w:eastAsia="黑体"/>
          <w:b/>
          <w:sz w:val="44"/>
        </w:rPr>
        <w:t>绿脉兴农  LVMAI · ECO-VALUE PLATFORM</w:t>
      </w:r>
    </w:p>
    <w:p>
      <w:pPr>
        <w:spacing w:before="1200" w:after="120"/>
        <w:jc w:val="center"/>
      </w:pPr>
      <w:r>
        <w:rPr>
          <w:rFonts w:ascii="Times New Roman" w:hAnsi="Times New Roman" w:eastAsia="黑体"/>
          <w:b/>
          <w:sz w:val="72"/>
        </w:rPr>
        <w:t>绿脉兴农平台</w:t>
      </w:r>
    </w:p>
    <w:p>
      <w:pPr>
        <w:spacing w:after="120"/>
        <w:jc w:val="center"/>
      </w:pPr>
      <w:r>
        <w:rPr>
          <w:rFonts w:ascii="Times New Roman" w:hAnsi="Times New Roman" w:eastAsia="黑体"/>
          <w:b/>
          <w:sz w:val="72"/>
        </w:rPr>
        <w:t>功能说明书</w:t>
      </w:r>
    </w:p>
    <w:p>
      <w:pPr>
        <w:spacing w:after="2400"/>
        <w:jc w:val="center"/>
      </w:pPr>
      <w:r>
        <w:rPr>
          <w:rFonts w:ascii="Times New Roman" w:hAnsi="Times New Roman" w:eastAsia="黑体"/>
          <w:b w:val="0"/>
          <w:sz w:val="32"/>
        </w:rPr>
        <w:t>生态产品价值实现赋能乡村振兴一体化智能系统</w:t>
      </w:r>
    </w:p>
    <w:p>
      <w:pPr>
        <w:spacing w:after="80"/>
        <w:jc w:val="left"/>
      </w:pPr>
      <w:r>
        <w:rPr>
          <w:rFonts w:ascii="Times New Roman" w:hAnsi="Times New Roman" w:eastAsia="黑体"/>
          <w:b/>
          <w:sz w:val="22"/>
        </w:rPr>
        <w:t>文档版本：</w:t>
      </w:r>
      <w:r>
        <w:rPr>
          <w:rFonts w:ascii="Times New Roman" w:hAnsi="Times New Roman" w:eastAsia="宋体"/>
          <w:b w:val="0"/>
          <w:sz w:val="22"/>
        </w:rPr>
        <w:t>V1.0</w:t>
      </w:r>
    </w:p>
    <w:p>
      <w:pPr>
        <w:spacing w:after="80"/>
        <w:jc w:val="left"/>
      </w:pPr>
      <w:r>
        <w:rPr>
          <w:rFonts w:ascii="Times New Roman" w:hAnsi="Times New Roman" w:eastAsia="黑体"/>
          <w:b/>
          <w:sz w:val="22"/>
        </w:rPr>
        <w:t>发布日期：</w:t>
      </w:r>
      <w:r>
        <w:rPr>
          <w:rFonts w:ascii="Times New Roman" w:hAnsi="Times New Roman" w:eastAsia="宋体"/>
          <w:b w:val="0"/>
          <w:sz w:val="22"/>
        </w:rPr>
        <w:t>2026 年 07 月</w:t>
      </w:r>
    </w:p>
    <w:p>
      <w:pPr>
        <w:spacing w:after="80"/>
        <w:jc w:val="left"/>
      </w:pPr>
      <w:r>
        <w:rPr>
          <w:rFonts w:ascii="Times New Roman" w:hAnsi="Times New Roman" w:eastAsia="黑体"/>
          <w:b/>
          <w:sz w:val="22"/>
        </w:rPr>
        <w:t>编制单位：</w:t>
      </w:r>
      <w:r>
        <w:rPr>
          <w:rFonts w:ascii="Times New Roman" w:hAnsi="Times New Roman" w:eastAsia="宋体"/>
          <w:b w:val="0"/>
          <w:sz w:val="22"/>
        </w:rPr>
        <w:t>南京师范大学 · 绿脉兴农团队</w:t>
      </w:r>
    </w:p>
    <w:p>
      <w:r>
        <w:br w:type="page"/>
      </w:r>
    </w:p>
    <w:p>
      <w:pPr>
        <w:spacing w:line="360" w:lineRule="auto" w:before="0" w:after="360"/>
        <w:jc w:val="center"/>
        <w:pBdr>
          <w:bottom w:val="single" w:sz="12" w:space="4" w:color="000000"/>
        </w:pBdr>
      </w:pPr>
      <w:r>
        <w:rPr>
          <w:rFonts w:ascii="Times New Roman" w:hAnsi="Times New Roman" w:eastAsia="黑体"/>
          <w:b/>
          <w:sz w:val="36"/>
        </w:rPr>
        <w:t>第一章 平台概述</w:t>
      </w:r>
    </w:p>
    <w:p>
      <w:pPr>
        <w:spacing w:line="360" w:lineRule="auto" w:before="240" w:after="120"/>
        <w:jc w:val="left"/>
      </w:pPr>
      <w:r>
        <w:rPr>
          <w:rFonts w:ascii="Times New Roman" w:hAnsi="Times New Roman" w:eastAsia="黑体"/>
          <w:b/>
          <w:sz w:val="28"/>
        </w:rPr>
        <w:t>1.1 平台定位</w:t>
      </w:r>
    </w:p>
    <w:p>
      <w:pPr>
        <w:spacing w:line="360" w:lineRule="auto" w:before="0" w:after="0"/>
        <w:ind w:firstLine="480"/>
        <w:jc w:val="left"/>
      </w:pPr>
      <w:r>
        <w:rPr>
          <w:rFonts w:ascii="Times New Roman" w:hAnsi="Times New Roman" w:eastAsia="宋体"/>
          <w:b w:val="0"/>
          <w:sz w:val="24"/>
        </w:rPr>
        <w:t>绿脉兴农平台是一款面向地方政府的生态产品价值实现与乡村振兴一体化智能决策支持系统。平台融合 AHP 层次分析法、耦合协调度模型、障碍度模型与 DeepSeek AI 引擎，构建从数据采集、综合评估、模式识别到路径优化的完整决策闭环。</w:t>
      </w:r>
    </w:p>
    <w:p>
      <w:pPr>
        <w:spacing w:line="360" w:lineRule="auto" w:before="240" w:after="120"/>
        <w:jc w:val="left"/>
      </w:pPr>
      <w:r>
        <w:rPr>
          <w:rFonts w:ascii="Times New Roman" w:hAnsi="Times New Roman" w:eastAsia="黑体"/>
          <w:b/>
          <w:sz w:val="28"/>
        </w:rPr>
        <w:t>1.2 核心能力</w:t>
      </w:r>
    </w:p>
    <w:p>
      <w:pPr>
        <w:spacing w:before="120" w:after="60"/>
        <w:jc w:val="center"/>
      </w:pPr>
      <w:r>
        <w:rPr>
          <w:rFonts w:ascii="Times New Roman" w:hAnsi="Times New Roman" w:eastAsia="黑体"/>
          <w:b/>
          <w:sz w:val="21"/>
        </w:rPr>
        <w:t>表 1-1  平台核心能力</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56"/>
        <w:gridCol w:w="4156"/>
      </w:tblGrid>
      <w:tr>
        <w:tc>
          <w:tcPr>
            <w:tcW w:type="dxa" w:w="4156"/>
            <w:vAlign w:val="center"/>
            <w:tcBorders>
              <w:top w:val="single" w:sz="12" w:color="000000"/>
              <w:bottom w:val="single" w:sz="6" w:color="000000"/>
            </w:tcBorders>
          </w:tcPr>
          <w:p>
            <w:pPr>
              <w:jc w:val="center"/>
            </w:pPr>
            <w:r/>
            <w:r>
              <w:rPr>
                <w:rFonts w:ascii="Times New Roman" w:hAnsi="Times New Roman" w:eastAsia="黑体"/>
                <w:b/>
                <w:sz w:val="21"/>
              </w:rPr>
              <w:t>能力项</w:t>
            </w:r>
          </w:p>
        </w:tc>
        <w:tc>
          <w:tcPr>
            <w:tcW w:type="dxa" w:w="4156"/>
            <w:vAlign w:val="center"/>
            <w:tcBorders>
              <w:top w:val="single" w:sz="12" w:color="000000"/>
              <w:bottom w:val="single" w:sz="6" w:color="000000"/>
            </w:tcBorders>
          </w:tcPr>
          <w:p>
            <w:pPr>
              <w:jc w:val="center"/>
            </w:pPr>
            <w:r/>
            <w:r>
              <w:rPr>
                <w:rFonts w:ascii="Times New Roman" w:hAnsi="Times New Roman" w:eastAsia="黑体"/>
                <w:b/>
                <w:sz w:val="21"/>
              </w:rPr>
              <w:t>说明</w:t>
            </w:r>
          </w:p>
        </w:tc>
      </w:tr>
      <w:tr>
        <w:tc>
          <w:tcPr>
            <w:tcW w:type="dxa" w:w="4156"/>
            <w:vAlign w:val="center"/>
          </w:tcPr>
          <w:p>
            <w:pPr>
              <w:jc w:val="left"/>
            </w:pPr>
            <w:r/>
            <w:r>
              <w:rPr>
                <w:rFonts w:ascii="Times New Roman" w:hAnsi="Times New Roman" w:eastAsia="宋体"/>
                <w:b w:val="0"/>
                <w:sz w:val="21"/>
              </w:rPr>
              <w:t>科学量化</w:t>
            </w:r>
          </w:p>
        </w:tc>
        <w:tc>
          <w:tcPr>
            <w:tcW w:type="dxa" w:w="4156"/>
            <w:vAlign w:val="center"/>
          </w:tcPr>
          <w:p>
            <w:pPr>
              <w:jc w:val="center"/>
            </w:pPr>
            <w:r/>
            <w:r>
              <w:rPr>
                <w:rFonts w:ascii="Times New Roman" w:hAnsi="Times New Roman" w:eastAsia="宋体"/>
                <w:b w:val="0"/>
                <w:sz w:val="21"/>
              </w:rPr>
              <w:t>26 项指标评估体系，AHP + 熵权法组合权重</w:t>
            </w:r>
          </w:p>
        </w:tc>
      </w:tr>
      <w:tr>
        <w:tc>
          <w:tcPr>
            <w:tcW w:type="dxa" w:w="4156"/>
            <w:vAlign w:val="center"/>
          </w:tcPr>
          <w:p>
            <w:pPr>
              <w:jc w:val="left"/>
            </w:pPr>
            <w:r/>
            <w:r>
              <w:rPr>
                <w:rFonts w:ascii="Times New Roman" w:hAnsi="Times New Roman" w:eastAsia="宋体"/>
                <w:b w:val="0"/>
                <w:sz w:val="21"/>
              </w:rPr>
              <w:t>模式识别</w:t>
            </w:r>
          </w:p>
        </w:tc>
        <w:tc>
          <w:tcPr>
            <w:tcW w:type="dxa" w:w="4156"/>
            <w:vAlign w:val="center"/>
          </w:tcPr>
          <w:p>
            <w:pPr>
              <w:jc w:val="center"/>
            </w:pPr>
            <w:r/>
            <w:r>
              <w:rPr>
                <w:rFonts w:ascii="Times New Roman" w:hAnsi="Times New Roman" w:eastAsia="宋体"/>
                <w:b w:val="0"/>
                <w:sz w:val="21"/>
              </w:rPr>
              <w:t>层次聚类提取 5 种差异化发展模式</w:t>
            </w:r>
          </w:p>
        </w:tc>
      </w:tr>
      <w:tr>
        <w:tc>
          <w:tcPr>
            <w:tcW w:type="dxa" w:w="4156"/>
            <w:vAlign w:val="center"/>
          </w:tcPr>
          <w:p>
            <w:pPr>
              <w:jc w:val="left"/>
            </w:pPr>
            <w:r/>
            <w:r>
              <w:rPr>
                <w:rFonts w:ascii="Times New Roman" w:hAnsi="Times New Roman" w:eastAsia="宋体"/>
                <w:b w:val="0"/>
                <w:sz w:val="21"/>
              </w:rPr>
              <w:t>障碍诊断</w:t>
            </w:r>
          </w:p>
        </w:tc>
        <w:tc>
          <w:tcPr>
            <w:tcW w:type="dxa" w:w="4156"/>
            <w:vAlign w:val="center"/>
          </w:tcPr>
          <w:p>
            <w:pPr>
              <w:jc w:val="center"/>
            </w:pPr>
            <w:r/>
            <w:r>
              <w:rPr>
                <w:rFonts w:ascii="Times New Roman" w:hAnsi="Times New Roman" w:eastAsia="宋体"/>
                <w:b w:val="0"/>
                <w:sz w:val="21"/>
              </w:rPr>
              <w:t>Top N 障碍因子识别与排序</w:t>
            </w:r>
          </w:p>
        </w:tc>
      </w:tr>
      <w:tr>
        <w:tc>
          <w:tcPr>
            <w:tcW w:type="dxa" w:w="4156"/>
            <w:vAlign w:val="center"/>
          </w:tcPr>
          <w:p>
            <w:pPr>
              <w:jc w:val="left"/>
            </w:pPr>
            <w:r/>
            <w:r>
              <w:rPr>
                <w:rFonts w:ascii="Times New Roman" w:hAnsi="Times New Roman" w:eastAsia="宋体"/>
                <w:b w:val="0"/>
                <w:sz w:val="21"/>
              </w:rPr>
              <w:t>AI 建议</w:t>
            </w:r>
          </w:p>
        </w:tc>
        <w:tc>
          <w:tcPr>
            <w:tcW w:type="dxa" w:w="4156"/>
            <w:vAlign w:val="center"/>
          </w:tcPr>
          <w:p>
            <w:pPr>
              <w:jc w:val="center"/>
            </w:pPr>
            <w:r/>
            <w:r>
              <w:rPr>
                <w:rFonts w:ascii="Times New Roman" w:hAnsi="Times New Roman" w:eastAsia="宋体"/>
                <w:b w:val="0"/>
                <w:sz w:val="21"/>
              </w:rPr>
              <w:t>DeepSeek 生成 500—800 字路径优化建议</w:t>
            </w:r>
          </w:p>
        </w:tc>
      </w:tr>
      <w:tr>
        <w:tc>
          <w:tcPr>
            <w:tcW w:type="dxa" w:w="4156"/>
            <w:vAlign w:val="center"/>
          </w:tcPr>
          <w:p>
            <w:pPr>
              <w:jc w:val="left"/>
            </w:pPr>
            <w:r/>
            <w:r>
              <w:rPr>
                <w:rFonts w:ascii="Times New Roman" w:hAnsi="Times New Roman" w:eastAsia="宋体"/>
                <w:b w:val="0"/>
                <w:sz w:val="21"/>
              </w:rPr>
              <w:t>数据可视化</w:t>
            </w:r>
          </w:p>
        </w:tc>
        <w:tc>
          <w:tcPr>
            <w:tcW w:type="dxa" w:w="4156"/>
            <w:vAlign w:val="center"/>
          </w:tcPr>
          <w:p>
            <w:pPr>
              <w:jc w:val="center"/>
            </w:pPr>
            <w:r/>
            <w:r>
              <w:rPr>
                <w:rFonts w:ascii="Times New Roman" w:hAnsi="Times New Roman" w:eastAsia="宋体"/>
                <w:b w:val="0"/>
                <w:sz w:val="21"/>
              </w:rPr>
              <w:t>多维数据大屏，支持横向对比与时间演化</w:t>
            </w:r>
          </w:p>
        </w:tc>
      </w:tr>
      <w:tr>
        <w:tc>
          <w:tcPr>
            <w:tcW w:type="dxa" w:w="4156"/>
            <w:vAlign w:val="center"/>
            <w:tcBorders>
              <w:bottom w:val="single" w:sz="12" w:color="000000"/>
            </w:tcBorders>
          </w:tcPr>
          <w:p>
            <w:pPr>
              <w:jc w:val="left"/>
            </w:pPr>
            <w:r/>
            <w:r>
              <w:rPr>
                <w:rFonts w:ascii="Times New Roman" w:hAnsi="Times New Roman" w:eastAsia="宋体"/>
                <w:b w:val="0"/>
                <w:sz w:val="21"/>
              </w:rPr>
              <w:t>报告导出</w:t>
            </w:r>
          </w:p>
        </w:tc>
        <w:tc>
          <w:tcPr>
            <w:tcW w:type="dxa" w:w="4156"/>
            <w:vAlign w:val="center"/>
            <w:tcBorders>
              <w:bottom w:val="single" w:sz="12" w:color="000000"/>
            </w:tcBorders>
          </w:tcPr>
          <w:p>
            <w:pPr>
              <w:jc w:val="center"/>
            </w:pPr>
            <w:r/>
            <w:r>
              <w:rPr>
                <w:rFonts w:ascii="Times New Roman" w:hAnsi="Times New Roman" w:eastAsia="宋体"/>
                <w:b w:val="0"/>
                <w:sz w:val="21"/>
              </w:rPr>
              <w:t>一键生成 PDF 评估报告</w:t>
            </w:r>
          </w:p>
        </w:tc>
      </w:tr>
    </w:tbl>
    <w:p>
      <w:pPr>
        <w:spacing w:line="360" w:lineRule="auto" w:before="240" w:after="120"/>
        <w:jc w:val="left"/>
      </w:pPr>
      <w:r>
        <w:rPr>
          <w:rFonts w:ascii="Times New Roman" w:hAnsi="Times New Roman" w:eastAsia="黑体"/>
          <w:b/>
          <w:sz w:val="28"/>
        </w:rPr>
        <w:t>1.3 数据规模</w:t>
      </w:r>
    </w:p>
    <w:p>
      <w:pPr>
        <w:spacing w:before="120" w:after="60"/>
        <w:jc w:val="center"/>
      </w:pPr>
      <w:r>
        <w:rPr>
          <w:rFonts w:ascii="Times New Roman" w:hAnsi="Times New Roman" w:eastAsia="黑体"/>
          <w:b/>
          <w:sz w:val="21"/>
        </w:rPr>
        <w:t>表 1-2  数据规模</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维度</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规模</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说明</w:t>
            </w:r>
          </w:p>
        </w:tc>
      </w:tr>
      <w:tr>
        <w:tc>
          <w:tcPr>
            <w:tcW w:type="dxa" w:w="2771"/>
            <w:vAlign w:val="center"/>
          </w:tcPr>
          <w:p>
            <w:pPr>
              <w:jc w:val="left"/>
            </w:pPr>
            <w:r/>
            <w:r>
              <w:rPr>
                <w:rFonts w:ascii="Times New Roman" w:hAnsi="Times New Roman" w:eastAsia="宋体"/>
                <w:b w:val="0"/>
                <w:sz w:val="21"/>
              </w:rPr>
              <w:t>样本区县</w:t>
            </w:r>
          </w:p>
        </w:tc>
        <w:tc>
          <w:tcPr>
            <w:tcW w:type="dxa" w:w="2771"/>
            <w:vAlign w:val="center"/>
          </w:tcPr>
          <w:p>
            <w:pPr>
              <w:jc w:val="center"/>
            </w:pPr>
            <w:r/>
            <w:r>
              <w:rPr>
                <w:rFonts w:ascii="Times New Roman" w:hAnsi="Times New Roman" w:eastAsia="宋体"/>
                <w:b w:val="0"/>
                <w:sz w:val="21"/>
              </w:rPr>
              <w:t>10 个</w:t>
            </w:r>
          </w:p>
        </w:tc>
        <w:tc>
          <w:tcPr>
            <w:tcW w:type="dxa" w:w="2771"/>
            <w:vAlign w:val="center"/>
          </w:tcPr>
          <w:p>
            <w:pPr>
              <w:jc w:val="center"/>
            </w:pPr>
            <w:r/>
            <w:r>
              <w:rPr>
                <w:rFonts w:ascii="Times New Roman" w:hAnsi="Times New Roman" w:eastAsia="宋体"/>
                <w:b w:val="0"/>
                <w:sz w:val="21"/>
              </w:rPr>
              <w:t>江苏 6、浙江 2、安徽 1、四川 1</w:t>
            </w:r>
          </w:p>
        </w:tc>
      </w:tr>
      <w:tr>
        <w:tc>
          <w:tcPr>
            <w:tcW w:type="dxa" w:w="2771"/>
            <w:vAlign w:val="center"/>
          </w:tcPr>
          <w:p>
            <w:pPr>
              <w:jc w:val="left"/>
            </w:pPr>
            <w:r/>
            <w:r>
              <w:rPr>
                <w:rFonts w:ascii="Times New Roman" w:hAnsi="Times New Roman" w:eastAsia="宋体"/>
                <w:b w:val="0"/>
                <w:sz w:val="21"/>
              </w:rPr>
              <w:t>时间跨度</w:t>
            </w:r>
          </w:p>
        </w:tc>
        <w:tc>
          <w:tcPr>
            <w:tcW w:type="dxa" w:w="2771"/>
            <w:vAlign w:val="center"/>
          </w:tcPr>
          <w:p>
            <w:pPr>
              <w:jc w:val="center"/>
            </w:pPr>
            <w:r/>
            <w:r>
              <w:rPr>
                <w:rFonts w:ascii="Times New Roman" w:hAnsi="Times New Roman" w:eastAsia="宋体"/>
                <w:b w:val="0"/>
                <w:sz w:val="21"/>
              </w:rPr>
              <w:t>5 年</w:t>
            </w:r>
          </w:p>
        </w:tc>
        <w:tc>
          <w:tcPr>
            <w:tcW w:type="dxa" w:w="2771"/>
            <w:vAlign w:val="center"/>
          </w:tcPr>
          <w:p>
            <w:pPr>
              <w:jc w:val="center"/>
            </w:pPr>
            <w:r/>
            <w:r>
              <w:rPr>
                <w:rFonts w:ascii="Times New Roman" w:hAnsi="Times New Roman" w:eastAsia="宋体"/>
                <w:b w:val="0"/>
                <w:sz w:val="21"/>
              </w:rPr>
              <w:t>2020—2024 年面板数据</w:t>
            </w:r>
          </w:p>
        </w:tc>
      </w:tr>
      <w:tr>
        <w:tc>
          <w:tcPr>
            <w:tcW w:type="dxa" w:w="2771"/>
            <w:vAlign w:val="center"/>
          </w:tcPr>
          <w:p>
            <w:pPr>
              <w:jc w:val="left"/>
            </w:pPr>
            <w:r/>
            <w:r>
              <w:rPr>
                <w:rFonts w:ascii="Times New Roman" w:hAnsi="Times New Roman" w:eastAsia="宋体"/>
                <w:b w:val="0"/>
                <w:sz w:val="21"/>
              </w:rPr>
              <w:t>发展模式</w:t>
            </w:r>
          </w:p>
        </w:tc>
        <w:tc>
          <w:tcPr>
            <w:tcW w:type="dxa" w:w="2771"/>
            <w:vAlign w:val="center"/>
          </w:tcPr>
          <w:p>
            <w:pPr>
              <w:jc w:val="center"/>
            </w:pPr>
            <w:r/>
            <w:r>
              <w:rPr>
                <w:rFonts w:ascii="Times New Roman" w:hAnsi="Times New Roman" w:eastAsia="宋体"/>
                <w:b w:val="0"/>
                <w:sz w:val="21"/>
              </w:rPr>
              <w:t>5 种</w:t>
            </w:r>
          </w:p>
        </w:tc>
        <w:tc>
          <w:tcPr>
            <w:tcW w:type="dxa" w:w="2771"/>
            <w:vAlign w:val="center"/>
          </w:tcPr>
          <w:p>
            <w:pPr>
              <w:jc w:val="center"/>
            </w:pPr>
            <w:r/>
            <w:r>
              <w:rPr>
                <w:rFonts w:ascii="Times New Roman" w:hAnsi="Times New Roman" w:eastAsia="宋体"/>
                <w:b w:val="0"/>
                <w:sz w:val="21"/>
              </w:rPr>
              <w:t>层次聚类分析得出</w:t>
            </w:r>
          </w:p>
        </w:tc>
      </w:tr>
      <w:tr>
        <w:tc>
          <w:tcPr>
            <w:tcW w:type="dxa" w:w="2771"/>
            <w:vAlign w:val="center"/>
          </w:tcPr>
          <w:p>
            <w:pPr>
              <w:jc w:val="left"/>
            </w:pPr>
            <w:r/>
            <w:r>
              <w:rPr>
                <w:rFonts w:ascii="Times New Roman" w:hAnsi="Times New Roman" w:eastAsia="宋体"/>
                <w:b w:val="0"/>
                <w:sz w:val="21"/>
              </w:rPr>
              <w:t>评估指标</w:t>
            </w:r>
          </w:p>
        </w:tc>
        <w:tc>
          <w:tcPr>
            <w:tcW w:type="dxa" w:w="2771"/>
            <w:vAlign w:val="center"/>
          </w:tcPr>
          <w:p>
            <w:pPr>
              <w:jc w:val="center"/>
            </w:pPr>
            <w:r/>
            <w:r>
              <w:rPr>
                <w:rFonts w:ascii="Times New Roman" w:hAnsi="Times New Roman" w:eastAsia="宋体"/>
                <w:b w:val="0"/>
                <w:sz w:val="21"/>
              </w:rPr>
              <w:t>26 项</w:t>
            </w:r>
          </w:p>
        </w:tc>
        <w:tc>
          <w:tcPr>
            <w:tcW w:type="dxa" w:w="2771"/>
            <w:vAlign w:val="center"/>
          </w:tcPr>
          <w:p>
            <w:pPr>
              <w:jc w:val="center"/>
            </w:pPr>
            <w:r/>
            <w:r>
              <w:rPr>
                <w:rFonts w:ascii="Times New Roman" w:hAnsi="Times New Roman" w:eastAsia="宋体"/>
                <w:b w:val="0"/>
                <w:sz w:val="21"/>
              </w:rPr>
              <w:t>11 项生态 + 15 项振兴</w:t>
            </w:r>
          </w:p>
        </w:tc>
      </w:tr>
      <w:tr>
        <w:tc>
          <w:tcPr>
            <w:tcW w:type="dxa" w:w="2771"/>
            <w:vAlign w:val="center"/>
            <w:tcBorders>
              <w:bottom w:val="single" w:sz="12" w:color="000000"/>
            </w:tcBorders>
          </w:tcPr>
          <w:p>
            <w:pPr>
              <w:jc w:val="left"/>
            </w:pPr>
            <w:r/>
            <w:r>
              <w:rPr>
                <w:rFonts w:ascii="Times New Roman" w:hAnsi="Times New Roman" w:eastAsia="宋体"/>
                <w:b w:val="0"/>
                <w:sz w:val="21"/>
              </w:rPr>
              <w:t>路径建议</w:t>
            </w:r>
          </w:p>
        </w:tc>
        <w:tc>
          <w:tcPr>
            <w:tcW w:type="dxa" w:w="2771"/>
            <w:vAlign w:val="center"/>
            <w:tcBorders>
              <w:bottom w:val="single" w:sz="12" w:color="000000"/>
            </w:tcBorders>
          </w:tcPr>
          <w:p>
            <w:pPr>
              <w:jc w:val="center"/>
            </w:pPr>
            <w:r/>
            <w:r>
              <w:rPr>
                <w:rFonts w:ascii="Times New Roman" w:hAnsi="Times New Roman" w:eastAsia="宋体"/>
                <w:b w:val="0"/>
                <w:sz w:val="21"/>
              </w:rPr>
              <w:t>27 条</w:t>
            </w:r>
          </w:p>
        </w:tc>
        <w:tc>
          <w:tcPr>
            <w:tcW w:type="dxa" w:w="2771"/>
            <w:vAlign w:val="center"/>
            <w:tcBorders>
              <w:bottom w:val="single" w:sz="12" w:color="000000"/>
            </w:tcBorders>
          </w:tcPr>
          <w:p>
            <w:pPr>
              <w:jc w:val="center"/>
            </w:pPr>
            <w:r/>
            <w:r>
              <w:rPr>
                <w:rFonts w:ascii="Times New Roman" w:hAnsi="Times New Roman" w:eastAsia="宋体"/>
                <w:b w:val="0"/>
                <w:sz w:val="21"/>
              </w:rPr>
              <w:t>每模式 5—6 条结构化建议</w:t>
            </w:r>
          </w:p>
        </w:tc>
      </w:tr>
    </w:tbl>
    <w:p>
      <w:r>
        <w:br w:type="page"/>
      </w:r>
    </w:p>
    <w:p>
      <w:pPr>
        <w:spacing w:line="360" w:lineRule="auto" w:before="0" w:after="360"/>
        <w:jc w:val="center"/>
        <w:pBdr>
          <w:bottom w:val="single" w:sz="12" w:space="4" w:color="000000"/>
        </w:pBdr>
      </w:pPr>
      <w:r>
        <w:rPr>
          <w:rFonts w:ascii="Times New Roman" w:hAnsi="Times New Roman" w:eastAsia="黑体"/>
          <w:b/>
          <w:sz w:val="36"/>
        </w:rPr>
        <w:t>第二章 功能模块</w:t>
      </w:r>
    </w:p>
    <w:p>
      <w:pPr>
        <w:spacing w:line="360" w:lineRule="auto" w:before="0" w:after="0"/>
        <w:ind w:firstLine="480"/>
        <w:jc w:val="left"/>
      </w:pPr>
      <w:r>
        <w:rPr>
          <w:rFonts w:ascii="Times New Roman" w:hAnsi="Times New Roman" w:eastAsia="宋体"/>
          <w:b w:val="0"/>
          <w:sz w:val="24"/>
        </w:rPr>
        <w:t>平台前端共设计 7 个功能模块，覆盖政策检索、智能评估、数据可视化、农产品交易、案例学习与用户管理等场景。各模块通过 Vue Router 统一路由管理，通过 Pinia 进行状态共享。</w:t>
      </w:r>
    </w:p>
    <w:p>
      <w:pPr>
        <w:spacing w:line="360" w:lineRule="auto" w:before="240" w:after="120"/>
        <w:jc w:val="left"/>
      </w:pPr>
      <w:r>
        <w:rPr>
          <w:rFonts w:ascii="Times New Roman" w:hAnsi="Times New Roman" w:eastAsia="黑体"/>
          <w:b/>
          <w:sz w:val="28"/>
        </w:rPr>
        <w:t>2.1 首页（HomeView）</w:t>
      </w:r>
    </w:p>
    <w:p>
      <w:pPr>
        <w:spacing w:line="360" w:lineRule="auto" w:before="0" w:after="0"/>
        <w:ind w:firstLine="480"/>
        <w:jc w:val="left"/>
      </w:pPr>
      <w:r>
        <w:rPr>
          <w:rFonts w:ascii="Times New Roman" w:hAnsi="Times New Roman" w:eastAsia="宋体"/>
          <w:b w:val="0"/>
          <w:sz w:val="24"/>
        </w:rPr>
        <w:t>平台门户与功能入口，包含以下区域：</w:t>
      </w:r>
    </w:p>
    <w:p>
      <w:pPr>
        <w:spacing w:line="360" w:lineRule="auto"/>
        <w:ind w:left="480" w:hanging="240"/>
        <w:jc w:val="left"/>
      </w:pPr>
      <w:r>
        <w:rPr>
          <w:rFonts w:ascii="Times New Roman" w:hAnsi="Times New Roman" w:eastAsia="宋体"/>
          <w:b w:val="0"/>
          <w:sz w:val="24"/>
        </w:rPr>
        <w:t>• Hero 区：品牌标识、参赛信息与核心数据（5 模式 / 4 模型 / 27 指标 / AI）</w:t>
      </w:r>
    </w:p>
    <w:p>
      <w:pPr>
        <w:spacing w:line="360" w:lineRule="auto"/>
        <w:ind w:left="480" w:hanging="240"/>
        <w:jc w:val="left"/>
      </w:pPr>
      <w:r>
        <w:rPr>
          <w:rFonts w:ascii="Times New Roman" w:hAnsi="Times New Roman" w:eastAsia="宋体"/>
          <w:b w:val="0"/>
          <w:sz w:val="24"/>
        </w:rPr>
        <w:t>• 核心方法论：AHP、熵权法、耦合协调度、障碍度四大模型卡片</w:t>
      </w:r>
    </w:p>
    <w:p>
      <w:pPr>
        <w:spacing w:line="360" w:lineRule="auto"/>
        <w:ind w:left="480" w:hanging="240"/>
        <w:jc w:val="left"/>
      </w:pPr>
      <w:r>
        <w:rPr>
          <w:rFonts w:ascii="Times New Roman" w:hAnsi="Times New Roman" w:eastAsia="宋体"/>
          <w:b w:val="0"/>
          <w:sz w:val="24"/>
        </w:rPr>
        <w:t>• 四大功能入口：政策中心、智能分析、农产品商城、案例中心</w:t>
      </w:r>
    </w:p>
    <w:p>
      <w:pPr>
        <w:spacing w:line="360" w:lineRule="auto"/>
        <w:ind w:left="480" w:hanging="240"/>
        <w:jc w:val="left"/>
      </w:pPr>
      <w:r>
        <w:rPr>
          <w:rFonts w:ascii="Times New Roman" w:hAnsi="Times New Roman" w:eastAsia="宋体"/>
          <w:b w:val="0"/>
          <w:sz w:val="24"/>
        </w:rPr>
        <w:t>• 五种模式：5 种发展模式的横向展示卡，含模式名称、识别阈值与路径方向</w:t>
      </w:r>
    </w:p>
    <w:p>
      <w:pPr>
        <w:spacing w:line="360" w:lineRule="auto"/>
        <w:ind w:left="480" w:hanging="240"/>
        <w:jc w:val="left"/>
      </w:pPr>
      <w:r>
        <w:rPr>
          <w:rFonts w:ascii="Times New Roman" w:hAnsi="Times New Roman" w:eastAsia="宋体"/>
          <w:b w:val="0"/>
          <w:sz w:val="24"/>
        </w:rPr>
        <w:t>• 评估流程：上传数据 → 模型评估 → AI 识别 → 路径优化 → PDF 报告 五步流程图</w:t>
      </w:r>
    </w:p>
    <w:p>
      <w:pPr>
        <w:spacing w:line="360" w:lineRule="auto" w:before="240" w:after="120"/>
        <w:jc w:val="left"/>
      </w:pPr>
      <w:r>
        <w:rPr>
          <w:rFonts w:ascii="Times New Roman" w:hAnsi="Times New Roman" w:eastAsia="黑体"/>
          <w:b/>
          <w:sz w:val="28"/>
        </w:rPr>
        <w:t>2.2 政策中心（PolicyView）</w:t>
      </w:r>
    </w:p>
    <w:p>
      <w:pPr>
        <w:spacing w:line="360" w:lineRule="auto" w:before="0" w:after="0"/>
        <w:ind w:firstLine="480"/>
        <w:jc w:val="left"/>
      </w:pPr>
      <w:r>
        <w:rPr>
          <w:rFonts w:ascii="Times New Roman" w:hAnsi="Times New Roman" w:eastAsia="宋体"/>
          <w:b w:val="0"/>
          <w:sz w:val="24"/>
        </w:rPr>
        <w:t>汇集国家、省、地市三级乡村振兴与生态产品价值实现相关政策，提供政策检索与浏览功能。</w:t>
      </w:r>
    </w:p>
    <w:p>
      <w:pPr>
        <w:spacing w:line="360" w:lineRule="auto"/>
        <w:ind w:left="480" w:hanging="240"/>
        <w:jc w:val="left"/>
      </w:pPr>
      <w:r>
        <w:rPr>
          <w:rFonts w:ascii="Times New Roman" w:hAnsi="Times New Roman" w:eastAsia="宋体"/>
          <w:b w:val="0"/>
          <w:sz w:val="24"/>
        </w:rPr>
        <w:t>• 多维检索：主题分类、政策级别、关键词组合检索</w:t>
      </w:r>
    </w:p>
    <w:p>
      <w:pPr>
        <w:spacing w:line="360" w:lineRule="auto"/>
        <w:ind w:left="480" w:hanging="240"/>
        <w:jc w:val="left"/>
      </w:pPr>
      <w:r>
        <w:rPr>
          <w:rFonts w:ascii="Times New Roman" w:hAnsi="Times New Roman" w:eastAsia="宋体"/>
          <w:b w:val="0"/>
          <w:sz w:val="24"/>
        </w:rPr>
        <w:t>• 统计概览：政策总数、国家级、省级、地市级数量统计卡</w:t>
      </w:r>
    </w:p>
    <w:p>
      <w:pPr>
        <w:spacing w:line="360" w:lineRule="auto"/>
        <w:ind w:left="480" w:hanging="240"/>
        <w:jc w:val="left"/>
      </w:pPr>
      <w:r>
        <w:rPr>
          <w:rFonts w:ascii="Times New Roman" w:hAnsi="Times New Roman" w:eastAsia="宋体"/>
          <w:b w:val="0"/>
          <w:sz w:val="24"/>
        </w:rPr>
        <w:t>• 杂志式列表：每条政策以卡片形式展示序号、分类标签、级别标签、发布地区、发布日期与政策摘要</w:t>
      </w:r>
    </w:p>
    <w:p>
      <w:pPr>
        <w:spacing w:line="360" w:lineRule="auto"/>
        <w:ind w:left="480" w:hanging="240"/>
        <w:jc w:val="left"/>
      </w:pPr>
      <w:r>
        <w:rPr>
          <w:rFonts w:ascii="Times New Roman" w:hAnsi="Times New Roman" w:eastAsia="宋体"/>
          <w:b w:val="0"/>
          <w:sz w:val="24"/>
        </w:rPr>
        <w:t>• 分页加载：单页默认 10 条，支持翻页浏览</w:t>
      </w:r>
    </w:p>
    <w:p>
      <w:pPr>
        <w:spacing w:line="360" w:lineRule="auto" w:before="240" w:after="120"/>
        <w:jc w:val="left"/>
      </w:pPr>
      <w:r>
        <w:rPr>
          <w:rFonts w:ascii="Times New Roman" w:hAnsi="Times New Roman" w:eastAsia="黑体"/>
          <w:b/>
          <w:sz w:val="28"/>
        </w:rPr>
        <w:t>2.3 智能分析中心（AnalysisView）</w:t>
      </w:r>
    </w:p>
    <w:p>
      <w:pPr>
        <w:spacing w:line="360" w:lineRule="auto" w:before="0" w:after="0"/>
        <w:ind w:firstLine="480"/>
        <w:jc w:val="left"/>
      </w:pPr>
      <w:r>
        <w:rPr>
          <w:rFonts w:ascii="Times New Roman" w:hAnsi="Times New Roman" w:eastAsia="宋体"/>
          <w:b w:val="0"/>
          <w:sz w:val="24"/>
        </w:rPr>
        <w:t>平台核心模块，实现完整智能评估工作流，采用左右双栏布局：左侧数据录入，右侧结果展示。包含四个标签页：</w:t>
      </w:r>
    </w:p>
    <w:p>
      <w:pPr>
        <w:spacing w:line="360" w:lineRule="auto" w:before="120" w:after="120"/>
        <w:jc w:val="left"/>
      </w:pPr>
      <w:r>
        <w:rPr>
          <w:rFonts w:ascii="Times New Roman" w:hAnsi="Times New Roman" w:eastAsia="黑体"/>
          <w:b/>
          <w:sz w:val="24"/>
        </w:rPr>
        <w:t>2.3.1 智能评估</w:t>
      </w:r>
    </w:p>
    <w:p>
      <w:pPr>
        <w:spacing w:line="360" w:lineRule="auto" w:before="0" w:after="0"/>
        <w:ind w:firstLine="480"/>
        <w:jc w:val="left"/>
      </w:pPr>
      <w:r>
        <w:rPr>
          <w:rFonts w:ascii="Times New Roman" w:hAnsi="Times New Roman" w:eastAsia="宋体"/>
          <w:b w:val="0"/>
          <w:sz w:val="24"/>
        </w:rPr>
        <w:t>输入区包含：地区名称、评估年份、11 项生态产品价值实现指标、15 项乡村振兴水平指标，并提供"加载模板"按钮一键填充指标结构。</w:t>
      </w:r>
    </w:p>
    <w:p>
      <w:pPr>
        <w:spacing w:line="360" w:lineRule="auto" w:before="0" w:after="0"/>
        <w:ind w:firstLine="480"/>
        <w:jc w:val="left"/>
      </w:pPr>
      <w:r>
        <w:rPr>
          <w:rFonts w:ascii="Times New Roman" w:hAnsi="Times New Roman" w:eastAsia="宋体"/>
          <w:b w:val="0"/>
          <w:sz w:val="24"/>
        </w:rPr>
        <w:t>结果展示区包含以下卡片：</w:t>
      </w:r>
    </w:p>
    <w:p>
      <w:pPr>
        <w:spacing w:before="120" w:after="60"/>
        <w:jc w:val="center"/>
      </w:pPr>
      <w:r>
        <w:rPr>
          <w:rFonts w:ascii="Times New Roman" w:hAnsi="Times New Roman" w:eastAsia="黑体"/>
          <w:b/>
          <w:sz w:val="21"/>
        </w:rPr>
        <w:t>表 2-1  评估结果卡片</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156"/>
        <w:gridCol w:w="4156"/>
      </w:tblGrid>
      <w:tr>
        <w:tc>
          <w:tcPr>
            <w:tcW w:type="dxa" w:w="4156"/>
            <w:vAlign w:val="center"/>
            <w:tcBorders>
              <w:top w:val="single" w:sz="12" w:color="000000"/>
              <w:bottom w:val="single" w:sz="6" w:color="000000"/>
            </w:tcBorders>
          </w:tcPr>
          <w:p>
            <w:pPr>
              <w:jc w:val="center"/>
            </w:pPr>
            <w:r/>
            <w:r>
              <w:rPr>
                <w:rFonts w:ascii="Times New Roman" w:hAnsi="Times New Roman" w:eastAsia="黑体"/>
                <w:b/>
                <w:sz w:val="21"/>
              </w:rPr>
              <w:t>卡片</w:t>
            </w:r>
          </w:p>
        </w:tc>
        <w:tc>
          <w:tcPr>
            <w:tcW w:type="dxa" w:w="4156"/>
            <w:vAlign w:val="center"/>
            <w:tcBorders>
              <w:top w:val="single" w:sz="12" w:color="000000"/>
              <w:bottom w:val="single" w:sz="6" w:color="000000"/>
            </w:tcBorders>
          </w:tcPr>
          <w:p>
            <w:pPr>
              <w:jc w:val="center"/>
            </w:pPr>
            <w:r/>
            <w:r>
              <w:rPr>
                <w:rFonts w:ascii="Times New Roman" w:hAnsi="Times New Roman" w:eastAsia="黑体"/>
                <w:b/>
                <w:sz w:val="21"/>
              </w:rPr>
              <w:t>展示内容</w:t>
            </w:r>
          </w:p>
        </w:tc>
      </w:tr>
      <w:tr>
        <w:tc>
          <w:tcPr>
            <w:tcW w:type="dxa" w:w="4156"/>
            <w:vAlign w:val="center"/>
          </w:tcPr>
          <w:p>
            <w:pPr>
              <w:jc w:val="left"/>
            </w:pPr>
            <w:r/>
            <w:r>
              <w:rPr>
                <w:rFonts w:ascii="Times New Roman" w:hAnsi="Times New Roman" w:eastAsia="宋体"/>
                <w:b w:val="0"/>
                <w:sz w:val="21"/>
              </w:rPr>
              <w:t>综合得分卡</w:t>
            </w:r>
          </w:p>
        </w:tc>
        <w:tc>
          <w:tcPr>
            <w:tcW w:type="dxa" w:w="4156"/>
            <w:vAlign w:val="center"/>
          </w:tcPr>
          <w:p>
            <w:pPr>
              <w:jc w:val="center"/>
            </w:pPr>
            <w:r/>
            <w:r>
              <w:rPr>
                <w:rFonts w:ascii="Times New Roman" w:hAnsi="Times New Roman" w:eastAsia="宋体"/>
                <w:b w:val="0"/>
                <w:sz w:val="21"/>
              </w:rPr>
              <w:t>生态产品得分 / 乡村振兴得分（0—100）+ 进度条</w:t>
            </w:r>
          </w:p>
        </w:tc>
      </w:tr>
      <w:tr>
        <w:tc>
          <w:tcPr>
            <w:tcW w:type="dxa" w:w="4156"/>
            <w:vAlign w:val="center"/>
          </w:tcPr>
          <w:p>
            <w:pPr>
              <w:jc w:val="left"/>
            </w:pPr>
            <w:r/>
            <w:r>
              <w:rPr>
                <w:rFonts w:ascii="Times New Roman" w:hAnsi="Times New Roman" w:eastAsia="宋体"/>
                <w:b w:val="0"/>
                <w:sz w:val="21"/>
              </w:rPr>
              <w:t>耦合协调度</w:t>
            </w:r>
          </w:p>
        </w:tc>
        <w:tc>
          <w:tcPr>
            <w:tcW w:type="dxa" w:w="4156"/>
            <w:vAlign w:val="center"/>
          </w:tcPr>
          <w:p>
            <w:pPr>
              <w:jc w:val="center"/>
            </w:pPr>
            <w:r/>
            <w:r>
              <w:rPr>
                <w:rFonts w:ascii="Times New Roman" w:hAnsi="Times New Roman" w:eastAsia="宋体"/>
                <w:b w:val="0"/>
                <w:sz w:val="21"/>
              </w:rPr>
              <w:t>D 值（0—1）+ 10 级协调等级标签</w:t>
            </w:r>
          </w:p>
        </w:tc>
      </w:tr>
      <w:tr>
        <w:tc>
          <w:tcPr>
            <w:tcW w:type="dxa" w:w="4156"/>
            <w:vAlign w:val="center"/>
          </w:tcPr>
          <w:p>
            <w:pPr>
              <w:jc w:val="left"/>
            </w:pPr>
            <w:r/>
            <w:r>
              <w:rPr>
                <w:rFonts w:ascii="Times New Roman" w:hAnsi="Times New Roman" w:eastAsia="宋体"/>
                <w:b w:val="0"/>
                <w:sz w:val="21"/>
              </w:rPr>
              <w:t>AI 模式识别</w:t>
            </w:r>
          </w:p>
        </w:tc>
        <w:tc>
          <w:tcPr>
            <w:tcW w:type="dxa" w:w="4156"/>
            <w:vAlign w:val="center"/>
          </w:tcPr>
          <w:p>
            <w:pPr>
              <w:jc w:val="center"/>
            </w:pPr>
            <w:r/>
            <w:r>
              <w:rPr>
                <w:rFonts w:ascii="Times New Roman" w:hAnsi="Times New Roman" w:eastAsia="宋体"/>
                <w:b w:val="0"/>
                <w:sz w:val="21"/>
              </w:rPr>
              <w:t>模式名称 + 识别理由 + AI 印章</w:t>
            </w:r>
          </w:p>
        </w:tc>
      </w:tr>
      <w:tr>
        <w:tc>
          <w:tcPr>
            <w:tcW w:type="dxa" w:w="4156"/>
            <w:vAlign w:val="center"/>
          </w:tcPr>
          <w:p>
            <w:pPr>
              <w:jc w:val="left"/>
            </w:pPr>
            <w:r/>
            <w:r>
              <w:rPr>
                <w:rFonts w:ascii="Times New Roman" w:hAnsi="Times New Roman" w:eastAsia="宋体"/>
                <w:b w:val="0"/>
                <w:sz w:val="21"/>
              </w:rPr>
              <w:t>模式识别标准</w:t>
            </w:r>
          </w:p>
        </w:tc>
        <w:tc>
          <w:tcPr>
            <w:tcW w:type="dxa" w:w="4156"/>
            <w:vAlign w:val="center"/>
          </w:tcPr>
          <w:p>
            <w:pPr>
              <w:jc w:val="center"/>
            </w:pPr>
            <w:r/>
            <w:r>
              <w:rPr>
                <w:rFonts w:ascii="Times New Roman" w:hAnsi="Times New Roman" w:eastAsia="宋体"/>
                <w:b w:val="0"/>
                <w:sz w:val="21"/>
              </w:rPr>
              <w:t>模式特征标签 + 核心要素列表 + 量化阈值表</w:t>
            </w:r>
          </w:p>
        </w:tc>
      </w:tr>
      <w:tr>
        <w:tc>
          <w:tcPr>
            <w:tcW w:type="dxa" w:w="4156"/>
            <w:vAlign w:val="center"/>
          </w:tcPr>
          <w:p>
            <w:pPr>
              <w:jc w:val="left"/>
            </w:pPr>
            <w:r/>
            <w:r>
              <w:rPr>
                <w:rFonts w:ascii="Times New Roman" w:hAnsi="Times New Roman" w:eastAsia="宋体"/>
                <w:b w:val="0"/>
                <w:sz w:val="21"/>
              </w:rPr>
              <w:t>维度雷达图</w:t>
            </w:r>
          </w:p>
        </w:tc>
        <w:tc>
          <w:tcPr>
            <w:tcW w:type="dxa" w:w="4156"/>
            <w:vAlign w:val="center"/>
          </w:tcPr>
          <w:p>
            <w:pPr>
              <w:jc w:val="center"/>
            </w:pPr>
            <w:r/>
            <w:r>
              <w:rPr>
                <w:rFonts w:ascii="Times New Roman" w:hAnsi="Times New Roman" w:eastAsia="宋体"/>
                <w:b w:val="0"/>
                <w:sz w:val="21"/>
              </w:rPr>
              <w:t>8 维度双系统对比</w:t>
            </w:r>
          </w:p>
        </w:tc>
      </w:tr>
      <w:tr>
        <w:tc>
          <w:tcPr>
            <w:tcW w:type="dxa" w:w="4156"/>
            <w:vAlign w:val="center"/>
          </w:tcPr>
          <w:p>
            <w:pPr>
              <w:jc w:val="left"/>
            </w:pPr>
            <w:r/>
            <w:r>
              <w:rPr>
                <w:rFonts w:ascii="Times New Roman" w:hAnsi="Times New Roman" w:eastAsia="宋体"/>
                <w:b w:val="0"/>
                <w:sz w:val="21"/>
              </w:rPr>
              <w:t>障碍因子图</w:t>
            </w:r>
          </w:p>
        </w:tc>
        <w:tc>
          <w:tcPr>
            <w:tcW w:type="dxa" w:w="4156"/>
            <w:vAlign w:val="center"/>
          </w:tcPr>
          <w:p>
            <w:pPr>
              <w:jc w:val="center"/>
            </w:pPr>
            <w:r/>
            <w:r>
              <w:rPr>
                <w:rFonts w:ascii="Times New Roman" w:hAnsi="Times New Roman" w:eastAsia="宋体"/>
                <w:b w:val="0"/>
                <w:sz w:val="21"/>
              </w:rPr>
              <w:t>Top 5 障碍因子横向条形图</w:t>
            </w:r>
          </w:p>
        </w:tc>
      </w:tr>
      <w:tr>
        <w:tc>
          <w:tcPr>
            <w:tcW w:type="dxa" w:w="4156"/>
            <w:vAlign w:val="center"/>
          </w:tcPr>
          <w:p>
            <w:pPr>
              <w:jc w:val="left"/>
            </w:pPr>
            <w:r/>
            <w:r>
              <w:rPr>
                <w:rFonts w:ascii="Times New Roman" w:hAnsi="Times New Roman" w:eastAsia="宋体"/>
                <w:b w:val="0"/>
                <w:sz w:val="21"/>
              </w:rPr>
              <w:t>结构化建议</w:t>
            </w:r>
          </w:p>
        </w:tc>
        <w:tc>
          <w:tcPr>
            <w:tcW w:type="dxa" w:w="4156"/>
            <w:vAlign w:val="center"/>
          </w:tcPr>
          <w:p>
            <w:pPr>
              <w:jc w:val="center"/>
            </w:pPr>
            <w:r/>
            <w:r>
              <w:rPr>
                <w:rFonts w:ascii="Times New Roman" w:hAnsi="Times New Roman" w:eastAsia="宋体"/>
                <w:b w:val="0"/>
                <w:sz w:val="21"/>
              </w:rPr>
              <w:t>27 条差异化路径优化建议</w:t>
            </w:r>
          </w:p>
        </w:tc>
      </w:tr>
      <w:tr>
        <w:tc>
          <w:tcPr>
            <w:tcW w:type="dxa" w:w="4156"/>
            <w:vAlign w:val="center"/>
          </w:tcPr>
          <w:p>
            <w:pPr>
              <w:jc w:val="left"/>
            </w:pPr>
            <w:r/>
            <w:r>
              <w:rPr>
                <w:rFonts w:ascii="Times New Roman" w:hAnsi="Times New Roman" w:eastAsia="宋体"/>
                <w:b w:val="0"/>
                <w:sz w:val="21"/>
              </w:rPr>
              <w:t>AI 综合建议</w:t>
            </w:r>
          </w:p>
        </w:tc>
        <w:tc>
          <w:tcPr>
            <w:tcW w:type="dxa" w:w="4156"/>
            <w:vAlign w:val="center"/>
          </w:tcPr>
          <w:p>
            <w:pPr>
              <w:jc w:val="center"/>
            </w:pPr>
            <w:r/>
            <w:r>
              <w:rPr>
                <w:rFonts w:ascii="Times New Roman" w:hAnsi="Times New Roman" w:eastAsia="宋体"/>
                <w:b w:val="0"/>
                <w:sz w:val="21"/>
              </w:rPr>
              <w:t>DeepSeek 生成的 500—800 字综合建议</w:t>
            </w:r>
          </w:p>
        </w:tc>
      </w:tr>
      <w:tr>
        <w:tc>
          <w:tcPr>
            <w:tcW w:type="dxa" w:w="4156"/>
            <w:vAlign w:val="center"/>
            <w:tcBorders>
              <w:bottom w:val="single" w:sz="12" w:color="000000"/>
            </w:tcBorders>
          </w:tcPr>
          <w:p>
            <w:pPr>
              <w:jc w:val="left"/>
            </w:pPr>
            <w:r/>
            <w:r>
              <w:rPr>
                <w:rFonts w:ascii="Times New Roman" w:hAnsi="Times New Roman" w:eastAsia="宋体"/>
                <w:b w:val="0"/>
                <w:sz w:val="21"/>
              </w:rPr>
              <w:t>PDF 导出</w:t>
            </w:r>
          </w:p>
        </w:tc>
        <w:tc>
          <w:tcPr>
            <w:tcW w:type="dxa" w:w="4156"/>
            <w:vAlign w:val="center"/>
            <w:tcBorders>
              <w:bottom w:val="single" w:sz="12" w:color="000000"/>
            </w:tcBorders>
          </w:tcPr>
          <w:p>
            <w:pPr>
              <w:jc w:val="center"/>
            </w:pPr>
            <w:r/>
            <w:r>
              <w:rPr>
                <w:rFonts w:ascii="Times New Roman" w:hAnsi="Times New Roman" w:eastAsia="宋体"/>
                <w:b w:val="0"/>
                <w:sz w:val="21"/>
              </w:rPr>
              <w:t>一键下载专业评估报告</w:t>
            </w:r>
          </w:p>
        </w:tc>
      </w:tr>
    </w:tbl>
    <w:p>
      <w:pPr>
        <w:spacing w:line="360" w:lineRule="auto" w:before="120" w:after="120"/>
        <w:jc w:val="left"/>
      </w:pPr>
      <w:r>
        <w:rPr>
          <w:rFonts w:ascii="Times New Roman" w:hAnsi="Times New Roman" w:eastAsia="黑体"/>
          <w:b/>
          <w:sz w:val="24"/>
        </w:rPr>
        <w:t>2.3.2 模式识别标准</w:t>
      </w:r>
    </w:p>
    <w:p>
      <w:pPr>
        <w:spacing w:line="360" w:lineRule="auto" w:before="0" w:after="0"/>
        <w:ind w:firstLine="480"/>
        <w:jc w:val="left"/>
      </w:pPr>
      <w:r>
        <w:rPr>
          <w:rFonts w:ascii="Times New Roman" w:hAnsi="Times New Roman" w:eastAsia="宋体"/>
          <w:b w:val="0"/>
          <w:sz w:val="24"/>
        </w:rPr>
        <w:t>以手风琴折叠面板形式展示 5 种生态产品价值实现模式的量化识别标准。每种模式包含：代表区县、模式定义、模式特点、核心要素、识别阈值表（指标 / 运算符 / 阈值 / 单位 / 是否必需）。</w:t>
      </w:r>
    </w:p>
    <w:p>
      <w:pPr>
        <w:spacing w:line="360" w:lineRule="auto" w:before="120" w:after="120"/>
        <w:jc w:val="left"/>
      </w:pPr>
      <w:r>
        <w:rPr>
          <w:rFonts w:ascii="Times New Roman" w:hAnsi="Times New Roman" w:eastAsia="黑体"/>
          <w:b/>
          <w:sz w:val="24"/>
        </w:rPr>
        <w:t>2.3.3 耦合协调度计算器</w:t>
      </w:r>
    </w:p>
    <w:p>
      <w:pPr>
        <w:spacing w:line="360" w:lineRule="auto" w:before="0" w:after="0"/>
        <w:ind w:firstLine="480"/>
        <w:jc w:val="left"/>
      </w:pPr>
      <w:r>
        <w:rPr>
          <w:rFonts w:ascii="Times New Roman" w:hAnsi="Times New Roman" w:eastAsia="宋体"/>
          <w:b w:val="0"/>
          <w:sz w:val="24"/>
        </w:rPr>
        <w:t>独立的耦合协调度计算器，无需上传完整数据即可快速测算。用户输入 U1（生态得分）与 U2（乡村振兴得分），系统实时计算 C、T、D 三个值并输出等级标签，通过 ECharts gauge 仪表盘动态展示 D 值落点，并附 10 级协调等级对照表。</w:t>
      </w:r>
    </w:p>
    <w:p>
      <w:pPr>
        <w:spacing w:line="360" w:lineRule="auto" w:before="120" w:after="120"/>
        <w:jc w:val="left"/>
      </w:pPr>
      <w:r>
        <w:rPr>
          <w:rFonts w:ascii="Times New Roman" w:hAnsi="Times New Roman" w:eastAsia="黑体"/>
          <w:b/>
          <w:sz w:val="24"/>
        </w:rPr>
        <w:t>2.3.4 障碍度诊断</w:t>
      </w:r>
    </w:p>
    <w:p>
      <w:pPr>
        <w:spacing w:line="360" w:lineRule="auto" w:before="0" w:after="0"/>
        <w:ind w:firstLine="480"/>
        <w:jc w:val="left"/>
      </w:pPr>
      <w:r>
        <w:rPr>
          <w:rFonts w:ascii="Times New Roman" w:hAnsi="Times New Roman" w:eastAsia="宋体"/>
          <w:b w:val="0"/>
          <w:sz w:val="24"/>
        </w:rPr>
        <w:t>独立的障碍因子诊断工具。用户输入 26 项指标数据与权重，系统基于指标偏离度 × 权重计算各指标障碍度，按降序排列取前 N 项作为主要障碍因子，以横向条形图形式展示 Top 10 障碍因子，并自动生成诊断结论文本。</w:t>
      </w:r>
    </w:p>
    <w:p>
      <w:pPr>
        <w:spacing w:line="360" w:lineRule="auto" w:before="240" w:after="120"/>
        <w:jc w:val="left"/>
      </w:pPr>
      <w:r>
        <w:rPr>
          <w:rFonts w:ascii="Times New Roman" w:hAnsi="Times New Roman" w:eastAsia="黑体"/>
          <w:b/>
          <w:sz w:val="28"/>
        </w:rPr>
        <w:t>2.4 数据大屏（DashboardView）</w:t>
      </w:r>
    </w:p>
    <w:p>
      <w:pPr>
        <w:spacing w:line="360" w:lineRule="auto" w:before="0" w:after="0"/>
        <w:ind w:firstLine="480"/>
        <w:jc w:val="left"/>
      </w:pPr>
      <w:r>
        <w:rPr>
          <w:rFonts w:ascii="Times New Roman" w:hAnsi="Times New Roman" w:eastAsia="宋体"/>
          <w:b w:val="0"/>
          <w:sz w:val="24"/>
        </w:rPr>
        <w:t>10 区县 5 年生态振兴数据透视中心，提供 6 类可视化图表：</w:t>
      </w:r>
    </w:p>
    <w:p>
      <w:pPr>
        <w:spacing w:before="120" w:after="60"/>
        <w:jc w:val="center"/>
      </w:pPr>
      <w:r>
        <w:rPr>
          <w:rFonts w:ascii="Times New Roman" w:hAnsi="Times New Roman" w:eastAsia="黑体"/>
          <w:b/>
          <w:sz w:val="21"/>
        </w:rPr>
        <w:t>表 2-2  数据大屏图表</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图表名称</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类型</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说明</w:t>
            </w:r>
          </w:p>
        </w:tc>
      </w:tr>
      <w:tr>
        <w:tc>
          <w:tcPr>
            <w:tcW w:type="dxa" w:w="2771"/>
            <w:vAlign w:val="center"/>
          </w:tcPr>
          <w:p>
            <w:pPr>
              <w:jc w:val="left"/>
            </w:pPr>
            <w:r/>
            <w:r>
              <w:rPr>
                <w:rFonts w:ascii="Times New Roman" w:hAnsi="Times New Roman" w:eastAsia="宋体"/>
                <w:b w:val="0"/>
                <w:sz w:val="21"/>
              </w:rPr>
              <w:t>横向对比</w:t>
            </w:r>
          </w:p>
        </w:tc>
        <w:tc>
          <w:tcPr>
            <w:tcW w:type="dxa" w:w="2771"/>
            <w:vAlign w:val="center"/>
          </w:tcPr>
          <w:p>
            <w:pPr>
              <w:jc w:val="center"/>
            </w:pPr>
            <w:r/>
            <w:r>
              <w:rPr>
                <w:rFonts w:ascii="Times New Roman" w:hAnsi="Times New Roman" w:eastAsia="宋体"/>
                <w:b w:val="0"/>
                <w:sz w:val="21"/>
              </w:rPr>
              <w:t>柱状图</w:t>
            </w:r>
          </w:p>
        </w:tc>
        <w:tc>
          <w:tcPr>
            <w:tcW w:type="dxa" w:w="2771"/>
            <w:vAlign w:val="center"/>
          </w:tcPr>
          <w:p>
            <w:pPr>
              <w:jc w:val="center"/>
            </w:pPr>
            <w:r/>
            <w:r>
              <w:rPr>
                <w:rFonts w:ascii="Times New Roman" w:hAnsi="Times New Roman" w:eastAsia="宋体"/>
                <w:b w:val="0"/>
                <w:sz w:val="21"/>
              </w:rPr>
              <w:t>当年 10 区县按指标降序，按模式分色</w:t>
            </w:r>
          </w:p>
        </w:tc>
      </w:tr>
      <w:tr>
        <w:tc>
          <w:tcPr>
            <w:tcW w:type="dxa" w:w="2771"/>
            <w:vAlign w:val="center"/>
          </w:tcPr>
          <w:p>
            <w:pPr>
              <w:jc w:val="left"/>
            </w:pPr>
            <w:r/>
            <w:r>
              <w:rPr>
                <w:rFonts w:ascii="Times New Roman" w:hAnsi="Times New Roman" w:eastAsia="宋体"/>
                <w:b w:val="0"/>
                <w:sz w:val="21"/>
              </w:rPr>
              <w:t>时间演化</w:t>
            </w:r>
          </w:p>
        </w:tc>
        <w:tc>
          <w:tcPr>
            <w:tcW w:type="dxa" w:w="2771"/>
            <w:vAlign w:val="center"/>
          </w:tcPr>
          <w:p>
            <w:pPr>
              <w:jc w:val="center"/>
            </w:pPr>
            <w:r/>
            <w:r>
              <w:rPr>
                <w:rFonts w:ascii="Times New Roman" w:hAnsi="Times New Roman" w:eastAsia="宋体"/>
                <w:b w:val="0"/>
                <w:sz w:val="21"/>
              </w:rPr>
              <w:t>折线图</w:t>
            </w:r>
          </w:p>
        </w:tc>
        <w:tc>
          <w:tcPr>
            <w:tcW w:type="dxa" w:w="2771"/>
            <w:vAlign w:val="center"/>
          </w:tcPr>
          <w:p>
            <w:pPr>
              <w:jc w:val="center"/>
            </w:pPr>
            <w:r/>
            <w:r>
              <w:rPr>
                <w:rFonts w:ascii="Times New Roman" w:hAnsi="Times New Roman" w:eastAsia="宋体"/>
                <w:b w:val="0"/>
                <w:sz w:val="21"/>
              </w:rPr>
              <w:t>5 年趋势，按模式分色</w:t>
            </w:r>
          </w:p>
        </w:tc>
      </w:tr>
      <w:tr>
        <w:tc>
          <w:tcPr>
            <w:tcW w:type="dxa" w:w="2771"/>
            <w:vAlign w:val="center"/>
          </w:tcPr>
          <w:p>
            <w:pPr>
              <w:jc w:val="left"/>
            </w:pPr>
            <w:r/>
            <w:r>
              <w:rPr>
                <w:rFonts w:ascii="Times New Roman" w:hAnsi="Times New Roman" w:eastAsia="宋体"/>
                <w:b w:val="0"/>
                <w:sz w:val="21"/>
              </w:rPr>
              <w:t>模式雷达</w:t>
            </w:r>
          </w:p>
        </w:tc>
        <w:tc>
          <w:tcPr>
            <w:tcW w:type="dxa" w:w="2771"/>
            <w:vAlign w:val="center"/>
          </w:tcPr>
          <w:p>
            <w:pPr>
              <w:jc w:val="center"/>
            </w:pPr>
            <w:r/>
            <w:r>
              <w:rPr>
                <w:rFonts w:ascii="Times New Roman" w:hAnsi="Times New Roman" w:eastAsia="宋体"/>
                <w:b w:val="0"/>
                <w:sz w:val="21"/>
              </w:rPr>
              <w:t>雷达图</w:t>
            </w:r>
          </w:p>
        </w:tc>
        <w:tc>
          <w:tcPr>
            <w:tcW w:type="dxa" w:w="2771"/>
            <w:vAlign w:val="center"/>
          </w:tcPr>
          <w:p>
            <w:pPr>
              <w:jc w:val="center"/>
            </w:pPr>
            <w:r/>
            <w:r>
              <w:rPr>
                <w:rFonts w:ascii="Times New Roman" w:hAnsi="Times New Roman" w:eastAsia="宋体"/>
                <w:b w:val="0"/>
                <w:sz w:val="21"/>
              </w:rPr>
              <w:t>5 模式代表区县五维得分对比</w:t>
            </w:r>
          </w:p>
        </w:tc>
      </w:tr>
      <w:tr>
        <w:tc>
          <w:tcPr>
            <w:tcW w:type="dxa" w:w="2771"/>
            <w:vAlign w:val="center"/>
          </w:tcPr>
          <w:p>
            <w:pPr>
              <w:jc w:val="left"/>
            </w:pPr>
            <w:r/>
            <w:r>
              <w:rPr>
                <w:rFonts w:ascii="Times New Roman" w:hAnsi="Times New Roman" w:eastAsia="宋体"/>
                <w:b w:val="0"/>
                <w:sz w:val="21"/>
              </w:rPr>
              <w:t>耦合散点</w:t>
            </w:r>
          </w:p>
        </w:tc>
        <w:tc>
          <w:tcPr>
            <w:tcW w:type="dxa" w:w="2771"/>
            <w:vAlign w:val="center"/>
          </w:tcPr>
          <w:p>
            <w:pPr>
              <w:jc w:val="center"/>
            </w:pPr>
            <w:r/>
            <w:r>
              <w:rPr>
                <w:rFonts w:ascii="Times New Roman" w:hAnsi="Times New Roman" w:eastAsia="宋体"/>
                <w:b w:val="0"/>
                <w:sz w:val="21"/>
              </w:rPr>
              <w:t>散点图</w:t>
            </w:r>
          </w:p>
        </w:tc>
        <w:tc>
          <w:tcPr>
            <w:tcW w:type="dxa" w:w="2771"/>
            <w:vAlign w:val="center"/>
          </w:tcPr>
          <w:p>
            <w:pPr>
              <w:jc w:val="center"/>
            </w:pPr>
            <w:r/>
            <w:r>
              <w:rPr>
                <w:rFonts w:ascii="Times New Roman" w:hAnsi="Times New Roman" w:eastAsia="宋体"/>
                <w:b w:val="0"/>
                <w:sz w:val="21"/>
              </w:rPr>
              <w:t>生态得分 vs 振兴得分，对角线为 D=1</w:t>
            </w:r>
          </w:p>
        </w:tc>
      </w:tr>
      <w:tr>
        <w:tc>
          <w:tcPr>
            <w:tcW w:type="dxa" w:w="2771"/>
            <w:vAlign w:val="center"/>
          </w:tcPr>
          <w:p>
            <w:pPr>
              <w:jc w:val="left"/>
            </w:pPr>
            <w:r/>
            <w:r>
              <w:rPr>
                <w:rFonts w:ascii="Times New Roman" w:hAnsi="Times New Roman" w:eastAsia="宋体"/>
                <w:b w:val="0"/>
                <w:sz w:val="21"/>
              </w:rPr>
              <w:t>AHP 权重</w:t>
            </w:r>
          </w:p>
        </w:tc>
        <w:tc>
          <w:tcPr>
            <w:tcW w:type="dxa" w:w="2771"/>
            <w:vAlign w:val="center"/>
          </w:tcPr>
          <w:p>
            <w:pPr>
              <w:jc w:val="center"/>
            </w:pPr>
            <w:r/>
            <w:r>
              <w:rPr>
                <w:rFonts w:ascii="Times New Roman" w:hAnsi="Times New Roman" w:eastAsia="宋体"/>
                <w:b w:val="0"/>
                <w:sz w:val="21"/>
              </w:rPr>
              <w:t>横向条形图</w:t>
            </w:r>
          </w:p>
        </w:tc>
        <w:tc>
          <w:tcPr>
            <w:tcW w:type="dxa" w:w="2771"/>
            <w:vAlign w:val="center"/>
          </w:tcPr>
          <w:p>
            <w:pPr>
              <w:jc w:val="center"/>
            </w:pPr>
            <w:r/>
            <w:r>
              <w:rPr>
                <w:rFonts w:ascii="Times New Roman" w:hAnsi="Times New Roman" w:eastAsia="宋体"/>
                <w:b w:val="0"/>
                <w:sz w:val="21"/>
              </w:rPr>
              <w:t>26 项指标组合权重可视化</w:t>
            </w:r>
          </w:p>
        </w:tc>
      </w:tr>
      <w:tr>
        <w:tc>
          <w:tcPr>
            <w:tcW w:type="dxa" w:w="2771"/>
            <w:vAlign w:val="center"/>
            <w:tcBorders>
              <w:bottom w:val="single" w:sz="12" w:color="000000"/>
            </w:tcBorders>
          </w:tcPr>
          <w:p>
            <w:pPr>
              <w:jc w:val="left"/>
            </w:pPr>
            <w:r/>
            <w:r>
              <w:rPr>
                <w:rFonts w:ascii="Times New Roman" w:hAnsi="Times New Roman" w:eastAsia="宋体"/>
                <w:b w:val="0"/>
                <w:sz w:val="21"/>
              </w:rPr>
              <w:t>聚类散点</w:t>
            </w:r>
          </w:p>
        </w:tc>
        <w:tc>
          <w:tcPr>
            <w:tcW w:type="dxa" w:w="2771"/>
            <w:vAlign w:val="center"/>
            <w:tcBorders>
              <w:bottom w:val="single" w:sz="12" w:color="000000"/>
            </w:tcBorders>
          </w:tcPr>
          <w:p>
            <w:pPr>
              <w:jc w:val="center"/>
            </w:pPr>
            <w:r/>
            <w:r>
              <w:rPr>
                <w:rFonts w:ascii="Times New Roman" w:hAnsi="Times New Roman" w:eastAsia="宋体"/>
                <w:b w:val="0"/>
                <w:sz w:val="21"/>
              </w:rPr>
              <w:t>散点图</w:t>
            </w:r>
          </w:p>
        </w:tc>
        <w:tc>
          <w:tcPr>
            <w:tcW w:type="dxa" w:w="2771"/>
            <w:vAlign w:val="center"/>
            <w:tcBorders>
              <w:bottom w:val="single" w:sz="12" w:color="000000"/>
            </w:tcBorders>
          </w:tcPr>
          <w:p>
            <w:pPr>
              <w:jc w:val="center"/>
            </w:pPr>
            <w:r/>
            <w:r>
              <w:rPr>
                <w:rFonts w:ascii="Times New Roman" w:hAnsi="Times New Roman" w:eastAsia="宋体"/>
                <w:b w:val="0"/>
                <w:sz w:val="21"/>
              </w:rPr>
              <w:t>10 区县 PC1/PC2 主成分降维坐标</w:t>
            </w:r>
          </w:p>
        </w:tc>
      </w:tr>
    </w:tbl>
    <w:p>
      <w:pPr>
        <w:spacing w:line="360" w:lineRule="auto" w:before="240" w:after="120"/>
        <w:jc w:val="left"/>
      </w:pPr>
      <w:r>
        <w:rPr>
          <w:rFonts w:ascii="Times New Roman" w:hAnsi="Times New Roman" w:eastAsia="黑体"/>
          <w:b/>
          <w:sz w:val="28"/>
        </w:rPr>
        <w:t>2.5 农产品商城（MallView）</w:t>
      </w:r>
    </w:p>
    <w:p>
      <w:pPr>
        <w:spacing w:line="360" w:lineRule="auto" w:before="0" w:after="0"/>
        <w:ind w:firstLine="480"/>
        <w:jc w:val="left"/>
      </w:pPr>
      <w:r>
        <w:rPr>
          <w:rFonts w:ascii="Times New Roman" w:hAnsi="Times New Roman" w:eastAsia="宋体"/>
          <w:b w:val="0"/>
          <w:sz w:val="24"/>
        </w:rPr>
        <w:t>生态农产品交易市场，支持商家上架与用户购买。</w:t>
      </w:r>
    </w:p>
    <w:p>
      <w:pPr>
        <w:spacing w:line="360" w:lineRule="auto"/>
        <w:ind w:left="480" w:hanging="240"/>
        <w:jc w:val="left"/>
      </w:pPr>
      <w:r>
        <w:rPr>
          <w:rFonts w:ascii="Times New Roman" w:hAnsi="Times New Roman" w:eastAsia="宋体"/>
          <w:b w:val="0"/>
          <w:sz w:val="24"/>
        </w:rPr>
        <w:t>• 商品列表：分类筛选（果蔬 / 粮油 / 水产 / 食用菌 / 茶叶 / 畜禽 / 加工品）、关键词搜索、排序</w:t>
      </w:r>
    </w:p>
    <w:p>
      <w:pPr>
        <w:spacing w:line="360" w:lineRule="auto"/>
        <w:ind w:left="480" w:hanging="240"/>
        <w:jc w:val="left"/>
      </w:pPr>
      <w:r>
        <w:rPr>
          <w:rFonts w:ascii="Times New Roman" w:hAnsi="Times New Roman" w:eastAsia="宋体"/>
          <w:b w:val="0"/>
          <w:sz w:val="24"/>
        </w:rPr>
        <w:t>• 商品卡片：图片、名称、产地、价格、库存、生态认证标签、加入购物车按钮</w:t>
      </w:r>
    </w:p>
    <w:p>
      <w:pPr>
        <w:spacing w:line="360" w:lineRule="auto"/>
        <w:ind w:left="480" w:hanging="240"/>
        <w:jc w:val="left"/>
      </w:pPr>
      <w:r>
        <w:rPr>
          <w:rFonts w:ascii="Times New Roman" w:hAnsi="Times New Roman" w:eastAsia="宋体"/>
          <w:b w:val="0"/>
          <w:sz w:val="24"/>
        </w:rPr>
        <w:t>• 商品详情：图文展示、营养参数、产地溯源、认证信息</w:t>
      </w:r>
    </w:p>
    <w:p>
      <w:pPr>
        <w:spacing w:line="360" w:lineRule="auto"/>
        <w:ind w:left="480" w:hanging="240"/>
        <w:jc w:val="left"/>
      </w:pPr>
      <w:r>
        <w:rPr>
          <w:rFonts w:ascii="Times New Roman" w:hAnsi="Times New Roman" w:eastAsia="宋体"/>
          <w:b w:val="0"/>
          <w:sz w:val="24"/>
        </w:rPr>
        <w:t>• 购物车：本地状态管理，数量增减、移除、小计与总价计算</w:t>
      </w:r>
    </w:p>
    <w:p>
      <w:pPr>
        <w:spacing w:line="360" w:lineRule="auto"/>
        <w:ind w:left="480" w:hanging="240"/>
        <w:jc w:val="left"/>
      </w:pPr>
      <w:r>
        <w:rPr>
          <w:rFonts w:ascii="Times New Roman" w:hAnsi="Times New Roman" w:eastAsia="宋体"/>
          <w:b w:val="0"/>
          <w:sz w:val="24"/>
        </w:rPr>
        <w:t>• 下单结算：填写收货信息，提交订单后扣减库存</w:t>
      </w:r>
    </w:p>
    <w:p>
      <w:pPr>
        <w:spacing w:line="360" w:lineRule="auto" w:before="240" w:after="120"/>
        <w:jc w:val="left"/>
      </w:pPr>
      <w:r>
        <w:rPr>
          <w:rFonts w:ascii="Times New Roman" w:hAnsi="Times New Roman" w:eastAsia="黑体"/>
          <w:b/>
          <w:sz w:val="28"/>
        </w:rPr>
        <w:t>2.6 案例中心（CaseView）</w:t>
      </w:r>
    </w:p>
    <w:p>
      <w:pPr>
        <w:spacing w:line="360" w:lineRule="auto" w:before="0" w:after="0"/>
        <w:ind w:firstLine="480"/>
        <w:jc w:val="left"/>
      </w:pPr>
      <w:r>
        <w:rPr>
          <w:rFonts w:ascii="Times New Roman" w:hAnsi="Times New Roman" w:eastAsia="宋体"/>
          <w:b w:val="0"/>
          <w:sz w:val="24"/>
        </w:rPr>
        <w:t>5 种发展模式的典型案例展示，支持模式切换与详情查看。</w:t>
      </w:r>
    </w:p>
    <w:p>
      <w:pPr>
        <w:spacing w:line="360" w:lineRule="auto"/>
        <w:ind w:left="480" w:hanging="240"/>
        <w:jc w:val="left"/>
      </w:pPr>
      <w:r>
        <w:rPr>
          <w:rFonts w:ascii="Times New Roman" w:hAnsi="Times New Roman" w:eastAsia="宋体"/>
          <w:b w:val="0"/>
          <w:sz w:val="24"/>
        </w:rPr>
        <w:t>• 模式切换：顶部 5 个模式标签，点击切换案例列表</w:t>
      </w:r>
    </w:p>
    <w:p>
      <w:pPr>
        <w:spacing w:line="360" w:lineRule="auto"/>
        <w:ind w:left="480" w:hanging="240"/>
        <w:jc w:val="left"/>
      </w:pPr>
      <w:r>
        <w:rPr>
          <w:rFonts w:ascii="Times New Roman" w:hAnsi="Times New Roman" w:eastAsia="宋体"/>
          <w:b w:val="0"/>
          <w:sz w:val="24"/>
        </w:rPr>
        <w:t>• 案例卡片：图片、标题、地区标签、摘要、查看详情按钮</w:t>
      </w:r>
    </w:p>
    <w:p>
      <w:pPr>
        <w:spacing w:line="360" w:lineRule="auto"/>
        <w:ind w:left="480" w:hanging="240"/>
        <w:jc w:val="left"/>
      </w:pPr>
      <w:r>
        <w:rPr>
          <w:rFonts w:ascii="Times New Roman" w:hAnsi="Times New Roman" w:eastAsia="宋体"/>
          <w:b w:val="0"/>
          <w:sz w:val="24"/>
        </w:rPr>
        <w:t>• 案例详情：弹窗展示图文详情、关键数据、经验启示</w:t>
      </w:r>
    </w:p>
    <w:p>
      <w:pPr>
        <w:spacing w:line="360" w:lineRule="auto" w:before="240" w:after="120"/>
        <w:jc w:val="left"/>
      </w:pPr>
      <w:r>
        <w:rPr>
          <w:rFonts w:ascii="Times New Roman" w:hAnsi="Times New Roman" w:eastAsia="黑体"/>
          <w:b/>
          <w:sz w:val="28"/>
        </w:rPr>
        <w:t>2.7 用户中心（UserView）</w:t>
      </w:r>
    </w:p>
    <w:p>
      <w:pPr>
        <w:spacing w:line="360" w:lineRule="auto" w:before="0" w:after="0"/>
        <w:ind w:firstLine="480"/>
        <w:jc w:val="left"/>
      </w:pPr>
      <w:r>
        <w:rPr>
          <w:rFonts w:ascii="Times New Roman" w:hAnsi="Times New Roman" w:eastAsia="宋体"/>
          <w:b w:val="0"/>
          <w:sz w:val="24"/>
        </w:rPr>
        <w:t>用户账户与个人数据管理，包含登录注册与个人面板。</w:t>
      </w:r>
    </w:p>
    <w:p>
      <w:pPr>
        <w:spacing w:line="360" w:lineRule="auto"/>
        <w:ind w:left="480" w:hanging="240"/>
        <w:jc w:val="left"/>
      </w:pPr>
      <w:r>
        <w:rPr>
          <w:rFonts w:ascii="Times New Roman" w:hAnsi="Times New Roman" w:eastAsia="宋体"/>
          <w:b w:val="0"/>
          <w:sz w:val="24"/>
        </w:rPr>
        <w:t>• 登录注册：用户名 / 邮箱 / 密码 / 角色（普通用户 / 商家）</w:t>
      </w:r>
    </w:p>
    <w:p>
      <w:pPr>
        <w:spacing w:line="360" w:lineRule="auto"/>
        <w:ind w:left="480" w:hanging="240"/>
        <w:jc w:val="left"/>
      </w:pPr>
      <w:r>
        <w:rPr>
          <w:rFonts w:ascii="Times New Roman" w:hAnsi="Times New Roman" w:eastAsia="宋体"/>
          <w:b w:val="0"/>
          <w:sz w:val="24"/>
        </w:rPr>
        <w:t>• 个人面板：头像、用户名、角色标签、邮箱、手机</w:t>
      </w:r>
    </w:p>
    <w:p>
      <w:pPr>
        <w:spacing w:line="360" w:lineRule="auto"/>
        <w:ind w:left="480" w:hanging="240"/>
        <w:jc w:val="left"/>
      </w:pPr>
      <w:r>
        <w:rPr>
          <w:rFonts w:ascii="Times New Roman" w:hAnsi="Times New Roman" w:eastAsia="宋体"/>
          <w:b w:val="0"/>
          <w:sz w:val="24"/>
        </w:rPr>
        <w:t>• 商品上架（商家）：发布新商品表单，含分类、产地、价格、库存、图片、生态认证</w:t>
      </w:r>
    </w:p>
    <w:p>
      <w:pPr>
        <w:spacing w:line="360" w:lineRule="auto"/>
        <w:ind w:left="480" w:hanging="240"/>
        <w:jc w:val="left"/>
      </w:pPr>
      <w:r>
        <w:rPr>
          <w:rFonts w:ascii="Times New Roman" w:hAnsi="Times New Roman" w:eastAsia="宋体"/>
          <w:b w:val="0"/>
          <w:sz w:val="24"/>
        </w:rPr>
        <w:t>• 我上架的商品：表格展示商品列表与审核状态</w:t>
      </w:r>
    </w:p>
    <w:p>
      <w:pPr>
        <w:spacing w:line="360" w:lineRule="auto"/>
        <w:ind w:left="480" w:hanging="240"/>
        <w:jc w:val="left"/>
      </w:pPr>
      <w:r>
        <w:rPr>
          <w:rFonts w:ascii="Times New Roman" w:hAnsi="Times New Roman" w:eastAsia="宋体"/>
          <w:b w:val="0"/>
          <w:sz w:val="24"/>
        </w:rPr>
        <w:t>• 评估记录：表格展示历史评估，支持查看详情与下载 PDF</w:t>
      </w:r>
    </w:p>
    <w:p>
      <w:pPr>
        <w:spacing w:line="360" w:lineRule="auto"/>
        <w:ind w:left="480" w:hanging="240"/>
        <w:jc w:val="left"/>
      </w:pPr>
      <w:r>
        <w:rPr>
          <w:rFonts w:ascii="Times New Roman" w:hAnsi="Times New Roman" w:eastAsia="宋体"/>
          <w:b w:val="0"/>
          <w:sz w:val="24"/>
        </w:rPr>
        <w:t>• 我的订单：订单列表与状态跟踪</w:t>
      </w:r>
    </w:p>
    <w:p>
      <w:r>
        <w:br w:type="page"/>
      </w:r>
    </w:p>
    <w:p>
      <w:pPr>
        <w:spacing w:line="360" w:lineRule="auto" w:before="0" w:after="360"/>
        <w:jc w:val="center"/>
        <w:pBdr>
          <w:bottom w:val="single" w:sz="12" w:space="4" w:color="000000"/>
        </w:pBdr>
      </w:pPr>
      <w:r>
        <w:rPr>
          <w:rFonts w:ascii="Times New Roman" w:hAnsi="Times New Roman" w:eastAsia="黑体"/>
          <w:b/>
          <w:sz w:val="36"/>
        </w:rPr>
        <w:t>第三章 核心算法</w:t>
      </w:r>
    </w:p>
    <w:p>
      <w:pPr>
        <w:spacing w:line="360" w:lineRule="auto" w:before="0" w:after="0"/>
        <w:ind w:firstLine="480"/>
        <w:jc w:val="left"/>
      </w:pPr>
      <w:r>
        <w:rPr>
          <w:rFonts w:ascii="Times New Roman" w:hAnsi="Times New Roman" w:eastAsia="宋体"/>
          <w:b w:val="0"/>
          <w:sz w:val="24"/>
        </w:rPr>
        <w:t>平台核心算法层集成五大数学方法：层次分析法（AHP）、耦合协调度模型（CCD）、障碍度模型、DeepSeek AI 智能引擎与层次聚类分析。</w:t>
      </w:r>
    </w:p>
    <w:p>
      <w:pPr>
        <w:spacing w:line="360" w:lineRule="auto" w:before="240" w:after="120"/>
        <w:jc w:val="left"/>
      </w:pPr>
      <w:r>
        <w:rPr>
          <w:rFonts w:ascii="Times New Roman" w:hAnsi="Times New Roman" w:eastAsia="黑体"/>
          <w:b/>
          <w:sz w:val="28"/>
        </w:rPr>
        <w:t>3.1 AHP 层次分析法</w:t>
      </w:r>
    </w:p>
    <w:p>
      <w:pPr>
        <w:spacing w:line="360" w:lineRule="auto" w:before="0" w:after="0"/>
        <w:ind w:firstLine="480"/>
        <w:jc w:val="left"/>
      </w:pPr>
      <w:r>
        <w:rPr>
          <w:rFonts w:ascii="Times New Roman" w:hAnsi="Times New Roman" w:eastAsia="宋体"/>
          <w:b w:val="0"/>
          <w:sz w:val="24"/>
        </w:rPr>
        <w:t>构建"目标层—准则层—指标层"三级递阶结构，计算 26 项指标的组合权重。组合权重 = 准则层权重 × 指标层权重，所有指标组合权重之和为 1。</w:t>
      </w:r>
    </w:p>
    <w:p>
      <w:pPr>
        <w:spacing w:line="360" w:lineRule="auto" w:before="0" w:after="0"/>
        <w:ind w:firstLine="480"/>
        <w:jc w:val="left"/>
      </w:pPr>
      <w:r>
        <w:rPr>
          <w:rFonts w:ascii="Times New Roman" w:hAnsi="Times New Roman" w:eastAsia="宋体"/>
          <w:b w:val="0"/>
          <w:sz w:val="24"/>
        </w:rPr>
        <w:t>准则层权重通过对专家判断矩阵求解最大特征值对应特征向量得出，并通过一致性检验（CR&lt;0.1）确保结果可靠。</w:t>
      </w:r>
    </w:p>
    <w:p>
      <w:pPr>
        <w:spacing w:line="360" w:lineRule="auto" w:before="240" w:after="120"/>
        <w:jc w:val="left"/>
      </w:pPr>
      <w:r>
        <w:rPr>
          <w:rFonts w:ascii="Times New Roman" w:hAnsi="Times New Roman" w:eastAsia="黑体"/>
          <w:b/>
          <w:sz w:val="28"/>
        </w:rPr>
        <w:t>3.2 耦合协调度模型（CCD）</w:t>
      </w:r>
    </w:p>
    <w:p>
      <w:pPr>
        <w:spacing w:line="360" w:lineRule="auto" w:before="0" w:after="0"/>
        <w:ind w:firstLine="480"/>
        <w:jc w:val="left"/>
      </w:pPr>
      <w:r>
        <w:rPr>
          <w:rFonts w:ascii="Times New Roman" w:hAnsi="Times New Roman" w:eastAsia="宋体"/>
          <w:b w:val="0"/>
          <w:sz w:val="24"/>
        </w:rPr>
        <w:t>用于测算生态产品价值实现系统与乡村振兴系统之间的协调发展水平。</w:t>
      </w:r>
    </w:p>
    <w:p>
      <w:pPr>
        <w:spacing w:before="120" w:after="60"/>
        <w:jc w:val="center"/>
      </w:pPr>
      <w:r>
        <w:rPr>
          <w:rFonts w:ascii="Times New Roman" w:hAnsi="Times New Roman" w:eastAsia="黑体"/>
          <w:b/>
          <w:sz w:val="21"/>
        </w:rPr>
        <w:t>表 3-1  耦合协调度等级划分（10 级）</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D 值区间</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等级</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类型</w:t>
            </w:r>
          </w:p>
        </w:tc>
      </w:tr>
      <w:tr>
        <w:tc>
          <w:tcPr>
            <w:tcW w:type="dxa" w:w="2771"/>
            <w:vAlign w:val="center"/>
          </w:tcPr>
          <w:p>
            <w:pPr>
              <w:jc w:val="left"/>
            </w:pPr>
            <w:r/>
            <w:r>
              <w:rPr>
                <w:rFonts w:ascii="Times New Roman" w:hAnsi="Times New Roman" w:eastAsia="宋体"/>
                <w:b w:val="0"/>
                <w:sz w:val="21"/>
              </w:rPr>
              <w:t>[0.0, 0.1)</w:t>
            </w:r>
          </w:p>
        </w:tc>
        <w:tc>
          <w:tcPr>
            <w:tcW w:type="dxa" w:w="2771"/>
            <w:vAlign w:val="center"/>
          </w:tcPr>
          <w:p>
            <w:pPr>
              <w:jc w:val="center"/>
            </w:pPr>
            <w:r/>
            <w:r>
              <w:rPr>
                <w:rFonts w:ascii="Times New Roman" w:hAnsi="Times New Roman" w:eastAsia="宋体"/>
                <w:b w:val="0"/>
                <w:sz w:val="21"/>
              </w:rPr>
              <w:t>极度失调</w:t>
            </w:r>
          </w:p>
        </w:tc>
        <w:tc>
          <w:tcPr>
            <w:tcW w:type="dxa" w:w="2771"/>
            <w:vAlign w:val="center"/>
          </w:tcPr>
          <w:p>
            <w:pPr>
              <w:jc w:val="center"/>
            </w:pPr>
            <w:r/>
            <w:r>
              <w:rPr>
                <w:rFonts w:ascii="Times New Roman" w:hAnsi="Times New Roman" w:eastAsia="宋体"/>
                <w:b w:val="0"/>
                <w:sz w:val="21"/>
              </w:rPr>
              <w:t>失调类</w:t>
            </w:r>
          </w:p>
        </w:tc>
      </w:tr>
      <w:tr>
        <w:tc>
          <w:tcPr>
            <w:tcW w:type="dxa" w:w="2771"/>
            <w:vAlign w:val="center"/>
          </w:tcPr>
          <w:p>
            <w:pPr>
              <w:jc w:val="left"/>
            </w:pPr>
            <w:r/>
            <w:r>
              <w:rPr>
                <w:rFonts w:ascii="Times New Roman" w:hAnsi="Times New Roman" w:eastAsia="宋体"/>
                <w:b w:val="0"/>
                <w:sz w:val="21"/>
              </w:rPr>
              <w:t>[0.1, 0.2)</w:t>
            </w:r>
          </w:p>
        </w:tc>
        <w:tc>
          <w:tcPr>
            <w:tcW w:type="dxa" w:w="2771"/>
            <w:vAlign w:val="center"/>
          </w:tcPr>
          <w:p>
            <w:pPr>
              <w:jc w:val="center"/>
            </w:pPr>
            <w:r/>
            <w:r>
              <w:rPr>
                <w:rFonts w:ascii="Times New Roman" w:hAnsi="Times New Roman" w:eastAsia="宋体"/>
                <w:b w:val="0"/>
                <w:sz w:val="21"/>
              </w:rPr>
              <w:t>严重失调</w:t>
            </w:r>
          </w:p>
        </w:tc>
        <w:tc>
          <w:tcPr>
            <w:tcW w:type="dxa" w:w="2771"/>
            <w:vAlign w:val="center"/>
          </w:tcPr>
          <w:p>
            <w:pPr>
              <w:jc w:val="center"/>
            </w:pPr>
            <w:r/>
            <w:r>
              <w:rPr>
                <w:rFonts w:ascii="Times New Roman" w:hAnsi="Times New Roman" w:eastAsia="宋体"/>
                <w:b w:val="0"/>
                <w:sz w:val="21"/>
              </w:rPr>
              <w:t>失调类</w:t>
            </w:r>
          </w:p>
        </w:tc>
      </w:tr>
      <w:tr>
        <w:tc>
          <w:tcPr>
            <w:tcW w:type="dxa" w:w="2771"/>
            <w:vAlign w:val="center"/>
          </w:tcPr>
          <w:p>
            <w:pPr>
              <w:jc w:val="left"/>
            </w:pPr>
            <w:r/>
            <w:r>
              <w:rPr>
                <w:rFonts w:ascii="Times New Roman" w:hAnsi="Times New Roman" w:eastAsia="宋体"/>
                <w:b w:val="0"/>
                <w:sz w:val="21"/>
              </w:rPr>
              <w:t>[0.2, 0.3)</w:t>
            </w:r>
          </w:p>
        </w:tc>
        <w:tc>
          <w:tcPr>
            <w:tcW w:type="dxa" w:w="2771"/>
            <w:vAlign w:val="center"/>
          </w:tcPr>
          <w:p>
            <w:pPr>
              <w:jc w:val="center"/>
            </w:pPr>
            <w:r/>
            <w:r>
              <w:rPr>
                <w:rFonts w:ascii="Times New Roman" w:hAnsi="Times New Roman" w:eastAsia="宋体"/>
                <w:b w:val="0"/>
                <w:sz w:val="21"/>
              </w:rPr>
              <w:t>中度失调</w:t>
            </w:r>
          </w:p>
        </w:tc>
        <w:tc>
          <w:tcPr>
            <w:tcW w:type="dxa" w:w="2771"/>
            <w:vAlign w:val="center"/>
          </w:tcPr>
          <w:p>
            <w:pPr>
              <w:jc w:val="center"/>
            </w:pPr>
            <w:r/>
            <w:r>
              <w:rPr>
                <w:rFonts w:ascii="Times New Roman" w:hAnsi="Times New Roman" w:eastAsia="宋体"/>
                <w:b w:val="0"/>
                <w:sz w:val="21"/>
              </w:rPr>
              <w:t>失调类</w:t>
            </w:r>
          </w:p>
        </w:tc>
      </w:tr>
      <w:tr>
        <w:tc>
          <w:tcPr>
            <w:tcW w:type="dxa" w:w="2771"/>
            <w:vAlign w:val="center"/>
          </w:tcPr>
          <w:p>
            <w:pPr>
              <w:jc w:val="left"/>
            </w:pPr>
            <w:r/>
            <w:r>
              <w:rPr>
                <w:rFonts w:ascii="Times New Roman" w:hAnsi="Times New Roman" w:eastAsia="宋体"/>
                <w:b w:val="0"/>
                <w:sz w:val="21"/>
              </w:rPr>
              <w:t>[0.3, 0.4)</w:t>
            </w:r>
          </w:p>
        </w:tc>
        <w:tc>
          <w:tcPr>
            <w:tcW w:type="dxa" w:w="2771"/>
            <w:vAlign w:val="center"/>
          </w:tcPr>
          <w:p>
            <w:pPr>
              <w:jc w:val="center"/>
            </w:pPr>
            <w:r/>
            <w:r>
              <w:rPr>
                <w:rFonts w:ascii="Times New Roman" w:hAnsi="Times New Roman" w:eastAsia="宋体"/>
                <w:b w:val="0"/>
                <w:sz w:val="21"/>
              </w:rPr>
              <w:t>轻度失调</w:t>
            </w:r>
          </w:p>
        </w:tc>
        <w:tc>
          <w:tcPr>
            <w:tcW w:type="dxa" w:w="2771"/>
            <w:vAlign w:val="center"/>
          </w:tcPr>
          <w:p>
            <w:pPr>
              <w:jc w:val="center"/>
            </w:pPr>
            <w:r/>
            <w:r>
              <w:rPr>
                <w:rFonts w:ascii="Times New Roman" w:hAnsi="Times New Roman" w:eastAsia="宋体"/>
                <w:b w:val="0"/>
                <w:sz w:val="21"/>
              </w:rPr>
              <w:t>失调类</w:t>
            </w:r>
          </w:p>
        </w:tc>
      </w:tr>
      <w:tr>
        <w:tc>
          <w:tcPr>
            <w:tcW w:type="dxa" w:w="2771"/>
            <w:vAlign w:val="center"/>
          </w:tcPr>
          <w:p>
            <w:pPr>
              <w:jc w:val="left"/>
            </w:pPr>
            <w:r/>
            <w:r>
              <w:rPr>
                <w:rFonts w:ascii="Times New Roman" w:hAnsi="Times New Roman" w:eastAsia="宋体"/>
                <w:b w:val="0"/>
                <w:sz w:val="21"/>
              </w:rPr>
              <w:t>[0.4, 0.5)</w:t>
            </w:r>
          </w:p>
        </w:tc>
        <w:tc>
          <w:tcPr>
            <w:tcW w:type="dxa" w:w="2771"/>
            <w:vAlign w:val="center"/>
          </w:tcPr>
          <w:p>
            <w:pPr>
              <w:jc w:val="center"/>
            </w:pPr>
            <w:r/>
            <w:r>
              <w:rPr>
                <w:rFonts w:ascii="Times New Roman" w:hAnsi="Times New Roman" w:eastAsia="宋体"/>
                <w:b w:val="0"/>
                <w:sz w:val="21"/>
              </w:rPr>
              <w:t>濒临失调</w:t>
            </w:r>
          </w:p>
        </w:tc>
        <w:tc>
          <w:tcPr>
            <w:tcW w:type="dxa" w:w="2771"/>
            <w:vAlign w:val="center"/>
          </w:tcPr>
          <w:p>
            <w:pPr>
              <w:jc w:val="center"/>
            </w:pPr>
            <w:r/>
            <w:r>
              <w:rPr>
                <w:rFonts w:ascii="Times New Roman" w:hAnsi="Times New Roman" w:eastAsia="宋体"/>
                <w:b w:val="0"/>
                <w:sz w:val="21"/>
              </w:rPr>
              <w:t>过渡类</w:t>
            </w:r>
          </w:p>
        </w:tc>
      </w:tr>
      <w:tr>
        <w:tc>
          <w:tcPr>
            <w:tcW w:type="dxa" w:w="2771"/>
            <w:vAlign w:val="center"/>
          </w:tcPr>
          <w:p>
            <w:pPr>
              <w:jc w:val="left"/>
            </w:pPr>
            <w:r/>
            <w:r>
              <w:rPr>
                <w:rFonts w:ascii="Times New Roman" w:hAnsi="Times New Roman" w:eastAsia="宋体"/>
                <w:b w:val="0"/>
                <w:sz w:val="21"/>
              </w:rPr>
              <w:t>[0.5, 0.6)</w:t>
            </w:r>
          </w:p>
        </w:tc>
        <w:tc>
          <w:tcPr>
            <w:tcW w:type="dxa" w:w="2771"/>
            <w:vAlign w:val="center"/>
          </w:tcPr>
          <w:p>
            <w:pPr>
              <w:jc w:val="center"/>
            </w:pPr>
            <w:r/>
            <w:r>
              <w:rPr>
                <w:rFonts w:ascii="Times New Roman" w:hAnsi="Times New Roman" w:eastAsia="宋体"/>
                <w:b w:val="0"/>
                <w:sz w:val="21"/>
              </w:rPr>
              <w:t>勉强协调</w:t>
            </w:r>
          </w:p>
        </w:tc>
        <w:tc>
          <w:tcPr>
            <w:tcW w:type="dxa" w:w="2771"/>
            <w:vAlign w:val="center"/>
          </w:tcPr>
          <w:p>
            <w:pPr>
              <w:jc w:val="center"/>
            </w:pPr>
            <w:r/>
            <w:r>
              <w:rPr>
                <w:rFonts w:ascii="Times New Roman" w:hAnsi="Times New Roman" w:eastAsia="宋体"/>
                <w:b w:val="0"/>
                <w:sz w:val="21"/>
              </w:rPr>
              <w:t>过渡类</w:t>
            </w:r>
          </w:p>
        </w:tc>
      </w:tr>
      <w:tr>
        <w:tc>
          <w:tcPr>
            <w:tcW w:type="dxa" w:w="2771"/>
            <w:vAlign w:val="center"/>
          </w:tcPr>
          <w:p>
            <w:pPr>
              <w:jc w:val="left"/>
            </w:pPr>
            <w:r/>
            <w:r>
              <w:rPr>
                <w:rFonts w:ascii="Times New Roman" w:hAnsi="Times New Roman" w:eastAsia="宋体"/>
                <w:b w:val="0"/>
                <w:sz w:val="21"/>
              </w:rPr>
              <w:t>[0.6, 0.7)</w:t>
            </w:r>
          </w:p>
        </w:tc>
        <w:tc>
          <w:tcPr>
            <w:tcW w:type="dxa" w:w="2771"/>
            <w:vAlign w:val="center"/>
          </w:tcPr>
          <w:p>
            <w:pPr>
              <w:jc w:val="center"/>
            </w:pPr>
            <w:r/>
            <w:r>
              <w:rPr>
                <w:rFonts w:ascii="Times New Roman" w:hAnsi="Times New Roman" w:eastAsia="宋体"/>
                <w:b w:val="0"/>
                <w:sz w:val="21"/>
              </w:rPr>
              <w:t>初级协调</w:t>
            </w:r>
          </w:p>
        </w:tc>
        <w:tc>
          <w:tcPr>
            <w:tcW w:type="dxa" w:w="2771"/>
            <w:vAlign w:val="center"/>
          </w:tcPr>
          <w:p>
            <w:pPr>
              <w:jc w:val="center"/>
            </w:pPr>
            <w:r/>
            <w:r>
              <w:rPr>
                <w:rFonts w:ascii="Times New Roman" w:hAnsi="Times New Roman" w:eastAsia="宋体"/>
                <w:b w:val="0"/>
                <w:sz w:val="21"/>
              </w:rPr>
              <w:t>协调类</w:t>
            </w:r>
          </w:p>
        </w:tc>
      </w:tr>
      <w:tr>
        <w:tc>
          <w:tcPr>
            <w:tcW w:type="dxa" w:w="2771"/>
            <w:vAlign w:val="center"/>
          </w:tcPr>
          <w:p>
            <w:pPr>
              <w:jc w:val="left"/>
            </w:pPr>
            <w:r/>
            <w:r>
              <w:rPr>
                <w:rFonts w:ascii="Times New Roman" w:hAnsi="Times New Roman" w:eastAsia="宋体"/>
                <w:b w:val="0"/>
                <w:sz w:val="21"/>
              </w:rPr>
              <w:t>[0.7, 0.8)</w:t>
            </w:r>
          </w:p>
        </w:tc>
        <w:tc>
          <w:tcPr>
            <w:tcW w:type="dxa" w:w="2771"/>
            <w:vAlign w:val="center"/>
          </w:tcPr>
          <w:p>
            <w:pPr>
              <w:jc w:val="center"/>
            </w:pPr>
            <w:r/>
            <w:r>
              <w:rPr>
                <w:rFonts w:ascii="Times New Roman" w:hAnsi="Times New Roman" w:eastAsia="宋体"/>
                <w:b w:val="0"/>
                <w:sz w:val="21"/>
              </w:rPr>
              <w:t>中级协调</w:t>
            </w:r>
          </w:p>
        </w:tc>
        <w:tc>
          <w:tcPr>
            <w:tcW w:type="dxa" w:w="2771"/>
            <w:vAlign w:val="center"/>
          </w:tcPr>
          <w:p>
            <w:pPr>
              <w:jc w:val="center"/>
            </w:pPr>
            <w:r/>
            <w:r>
              <w:rPr>
                <w:rFonts w:ascii="Times New Roman" w:hAnsi="Times New Roman" w:eastAsia="宋体"/>
                <w:b w:val="0"/>
                <w:sz w:val="21"/>
              </w:rPr>
              <w:t>协调类</w:t>
            </w:r>
          </w:p>
        </w:tc>
      </w:tr>
      <w:tr>
        <w:tc>
          <w:tcPr>
            <w:tcW w:type="dxa" w:w="2771"/>
            <w:vAlign w:val="center"/>
          </w:tcPr>
          <w:p>
            <w:pPr>
              <w:jc w:val="left"/>
            </w:pPr>
            <w:r/>
            <w:r>
              <w:rPr>
                <w:rFonts w:ascii="Times New Roman" w:hAnsi="Times New Roman" w:eastAsia="宋体"/>
                <w:b w:val="0"/>
                <w:sz w:val="21"/>
              </w:rPr>
              <w:t>[0.8, 0.9)</w:t>
            </w:r>
          </w:p>
        </w:tc>
        <w:tc>
          <w:tcPr>
            <w:tcW w:type="dxa" w:w="2771"/>
            <w:vAlign w:val="center"/>
          </w:tcPr>
          <w:p>
            <w:pPr>
              <w:jc w:val="center"/>
            </w:pPr>
            <w:r/>
            <w:r>
              <w:rPr>
                <w:rFonts w:ascii="Times New Roman" w:hAnsi="Times New Roman" w:eastAsia="宋体"/>
                <w:b w:val="0"/>
                <w:sz w:val="21"/>
              </w:rPr>
              <w:t>良好协调</w:t>
            </w:r>
          </w:p>
        </w:tc>
        <w:tc>
          <w:tcPr>
            <w:tcW w:type="dxa" w:w="2771"/>
            <w:vAlign w:val="center"/>
          </w:tcPr>
          <w:p>
            <w:pPr>
              <w:jc w:val="center"/>
            </w:pPr>
            <w:r/>
            <w:r>
              <w:rPr>
                <w:rFonts w:ascii="Times New Roman" w:hAnsi="Times New Roman" w:eastAsia="宋体"/>
                <w:b w:val="0"/>
                <w:sz w:val="21"/>
              </w:rPr>
              <w:t>协调类</w:t>
            </w:r>
          </w:p>
        </w:tc>
      </w:tr>
      <w:tr>
        <w:tc>
          <w:tcPr>
            <w:tcW w:type="dxa" w:w="2771"/>
            <w:vAlign w:val="center"/>
            <w:tcBorders>
              <w:bottom w:val="single" w:sz="12" w:color="000000"/>
            </w:tcBorders>
          </w:tcPr>
          <w:p>
            <w:pPr>
              <w:jc w:val="left"/>
            </w:pPr>
            <w:r/>
            <w:r>
              <w:rPr>
                <w:rFonts w:ascii="Times New Roman" w:hAnsi="Times New Roman" w:eastAsia="宋体"/>
                <w:b w:val="0"/>
                <w:sz w:val="21"/>
              </w:rPr>
              <w:t>[0.9, 1.0]</w:t>
            </w:r>
          </w:p>
        </w:tc>
        <w:tc>
          <w:tcPr>
            <w:tcW w:type="dxa" w:w="2771"/>
            <w:vAlign w:val="center"/>
            <w:tcBorders>
              <w:bottom w:val="single" w:sz="12" w:color="000000"/>
            </w:tcBorders>
          </w:tcPr>
          <w:p>
            <w:pPr>
              <w:jc w:val="center"/>
            </w:pPr>
            <w:r/>
            <w:r>
              <w:rPr>
                <w:rFonts w:ascii="Times New Roman" w:hAnsi="Times New Roman" w:eastAsia="宋体"/>
                <w:b w:val="0"/>
                <w:sz w:val="21"/>
              </w:rPr>
              <w:t>优质协调</w:t>
            </w:r>
          </w:p>
        </w:tc>
        <w:tc>
          <w:tcPr>
            <w:tcW w:type="dxa" w:w="2771"/>
            <w:vAlign w:val="center"/>
            <w:tcBorders>
              <w:bottom w:val="single" w:sz="12" w:color="000000"/>
            </w:tcBorders>
          </w:tcPr>
          <w:p>
            <w:pPr>
              <w:jc w:val="center"/>
            </w:pPr>
            <w:r/>
            <w:r>
              <w:rPr>
                <w:rFonts w:ascii="Times New Roman" w:hAnsi="Times New Roman" w:eastAsia="宋体"/>
                <w:b w:val="0"/>
                <w:sz w:val="21"/>
              </w:rPr>
              <w:t>协调类</w:t>
            </w:r>
          </w:p>
        </w:tc>
      </w:tr>
    </w:tbl>
    <w:p>
      <w:pPr>
        <w:spacing w:line="360" w:lineRule="auto" w:before="240" w:after="120"/>
        <w:jc w:val="left"/>
      </w:pPr>
      <w:r>
        <w:rPr>
          <w:rFonts w:ascii="Times New Roman" w:hAnsi="Times New Roman" w:eastAsia="黑体"/>
          <w:b/>
          <w:sz w:val="28"/>
        </w:rPr>
        <w:t>3.3 障碍度模型</w:t>
      </w:r>
    </w:p>
    <w:p>
      <w:pPr>
        <w:spacing w:line="360" w:lineRule="auto" w:before="0" w:after="0"/>
        <w:ind w:firstLine="480"/>
        <w:jc w:val="left"/>
      </w:pPr>
      <w:r>
        <w:rPr>
          <w:rFonts w:ascii="Times New Roman" w:hAnsi="Times New Roman" w:eastAsia="宋体"/>
          <w:b w:val="0"/>
          <w:sz w:val="24"/>
        </w:rPr>
        <w:t>用于识别制约系统协同发展的关键障碍因子。</w:t>
      </w:r>
    </w:p>
    <w:p>
      <w:pPr>
        <w:spacing w:line="360" w:lineRule="auto" w:before="0" w:after="0"/>
        <w:ind w:firstLine="480"/>
        <w:jc w:val="left"/>
      </w:pPr>
      <w:r>
        <w:rPr>
          <w:rFonts w:ascii="Times New Roman" w:hAnsi="Times New Roman" w:eastAsia="宋体"/>
          <w:b w:val="0"/>
          <w:sz w:val="24"/>
        </w:rPr>
        <w:t>计算步骤：指标标准化 → 计算偏离度（1 - 标准化值）→ 障碍度 = 偏离度 × 权重 → 按降序排列取前 N 项作为主要障碍因子。</w:t>
      </w:r>
    </w:p>
    <w:p>
      <w:pPr>
        <w:spacing w:line="360" w:lineRule="auto" w:before="240" w:after="120"/>
        <w:jc w:val="left"/>
      </w:pPr>
      <w:r>
        <w:rPr>
          <w:rFonts w:ascii="Times New Roman" w:hAnsi="Times New Roman" w:eastAsia="黑体"/>
          <w:b/>
          <w:sz w:val="28"/>
        </w:rPr>
        <w:t>3.4 DeepSeek AI 智能引擎</w:t>
      </w:r>
    </w:p>
    <w:p>
      <w:pPr>
        <w:spacing w:line="360" w:lineRule="auto" w:before="0" w:after="0"/>
        <w:ind w:firstLine="480"/>
        <w:jc w:val="left"/>
      </w:pPr>
      <w:r>
        <w:rPr>
          <w:rFonts w:ascii="Times New Roman" w:hAnsi="Times New Roman" w:eastAsia="宋体"/>
          <w:b w:val="0"/>
          <w:sz w:val="24"/>
        </w:rPr>
        <w:t>通过 OpenAI 兼容接口调用 DeepSeek-V3 模型，基于评估结果与模式判定生成差异化路径优化建议。</w:t>
      </w:r>
    </w:p>
    <w:p>
      <w:pPr>
        <w:spacing w:line="360" w:lineRule="auto" w:before="0" w:after="0"/>
        <w:ind w:firstLine="480"/>
        <w:jc w:val="left"/>
      </w:pPr>
      <w:r>
        <w:rPr>
          <w:rFonts w:ascii="Times New Roman" w:hAnsi="Times New Roman" w:eastAsia="宋体"/>
          <w:b w:val="0"/>
          <w:sz w:val="24"/>
        </w:rPr>
        <w:t>AI 输入：地区名称、评估年份、26 项指标原始数据、生态得分、乡村振兴得分、D 值、判定模式、Top 5 障碍因子。</w:t>
      </w:r>
    </w:p>
    <w:p>
      <w:pPr>
        <w:spacing w:line="360" w:lineRule="auto" w:before="0" w:after="0"/>
        <w:ind w:firstLine="480"/>
        <w:jc w:val="left"/>
      </w:pPr>
      <w:r>
        <w:rPr>
          <w:rFonts w:ascii="Times New Roman" w:hAnsi="Times New Roman" w:eastAsia="宋体"/>
          <w:b w:val="0"/>
          <w:sz w:val="24"/>
        </w:rPr>
        <w:t>AI 输出：500—800 字结构化建议，涵盖产业发展、生态保护、社会治理、人才振兴等多维度。</w:t>
      </w:r>
    </w:p>
    <w:p>
      <w:pPr>
        <w:spacing w:line="360" w:lineRule="auto" w:before="0" w:after="0"/>
        <w:ind w:firstLine="480"/>
        <w:jc w:val="left"/>
      </w:pPr>
      <w:r>
        <w:rPr>
          <w:rFonts w:ascii="Times New Roman" w:hAnsi="Times New Roman" w:eastAsia="宋体"/>
          <w:b w:val="0"/>
          <w:sz w:val="24"/>
        </w:rPr>
        <w:t>兜底机制：当 API 不可用时，自动调用预置的 27 条结构化建议，确保功能完整。</w:t>
      </w:r>
    </w:p>
    <w:p>
      <w:pPr>
        <w:spacing w:line="360" w:lineRule="auto" w:before="240" w:after="120"/>
        <w:jc w:val="left"/>
      </w:pPr>
      <w:r>
        <w:rPr>
          <w:rFonts w:ascii="Times New Roman" w:hAnsi="Times New Roman" w:eastAsia="黑体"/>
          <w:b/>
          <w:sz w:val="28"/>
        </w:rPr>
        <w:t>3.5 层次聚类分析</w:t>
      </w:r>
    </w:p>
    <w:p>
      <w:pPr>
        <w:spacing w:line="360" w:lineRule="auto" w:before="0" w:after="0"/>
        <w:ind w:firstLine="480"/>
        <w:jc w:val="left"/>
      </w:pPr>
      <w:r>
        <w:rPr>
          <w:rFonts w:ascii="Times New Roman" w:hAnsi="Times New Roman" w:eastAsia="宋体"/>
          <w:b w:val="0"/>
          <w:sz w:val="24"/>
        </w:rPr>
        <w:t>将 10 个样本区县按特征相似度划分为 5 类，提取典型发展模式。</w:t>
      </w:r>
    </w:p>
    <w:p>
      <w:pPr>
        <w:spacing w:line="360" w:lineRule="auto"/>
        <w:ind w:left="480" w:hanging="240"/>
        <w:jc w:val="left"/>
      </w:pPr>
      <w:r>
        <w:rPr>
          <w:rFonts w:ascii="Times New Roman" w:hAnsi="Times New Roman" w:eastAsia="宋体"/>
          <w:b w:val="0"/>
          <w:sz w:val="24"/>
        </w:rPr>
        <w:t>• 对 26 项指标数据进行 Z-score 标准化</w:t>
      </w:r>
    </w:p>
    <w:p>
      <w:pPr>
        <w:spacing w:line="360" w:lineRule="auto"/>
        <w:ind w:left="480" w:hanging="240"/>
        <w:jc w:val="left"/>
      </w:pPr>
      <w:r>
        <w:rPr>
          <w:rFonts w:ascii="Times New Roman" w:hAnsi="Times New Roman" w:eastAsia="宋体"/>
          <w:b w:val="0"/>
          <w:sz w:val="24"/>
        </w:rPr>
        <w:t>• 计算样本间欧氏距离矩阵</w:t>
      </w:r>
    </w:p>
    <w:p>
      <w:pPr>
        <w:spacing w:line="360" w:lineRule="auto"/>
        <w:ind w:left="480" w:hanging="240"/>
        <w:jc w:val="left"/>
      </w:pPr>
      <w:r>
        <w:rPr>
          <w:rFonts w:ascii="Times New Roman" w:hAnsi="Times New Roman" w:eastAsia="宋体"/>
          <w:b w:val="0"/>
          <w:sz w:val="24"/>
        </w:rPr>
        <w:t>• 采用 Ward 法进行层次聚类，合并类内方差最小的簇</w:t>
      </w:r>
    </w:p>
    <w:p>
      <w:pPr>
        <w:spacing w:line="360" w:lineRule="auto"/>
        <w:ind w:left="480" w:hanging="240"/>
        <w:jc w:val="left"/>
      </w:pPr>
      <w:r>
        <w:rPr>
          <w:rFonts w:ascii="Times New Roman" w:hAnsi="Times New Roman" w:eastAsia="宋体"/>
          <w:b w:val="0"/>
          <w:sz w:val="24"/>
        </w:rPr>
        <w:t>• 通过肘部法则与轮廓系数确定最佳聚类数为 5</w:t>
      </w:r>
    </w:p>
    <w:p>
      <w:pPr>
        <w:spacing w:line="360" w:lineRule="auto"/>
        <w:ind w:left="480" w:hanging="240"/>
        <w:jc w:val="left"/>
      </w:pPr>
      <w:r>
        <w:rPr>
          <w:rFonts w:ascii="Times New Roman" w:hAnsi="Times New Roman" w:eastAsia="宋体"/>
          <w:b w:val="0"/>
          <w:sz w:val="24"/>
        </w:rPr>
        <w:t>• PCA 降维至 PC1/PC2 二维平面用于可视化</w:t>
      </w:r>
    </w:p>
    <w:p>
      <w:r>
        <w:br w:type="page"/>
      </w:r>
    </w:p>
    <w:p>
      <w:pPr>
        <w:spacing w:line="360" w:lineRule="auto" w:before="0" w:after="360"/>
        <w:jc w:val="center"/>
        <w:pBdr>
          <w:bottom w:val="single" w:sz="12" w:space="4" w:color="000000"/>
        </w:pBdr>
      </w:pPr>
      <w:r>
        <w:rPr>
          <w:rFonts w:ascii="Times New Roman" w:hAnsi="Times New Roman" w:eastAsia="黑体"/>
          <w:b/>
          <w:sz w:val="36"/>
        </w:rPr>
        <w:t>第四章 五种发展模式</w:t>
      </w:r>
    </w:p>
    <w:p>
      <w:pPr>
        <w:spacing w:line="360" w:lineRule="auto" w:before="0" w:after="0"/>
        <w:ind w:firstLine="480"/>
        <w:jc w:val="left"/>
      </w:pPr>
      <w:r>
        <w:rPr>
          <w:rFonts w:ascii="Times New Roman" w:hAnsi="Times New Roman" w:eastAsia="宋体"/>
          <w:b w:val="0"/>
          <w:sz w:val="24"/>
        </w:rPr>
        <w:t>通过层次聚类分析提取 5 种差异化发展模式，每种模式配置量化识别阈值与路径优化建议。</w:t>
      </w:r>
    </w:p>
    <w:p>
      <w:pPr>
        <w:spacing w:before="120" w:after="60"/>
        <w:jc w:val="center"/>
      </w:pPr>
      <w:r>
        <w:rPr>
          <w:rFonts w:ascii="Times New Roman" w:hAnsi="Times New Roman" w:eastAsia="黑体"/>
          <w:b/>
          <w:sz w:val="21"/>
        </w:rPr>
        <w:t>表 4-1  五种发展模式识别标准与路径方向</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078"/>
        <w:gridCol w:w="2078"/>
        <w:gridCol w:w="2078"/>
        <w:gridCol w:w="2078"/>
      </w:tblGrid>
      <w:tr>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模式</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代表区县</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核心识别阈值</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路径优化方向</w:t>
            </w:r>
          </w:p>
        </w:tc>
      </w:tr>
      <w:tr>
        <w:tc>
          <w:tcPr>
            <w:tcW w:type="dxa" w:w="2078"/>
            <w:vAlign w:val="center"/>
          </w:tcPr>
          <w:p>
            <w:pPr>
              <w:jc w:val="left"/>
            </w:pPr>
            <w:r/>
            <w:r>
              <w:rPr>
                <w:rFonts w:ascii="Times New Roman" w:hAnsi="Times New Roman" w:eastAsia="宋体"/>
                <w:b w:val="0"/>
                <w:sz w:val="21"/>
              </w:rPr>
              <w:t>生态康养型</w:t>
            </w:r>
          </w:p>
        </w:tc>
        <w:tc>
          <w:tcPr>
            <w:tcW w:type="dxa" w:w="2078"/>
            <w:vAlign w:val="center"/>
          </w:tcPr>
          <w:p>
            <w:pPr>
              <w:jc w:val="center"/>
            </w:pPr>
            <w:r/>
            <w:r>
              <w:rPr>
                <w:rFonts w:ascii="Times New Roman" w:hAnsi="Times New Roman" w:eastAsia="宋体"/>
                <w:b w:val="0"/>
                <w:sz w:val="21"/>
              </w:rPr>
              <w:t>黟县、蒲江</w:t>
            </w:r>
          </w:p>
        </w:tc>
        <w:tc>
          <w:tcPr>
            <w:tcW w:type="dxa" w:w="2078"/>
            <w:vAlign w:val="center"/>
          </w:tcPr>
          <w:p>
            <w:pPr>
              <w:jc w:val="center"/>
            </w:pPr>
            <w:r/>
            <w:r>
              <w:rPr>
                <w:rFonts w:ascii="Times New Roman" w:hAnsi="Times New Roman" w:eastAsia="宋体"/>
                <w:b w:val="0"/>
                <w:sz w:val="21"/>
              </w:rPr>
              <w:t>森林覆盖率≥65%、城镇化率≤55%、空气优良率≥80%</w:t>
            </w:r>
          </w:p>
        </w:tc>
        <w:tc>
          <w:tcPr>
            <w:tcW w:type="dxa" w:w="2078"/>
            <w:vAlign w:val="center"/>
          </w:tcPr>
          <w:p>
            <w:pPr>
              <w:jc w:val="center"/>
            </w:pPr>
            <w:r/>
            <w:r>
              <w:rPr>
                <w:rFonts w:ascii="Times New Roman" w:hAnsi="Times New Roman" w:eastAsia="宋体"/>
                <w:b w:val="0"/>
                <w:sz w:val="21"/>
              </w:rPr>
              <w:t>森林康养基地、气候疗养产品、康养小镇品牌</w:t>
            </w:r>
          </w:p>
        </w:tc>
      </w:tr>
      <w:tr>
        <w:tc>
          <w:tcPr>
            <w:tcW w:type="dxa" w:w="2078"/>
            <w:vAlign w:val="center"/>
          </w:tcPr>
          <w:p>
            <w:pPr>
              <w:jc w:val="left"/>
            </w:pPr>
            <w:r/>
            <w:r>
              <w:rPr>
                <w:rFonts w:ascii="Times New Roman" w:hAnsi="Times New Roman" w:eastAsia="宋体"/>
                <w:b w:val="0"/>
                <w:sz w:val="21"/>
              </w:rPr>
              <w:t>湿地水域型</w:t>
            </w:r>
          </w:p>
        </w:tc>
        <w:tc>
          <w:tcPr>
            <w:tcW w:type="dxa" w:w="2078"/>
            <w:vAlign w:val="center"/>
          </w:tcPr>
          <w:p>
            <w:pPr>
              <w:jc w:val="center"/>
            </w:pPr>
            <w:r/>
            <w:r>
              <w:rPr>
                <w:rFonts w:ascii="Times New Roman" w:hAnsi="Times New Roman" w:eastAsia="宋体"/>
                <w:b w:val="0"/>
                <w:sz w:val="21"/>
              </w:rPr>
              <w:t>合肥、雄安</w:t>
            </w:r>
          </w:p>
        </w:tc>
        <w:tc>
          <w:tcPr>
            <w:tcW w:type="dxa" w:w="2078"/>
            <w:vAlign w:val="center"/>
          </w:tcPr>
          <w:p>
            <w:pPr>
              <w:jc w:val="center"/>
            </w:pPr>
            <w:r/>
            <w:r>
              <w:rPr>
                <w:rFonts w:ascii="Times New Roman" w:hAnsi="Times New Roman" w:eastAsia="宋体"/>
                <w:b w:val="0"/>
                <w:sz w:val="21"/>
              </w:rPr>
              <w:t>水质达标率≥95%、重要生态保护区面积突出</w:t>
            </w:r>
          </w:p>
        </w:tc>
        <w:tc>
          <w:tcPr>
            <w:tcW w:type="dxa" w:w="2078"/>
            <w:vAlign w:val="center"/>
          </w:tcPr>
          <w:p>
            <w:pPr>
              <w:jc w:val="center"/>
            </w:pPr>
            <w:r/>
            <w:r>
              <w:rPr>
                <w:rFonts w:ascii="Times New Roman" w:hAnsi="Times New Roman" w:eastAsia="宋体"/>
                <w:b w:val="0"/>
                <w:sz w:val="21"/>
              </w:rPr>
              <w:t>湿地公园、保水渔业、水权交易、碳汇交易</w:t>
            </w:r>
          </w:p>
        </w:tc>
      </w:tr>
      <w:tr>
        <w:tc>
          <w:tcPr>
            <w:tcW w:type="dxa" w:w="2078"/>
            <w:vAlign w:val="center"/>
          </w:tcPr>
          <w:p>
            <w:pPr>
              <w:jc w:val="left"/>
            </w:pPr>
            <w:r/>
            <w:r>
              <w:rPr>
                <w:rFonts w:ascii="Times New Roman" w:hAnsi="Times New Roman" w:eastAsia="宋体"/>
                <w:b w:val="0"/>
                <w:sz w:val="21"/>
              </w:rPr>
              <w:t>农业品牌型</w:t>
            </w:r>
          </w:p>
        </w:tc>
        <w:tc>
          <w:tcPr>
            <w:tcW w:type="dxa" w:w="2078"/>
            <w:vAlign w:val="center"/>
          </w:tcPr>
          <w:p>
            <w:pPr>
              <w:jc w:val="center"/>
            </w:pPr>
            <w:r/>
            <w:r>
              <w:rPr>
                <w:rFonts w:ascii="Times New Roman" w:hAnsi="Times New Roman" w:eastAsia="宋体"/>
                <w:b w:val="0"/>
                <w:sz w:val="21"/>
              </w:rPr>
              <w:t>盱眙、兴化</w:t>
            </w:r>
          </w:p>
        </w:tc>
        <w:tc>
          <w:tcPr>
            <w:tcW w:type="dxa" w:w="2078"/>
            <w:vAlign w:val="center"/>
          </w:tcPr>
          <w:p>
            <w:pPr>
              <w:jc w:val="center"/>
            </w:pPr>
            <w:r/>
            <w:r>
              <w:rPr>
                <w:rFonts w:ascii="Times New Roman" w:hAnsi="Times New Roman" w:eastAsia="宋体"/>
                <w:b w:val="0"/>
                <w:sz w:val="21"/>
              </w:rPr>
              <w:t>粮食播种面积≥10万公顷、农产品产出≥90万吨</w:t>
            </w:r>
          </w:p>
        </w:tc>
        <w:tc>
          <w:tcPr>
            <w:tcW w:type="dxa" w:w="2078"/>
            <w:vAlign w:val="center"/>
          </w:tcPr>
          <w:p>
            <w:pPr>
              <w:jc w:val="center"/>
            </w:pPr>
            <w:r/>
            <w:r>
              <w:rPr>
                <w:rFonts w:ascii="Times New Roman" w:hAnsi="Times New Roman" w:eastAsia="宋体"/>
                <w:b w:val="0"/>
                <w:sz w:val="21"/>
              </w:rPr>
              <w:t>区域公用品牌、三品一标、精深加工产业链</w:t>
            </w:r>
          </w:p>
        </w:tc>
      </w:tr>
      <w:tr>
        <w:tc>
          <w:tcPr>
            <w:tcW w:type="dxa" w:w="2078"/>
            <w:vAlign w:val="center"/>
          </w:tcPr>
          <w:p>
            <w:pPr>
              <w:jc w:val="left"/>
            </w:pPr>
            <w:r/>
            <w:r>
              <w:rPr>
                <w:rFonts w:ascii="Times New Roman" w:hAnsi="Times New Roman" w:eastAsia="宋体"/>
                <w:b w:val="0"/>
                <w:sz w:val="21"/>
              </w:rPr>
              <w:t>农文旅融合型</w:t>
            </w:r>
          </w:p>
        </w:tc>
        <w:tc>
          <w:tcPr>
            <w:tcW w:type="dxa" w:w="2078"/>
            <w:vAlign w:val="center"/>
          </w:tcPr>
          <w:p>
            <w:pPr>
              <w:jc w:val="center"/>
            </w:pPr>
            <w:r/>
            <w:r>
              <w:rPr>
                <w:rFonts w:ascii="Times New Roman" w:hAnsi="Times New Roman" w:eastAsia="宋体"/>
                <w:b w:val="0"/>
                <w:sz w:val="21"/>
              </w:rPr>
              <w:t>五指山、嘉定</w:t>
            </w:r>
          </w:p>
        </w:tc>
        <w:tc>
          <w:tcPr>
            <w:tcW w:type="dxa" w:w="2078"/>
            <w:vAlign w:val="center"/>
          </w:tcPr>
          <w:p>
            <w:pPr>
              <w:jc w:val="center"/>
            </w:pPr>
            <w:r/>
            <w:r>
              <w:rPr>
                <w:rFonts w:ascii="Times New Roman" w:hAnsi="Times New Roman" w:eastAsia="宋体"/>
                <w:b w:val="0"/>
                <w:sz w:val="21"/>
              </w:rPr>
              <w:t>森林覆盖率≥15%、空气优良率≥80%、文化资源丰富</w:t>
            </w:r>
          </w:p>
        </w:tc>
        <w:tc>
          <w:tcPr>
            <w:tcW w:type="dxa" w:w="2078"/>
            <w:vAlign w:val="center"/>
          </w:tcPr>
          <w:p>
            <w:pPr>
              <w:jc w:val="center"/>
            </w:pPr>
            <w:r/>
            <w:r>
              <w:rPr>
                <w:rFonts w:ascii="Times New Roman" w:hAnsi="Times New Roman" w:eastAsia="宋体"/>
                <w:b w:val="0"/>
                <w:sz w:val="21"/>
              </w:rPr>
              <w:t>研学线路、文创工坊、乡村节庆、特色民宿</w:t>
            </w:r>
          </w:p>
        </w:tc>
      </w:tr>
      <w:tr>
        <w:tc>
          <w:tcPr>
            <w:tcW w:type="dxa" w:w="2078"/>
            <w:vAlign w:val="center"/>
            <w:tcBorders>
              <w:bottom w:val="single" w:sz="12" w:color="000000"/>
            </w:tcBorders>
          </w:tcPr>
          <w:p>
            <w:pPr>
              <w:jc w:val="left"/>
            </w:pPr>
            <w:r/>
            <w:r>
              <w:rPr>
                <w:rFonts w:ascii="Times New Roman" w:hAnsi="Times New Roman" w:eastAsia="宋体"/>
                <w:b w:val="0"/>
                <w:sz w:val="21"/>
              </w:rPr>
              <w:t>城郊消费型</w:t>
            </w:r>
          </w:p>
        </w:tc>
        <w:tc>
          <w:tcPr>
            <w:tcW w:type="dxa" w:w="2078"/>
            <w:vAlign w:val="center"/>
            <w:tcBorders>
              <w:bottom w:val="single" w:sz="12" w:color="000000"/>
            </w:tcBorders>
          </w:tcPr>
          <w:p>
            <w:pPr>
              <w:jc w:val="center"/>
            </w:pPr>
            <w:r/>
            <w:r>
              <w:rPr>
                <w:rFonts w:ascii="Times New Roman" w:hAnsi="Times New Roman" w:eastAsia="宋体"/>
                <w:b w:val="0"/>
                <w:sz w:val="21"/>
              </w:rPr>
              <w:t>高淳、溧水</w:t>
            </w:r>
          </w:p>
        </w:tc>
        <w:tc>
          <w:tcPr>
            <w:tcW w:type="dxa" w:w="2078"/>
            <w:vAlign w:val="center"/>
            <w:tcBorders>
              <w:bottom w:val="single" w:sz="12" w:color="000000"/>
            </w:tcBorders>
          </w:tcPr>
          <w:p>
            <w:pPr>
              <w:jc w:val="center"/>
            </w:pPr>
            <w:r/>
            <w:r>
              <w:rPr>
                <w:rFonts w:ascii="Times New Roman" w:hAnsi="Times New Roman" w:eastAsia="宋体"/>
                <w:b w:val="0"/>
                <w:sz w:val="21"/>
              </w:rPr>
              <w:t>城镇化率≥70%、GDP≥1000亿、农村人均收入≥4万元</w:t>
            </w:r>
          </w:p>
        </w:tc>
        <w:tc>
          <w:tcPr>
            <w:tcW w:type="dxa" w:w="2078"/>
            <w:vAlign w:val="center"/>
            <w:tcBorders>
              <w:bottom w:val="single" w:sz="12" w:color="000000"/>
            </w:tcBorders>
          </w:tcPr>
          <w:p>
            <w:pPr>
              <w:jc w:val="center"/>
            </w:pPr>
            <w:r/>
            <w:r>
              <w:rPr>
                <w:rFonts w:ascii="Times New Roman" w:hAnsi="Times New Roman" w:eastAsia="宋体"/>
                <w:b w:val="0"/>
                <w:sz w:val="21"/>
              </w:rPr>
              <w:t>都市农园、采摘体验、城郊综合体、周末经济</w:t>
            </w:r>
          </w:p>
        </w:tc>
      </w:tr>
    </w:tbl>
    <w:p>
      <w:pPr>
        <w:spacing w:before="120" w:after="60"/>
        <w:jc w:val="center"/>
      </w:pPr>
      <w:r>
        <w:rPr>
          <w:rFonts w:ascii="Times New Roman" w:hAnsi="Times New Roman" w:eastAsia="黑体"/>
          <w:b/>
          <w:sz w:val="21"/>
        </w:rPr>
        <w:t>表 4-2  路径优化建议矩阵</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模式</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建议数</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重点方向示例</w:t>
            </w:r>
          </w:p>
        </w:tc>
      </w:tr>
      <w:tr>
        <w:tc>
          <w:tcPr>
            <w:tcW w:type="dxa" w:w="2771"/>
            <w:vAlign w:val="center"/>
          </w:tcPr>
          <w:p>
            <w:pPr>
              <w:jc w:val="left"/>
            </w:pPr>
            <w:r/>
            <w:r>
              <w:rPr>
                <w:rFonts w:ascii="Times New Roman" w:hAnsi="Times New Roman" w:eastAsia="宋体"/>
                <w:b w:val="0"/>
                <w:sz w:val="21"/>
              </w:rPr>
              <w:t>生态康养型</w:t>
            </w:r>
          </w:p>
        </w:tc>
        <w:tc>
          <w:tcPr>
            <w:tcW w:type="dxa" w:w="2771"/>
            <w:vAlign w:val="center"/>
          </w:tcPr>
          <w:p>
            <w:pPr>
              <w:jc w:val="center"/>
            </w:pPr>
            <w:r/>
            <w:r>
              <w:rPr>
                <w:rFonts w:ascii="Times New Roman" w:hAnsi="Times New Roman" w:eastAsia="宋体"/>
                <w:b w:val="0"/>
                <w:sz w:val="21"/>
              </w:rPr>
              <w:t>6 条</w:t>
            </w:r>
          </w:p>
        </w:tc>
        <w:tc>
          <w:tcPr>
            <w:tcW w:type="dxa" w:w="2771"/>
            <w:vAlign w:val="center"/>
          </w:tcPr>
          <w:p>
            <w:pPr>
              <w:jc w:val="center"/>
            </w:pPr>
            <w:r/>
            <w:r>
              <w:rPr>
                <w:rFonts w:ascii="Times New Roman" w:hAnsi="Times New Roman" w:eastAsia="宋体"/>
                <w:b w:val="0"/>
                <w:sz w:val="21"/>
              </w:rPr>
              <w:t>森林康养基地、气候疗养产品、康养小镇品牌、康养旅居产品</w:t>
            </w:r>
          </w:p>
        </w:tc>
      </w:tr>
      <w:tr>
        <w:tc>
          <w:tcPr>
            <w:tcW w:type="dxa" w:w="2771"/>
            <w:vAlign w:val="center"/>
          </w:tcPr>
          <w:p>
            <w:pPr>
              <w:jc w:val="left"/>
            </w:pPr>
            <w:r/>
            <w:r>
              <w:rPr>
                <w:rFonts w:ascii="Times New Roman" w:hAnsi="Times New Roman" w:eastAsia="宋体"/>
                <w:b w:val="0"/>
                <w:sz w:val="21"/>
              </w:rPr>
              <w:t>湿地水域型</w:t>
            </w:r>
          </w:p>
        </w:tc>
        <w:tc>
          <w:tcPr>
            <w:tcW w:type="dxa" w:w="2771"/>
            <w:vAlign w:val="center"/>
          </w:tcPr>
          <w:p>
            <w:pPr>
              <w:jc w:val="center"/>
            </w:pPr>
            <w:r/>
            <w:r>
              <w:rPr>
                <w:rFonts w:ascii="Times New Roman" w:hAnsi="Times New Roman" w:eastAsia="宋体"/>
                <w:b w:val="0"/>
                <w:sz w:val="21"/>
              </w:rPr>
              <w:t>5 条</w:t>
            </w:r>
          </w:p>
        </w:tc>
        <w:tc>
          <w:tcPr>
            <w:tcW w:type="dxa" w:w="2771"/>
            <w:vAlign w:val="center"/>
          </w:tcPr>
          <w:p>
            <w:pPr>
              <w:jc w:val="center"/>
            </w:pPr>
            <w:r/>
            <w:r>
              <w:rPr>
                <w:rFonts w:ascii="Times New Roman" w:hAnsi="Times New Roman" w:eastAsia="宋体"/>
                <w:b w:val="0"/>
                <w:sz w:val="21"/>
              </w:rPr>
              <w:t>湿地公园、保水渔业、水权交易、碳汇交易、生态补偿</w:t>
            </w:r>
          </w:p>
        </w:tc>
      </w:tr>
      <w:tr>
        <w:tc>
          <w:tcPr>
            <w:tcW w:type="dxa" w:w="2771"/>
            <w:vAlign w:val="center"/>
          </w:tcPr>
          <w:p>
            <w:pPr>
              <w:jc w:val="left"/>
            </w:pPr>
            <w:r/>
            <w:r>
              <w:rPr>
                <w:rFonts w:ascii="Times New Roman" w:hAnsi="Times New Roman" w:eastAsia="宋体"/>
                <w:b w:val="0"/>
                <w:sz w:val="21"/>
              </w:rPr>
              <w:t>农业品牌型</w:t>
            </w:r>
          </w:p>
        </w:tc>
        <w:tc>
          <w:tcPr>
            <w:tcW w:type="dxa" w:w="2771"/>
            <w:vAlign w:val="center"/>
          </w:tcPr>
          <w:p>
            <w:pPr>
              <w:jc w:val="center"/>
            </w:pPr>
            <w:r/>
            <w:r>
              <w:rPr>
                <w:rFonts w:ascii="Times New Roman" w:hAnsi="Times New Roman" w:eastAsia="宋体"/>
                <w:b w:val="0"/>
                <w:sz w:val="21"/>
              </w:rPr>
              <w:t>6 条</w:t>
            </w:r>
          </w:p>
        </w:tc>
        <w:tc>
          <w:tcPr>
            <w:tcW w:type="dxa" w:w="2771"/>
            <w:vAlign w:val="center"/>
          </w:tcPr>
          <w:p>
            <w:pPr>
              <w:jc w:val="center"/>
            </w:pPr>
            <w:r/>
            <w:r>
              <w:rPr>
                <w:rFonts w:ascii="Times New Roman" w:hAnsi="Times New Roman" w:eastAsia="宋体"/>
                <w:b w:val="0"/>
                <w:sz w:val="21"/>
              </w:rPr>
              <w:t>区域公用品牌、三品一标、精深加工、电商直播、冷链物流</w:t>
            </w:r>
          </w:p>
        </w:tc>
      </w:tr>
      <w:tr>
        <w:tc>
          <w:tcPr>
            <w:tcW w:type="dxa" w:w="2771"/>
            <w:vAlign w:val="center"/>
          </w:tcPr>
          <w:p>
            <w:pPr>
              <w:jc w:val="left"/>
            </w:pPr>
            <w:r/>
            <w:r>
              <w:rPr>
                <w:rFonts w:ascii="Times New Roman" w:hAnsi="Times New Roman" w:eastAsia="宋体"/>
                <w:b w:val="0"/>
                <w:sz w:val="21"/>
              </w:rPr>
              <w:t>农文旅融合型</w:t>
            </w:r>
          </w:p>
        </w:tc>
        <w:tc>
          <w:tcPr>
            <w:tcW w:type="dxa" w:w="2771"/>
            <w:vAlign w:val="center"/>
          </w:tcPr>
          <w:p>
            <w:pPr>
              <w:jc w:val="center"/>
            </w:pPr>
            <w:r/>
            <w:r>
              <w:rPr>
                <w:rFonts w:ascii="Times New Roman" w:hAnsi="Times New Roman" w:eastAsia="宋体"/>
                <w:b w:val="0"/>
                <w:sz w:val="21"/>
              </w:rPr>
              <w:t>5 条</w:t>
            </w:r>
          </w:p>
        </w:tc>
        <w:tc>
          <w:tcPr>
            <w:tcW w:type="dxa" w:w="2771"/>
            <w:vAlign w:val="center"/>
          </w:tcPr>
          <w:p>
            <w:pPr>
              <w:jc w:val="center"/>
            </w:pPr>
            <w:r/>
            <w:r>
              <w:rPr>
                <w:rFonts w:ascii="Times New Roman" w:hAnsi="Times New Roman" w:eastAsia="宋体"/>
                <w:b w:val="0"/>
                <w:sz w:val="21"/>
              </w:rPr>
              <w:t>研学线路、文创工坊、乡村节庆、特色民宿、文化 IP 打造</w:t>
            </w:r>
          </w:p>
        </w:tc>
      </w:tr>
      <w:tr>
        <w:tc>
          <w:tcPr>
            <w:tcW w:type="dxa" w:w="2771"/>
            <w:vAlign w:val="center"/>
            <w:tcBorders>
              <w:bottom w:val="single" w:sz="12" w:color="000000"/>
            </w:tcBorders>
          </w:tcPr>
          <w:p>
            <w:pPr>
              <w:jc w:val="left"/>
            </w:pPr>
            <w:r/>
            <w:r>
              <w:rPr>
                <w:rFonts w:ascii="Times New Roman" w:hAnsi="Times New Roman" w:eastAsia="宋体"/>
                <w:b w:val="0"/>
                <w:sz w:val="21"/>
              </w:rPr>
              <w:t>城郊消费型</w:t>
            </w:r>
          </w:p>
        </w:tc>
        <w:tc>
          <w:tcPr>
            <w:tcW w:type="dxa" w:w="2771"/>
            <w:vAlign w:val="center"/>
            <w:tcBorders>
              <w:bottom w:val="single" w:sz="12" w:color="000000"/>
            </w:tcBorders>
          </w:tcPr>
          <w:p>
            <w:pPr>
              <w:jc w:val="center"/>
            </w:pPr>
            <w:r/>
            <w:r>
              <w:rPr>
                <w:rFonts w:ascii="Times New Roman" w:hAnsi="Times New Roman" w:eastAsia="宋体"/>
                <w:b w:val="0"/>
                <w:sz w:val="21"/>
              </w:rPr>
              <w:t>5 条</w:t>
            </w:r>
          </w:p>
        </w:tc>
        <w:tc>
          <w:tcPr>
            <w:tcW w:type="dxa" w:w="2771"/>
            <w:vAlign w:val="center"/>
            <w:tcBorders>
              <w:bottom w:val="single" w:sz="12" w:color="000000"/>
            </w:tcBorders>
          </w:tcPr>
          <w:p>
            <w:pPr>
              <w:jc w:val="center"/>
            </w:pPr>
            <w:r/>
            <w:r>
              <w:rPr>
                <w:rFonts w:ascii="Times New Roman" w:hAnsi="Times New Roman" w:eastAsia="宋体"/>
                <w:b w:val="0"/>
                <w:sz w:val="21"/>
              </w:rPr>
              <w:t>都市农园、采摘体验、城郊综合体、周末经济、社区团购</w:t>
            </w:r>
          </w:p>
        </w:tc>
      </w:tr>
    </w:tbl>
    <w:p>
      <w:r>
        <w:br w:type="page"/>
      </w:r>
    </w:p>
    <w:p>
      <w:pPr>
        <w:spacing w:line="360" w:lineRule="auto" w:before="0" w:after="360"/>
        <w:jc w:val="center"/>
        <w:pBdr>
          <w:bottom w:val="single" w:sz="12" w:space="4" w:color="000000"/>
        </w:pBdr>
      </w:pPr>
      <w:r>
        <w:rPr>
          <w:rFonts w:ascii="Times New Roman" w:hAnsi="Times New Roman" w:eastAsia="黑体"/>
          <w:b/>
          <w:sz w:val="36"/>
        </w:rPr>
        <w:t>第五章 关键流程</w:t>
      </w:r>
    </w:p>
    <w:p>
      <w:pPr>
        <w:spacing w:line="360" w:lineRule="auto" w:before="240" w:after="120"/>
        <w:jc w:val="left"/>
      </w:pPr>
      <w:r>
        <w:rPr>
          <w:rFonts w:ascii="Times New Roman" w:hAnsi="Times New Roman" w:eastAsia="黑体"/>
          <w:b/>
          <w:sz w:val="28"/>
        </w:rPr>
        <w:t>5.1 智能评估流程</w:t>
      </w:r>
    </w:p>
    <w:p>
      <w:pPr>
        <w:spacing w:line="360" w:lineRule="auto" w:before="0" w:after="0"/>
        <w:ind w:firstLine="480"/>
        <w:jc w:val="left"/>
      </w:pPr>
      <w:r>
        <w:rPr>
          <w:rFonts w:ascii="Times New Roman" w:hAnsi="Times New Roman" w:eastAsia="宋体"/>
          <w:b w:val="0"/>
          <w:sz w:val="24"/>
        </w:rPr>
        <w:t>1. 数据录入：用户在智能分析中心填写地区名称、评估年份与 26 项指标数据。</w:t>
      </w:r>
    </w:p>
    <w:p>
      <w:pPr>
        <w:spacing w:line="360" w:lineRule="auto" w:before="0" w:after="0"/>
        <w:ind w:firstLine="480"/>
        <w:jc w:val="left"/>
      </w:pPr>
      <w:r>
        <w:rPr>
          <w:rFonts w:ascii="Times New Roman" w:hAnsi="Times New Roman" w:eastAsia="宋体"/>
          <w:b w:val="0"/>
          <w:sz w:val="24"/>
        </w:rPr>
        <w:t>2. 提交评估：用户点击"开始评估"，前端调用 POST /analysis/evaluate 提交数据。</w:t>
      </w:r>
    </w:p>
    <w:p>
      <w:pPr>
        <w:spacing w:line="360" w:lineRule="auto" w:before="0" w:after="0"/>
        <w:ind w:firstLine="480"/>
        <w:jc w:val="left"/>
      </w:pPr>
      <w:r>
        <w:rPr>
          <w:rFonts w:ascii="Times New Roman" w:hAnsi="Times New Roman" w:eastAsia="宋体"/>
          <w:b w:val="0"/>
          <w:sz w:val="24"/>
        </w:rPr>
        <w:t>3. 模型计算：后端依次执行 AHP 权重计算、综合得分计算、耦合协调度计算、障碍度计算。</w:t>
      </w:r>
    </w:p>
    <w:p>
      <w:pPr>
        <w:spacing w:line="360" w:lineRule="auto" w:before="0" w:after="0"/>
        <w:ind w:firstLine="480"/>
        <w:jc w:val="left"/>
      </w:pPr>
      <w:r>
        <w:rPr>
          <w:rFonts w:ascii="Times New Roman" w:hAnsi="Times New Roman" w:eastAsia="宋体"/>
          <w:b w:val="0"/>
          <w:sz w:val="24"/>
        </w:rPr>
        <w:t>4. 模式识别：后端根据量化阈值表判定地区所属发展模式。</w:t>
      </w:r>
    </w:p>
    <w:p>
      <w:pPr>
        <w:spacing w:line="360" w:lineRule="auto" w:before="0" w:after="0"/>
        <w:ind w:firstLine="480"/>
        <w:jc w:val="left"/>
      </w:pPr>
      <w:r>
        <w:rPr>
          <w:rFonts w:ascii="Times New Roman" w:hAnsi="Times New Roman" w:eastAsia="宋体"/>
          <w:b w:val="0"/>
          <w:sz w:val="24"/>
        </w:rPr>
        <w:t>5. AI 调用：后端调用 DeepSeek API，传入评估结果与模式判定信息，请求生成路径建议。</w:t>
      </w:r>
    </w:p>
    <w:p>
      <w:pPr>
        <w:spacing w:line="360" w:lineRule="auto" w:before="0" w:after="0"/>
        <w:ind w:firstLine="480"/>
        <w:jc w:val="left"/>
      </w:pPr>
      <w:r>
        <w:rPr>
          <w:rFonts w:ascii="Times New Roman" w:hAnsi="Times New Roman" w:eastAsia="宋体"/>
          <w:b w:val="0"/>
          <w:sz w:val="24"/>
        </w:rPr>
        <w:t>6. AI 响应：DeepSeek 返回 500—800 字结构化建议，后端进行格式校验与兜底处理。</w:t>
      </w:r>
    </w:p>
    <w:p>
      <w:pPr>
        <w:spacing w:line="360" w:lineRule="auto" w:before="0" w:after="0"/>
        <w:ind w:firstLine="480"/>
        <w:jc w:val="left"/>
      </w:pPr>
      <w:r>
        <w:rPr>
          <w:rFonts w:ascii="Times New Roman" w:hAnsi="Times New Roman" w:eastAsia="宋体"/>
          <w:b w:val="0"/>
          <w:sz w:val="24"/>
        </w:rPr>
        <w:t>7. 结果返回：后端将完整评估结果以 JSON 格式返回前端。</w:t>
      </w:r>
    </w:p>
    <w:p>
      <w:pPr>
        <w:spacing w:line="360" w:lineRule="auto" w:before="0" w:after="0"/>
        <w:ind w:firstLine="480"/>
        <w:jc w:val="left"/>
      </w:pPr>
      <w:r>
        <w:rPr>
          <w:rFonts w:ascii="Times New Roman" w:hAnsi="Times New Roman" w:eastAsia="宋体"/>
          <w:b w:val="0"/>
          <w:sz w:val="24"/>
        </w:rPr>
        <w:t>8. 结果展示：前端渲染得分卡、雷达图、障碍图、建议卡片等组件。</w:t>
      </w:r>
    </w:p>
    <w:p>
      <w:pPr>
        <w:spacing w:line="360" w:lineRule="auto" w:before="0" w:after="0"/>
        <w:ind w:firstLine="480"/>
        <w:jc w:val="left"/>
      </w:pPr>
      <w:r>
        <w:rPr>
          <w:rFonts w:ascii="Times New Roman" w:hAnsi="Times New Roman" w:eastAsia="宋体"/>
          <w:b w:val="0"/>
          <w:sz w:val="24"/>
        </w:rPr>
        <w:t>9. PDF 请求：用户点击"下载 PDF"按钮，前端发起 GET /analysis/{id}/report 请求。</w:t>
      </w:r>
    </w:p>
    <w:p>
      <w:pPr>
        <w:spacing w:line="360" w:lineRule="auto" w:before="0" w:after="0"/>
        <w:ind w:firstLine="480"/>
        <w:jc w:val="left"/>
      </w:pPr>
      <w:r>
        <w:rPr>
          <w:rFonts w:ascii="Times New Roman" w:hAnsi="Times New Roman" w:eastAsia="宋体"/>
          <w:b w:val="0"/>
          <w:sz w:val="24"/>
        </w:rPr>
        <w:t>10. PDF 生成：后端调用 reportlab 库生成 PDF 报告，含综合得分、图表与建议，返回文件流。</w:t>
      </w:r>
    </w:p>
    <w:p>
      <w:pPr>
        <w:spacing w:line="360" w:lineRule="auto" w:before="240" w:after="120"/>
        <w:jc w:val="left"/>
      </w:pPr>
      <w:r>
        <w:rPr>
          <w:rFonts w:ascii="Times New Roman" w:hAnsi="Times New Roman" w:eastAsia="黑体"/>
          <w:b/>
          <w:sz w:val="28"/>
        </w:rPr>
        <w:t>5.2 商城交易流程</w:t>
      </w:r>
    </w:p>
    <w:p>
      <w:pPr>
        <w:spacing w:line="360" w:lineRule="auto" w:before="0" w:after="0"/>
        <w:ind w:firstLine="480"/>
        <w:jc w:val="left"/>
      </w:pPr>
      <w:r>
        <w:rPr>
          <w:rFonts w:ascii="Times New Roman" w:hAnsi="Times New Roman" w:eastAsia="宋体"/>
          <w:b w:val="0"/>
          <w:sz w:val="24"/>
        </w:rPr>
        <w:t>1. 浏览商品：用户访问 /mall 页面，前端展示商品列表。</w:t>
      </w:r>
    </w:p>
    <w:p>
      <w:pPr>
        <w:spacing w:line="360" w:lineRule="auto" w:before="0" w:after="0"/>
        <w:ind w:firstLine="480"/>
        <w:jc w:val="left"/>
      </w:pPr>
      <w:r>
        <w:rPr>
          <w:rFonts w:ascii="Times New Roman" w:hAnsi="Times New Roman" w:eastAsia="宋体"/>
          <w:b w:val="0"/>
          <w:sz w:val="24"/>
        </w:rPr>
        <w:t>2. 获取列表：前端调用 GET /mall/products 获取商品数据。</w:t>
      </w:r>
    </w:p>
    <w:p>
      <w:pPr>
        <w:spacing w:line="360" w:lineRule="auto" w:before="0" w:after="0"/>
        <w:ind w:firstLine="480"/>
        <w:jc w:val="left"/>
      </w:pPr>
      <w:r>
        <w:rPr>
          <w:rFonts w:ascii="Times New Roman" w:hAnsi="Times New Roman" w:eastAsia="宋体"/>
          <w:b w:val="0"/>
          <w:sz w:val="24"/>
        </w:rPr>
        <w:t>3. 加入购物车：用户点击"加入购物车"，前端更新本地购物车状态。</w:t>
      </w:r>
    </w:p>
    <w:p>
      <w:pPr>
        <w:spacing w:line="360" w:lineRule="auto" w:before="0" w:after="0"/>
        <w:ind w:firstLine="480"/>
        <w:jc w:val="left"/>
      </w:pPr>
      <w:r>
        <w:rPr>
          <w:rFonts w:ascii="Times New Roman" w:hAnsi="Times New Roman" w:eastAsia="宋体"/>
          <w:b w:val="0"/>
          <w:sz w:val="24"/>
        </w:rPr>
        <w:t>4. 提交订单：用户点击"结算"，前端调用 POST /mall/orders 提交订单。</w:t>
      </w:r>
    </w:p>
    <w:p>
      <w:pPr>
        <w:spacing w:line="360" w:lineRule="auto" w:before="0" w:after="0"/>
        <w:ind w:firstLine="480"/>
        <w:jc w:val="left"/>
      </w:pPr>
      <w:r>
        <w:rPr>
          <w:rFonts w:ascii="Times New Roman" w:hAnsi="Times New Roman" w:eastAsia="宋体"/>
          <w:b w:val="0"/>
          <w:sz w:val="24"/>
        </w:rPr>
        <w:t>5. 库存校验：后端校验商品库存，库存不足则返回错误。</w:t>
      </w:r>
    </w:p>
    <w:p>
      <w:pPr>
        <w:spacing w:line="360" w:lineRule="auto" w:before="0" w:after="0"/>
        <w:ind w:firstLine="480"/>
        <w:jc w:val="left"/>
      </w:pPr>
      <w:r>
        <w:rPr>
          <w:rFonts w:ascii="Times New Roman" w:hAnsi="Times New Roman" w:eastAsia="宋体"/>
          <w:b w:val="0"/>
          <w:sz w:val="24"/>
        </w:rPr>
        <w:t>6. 创建订单：后端扣减库存、创建订单记录，返回订单号。</w:t>
      </w:r>
    </w:p>
    <w:p>
      <w:r>
        <w:br w:type="page"/>
      </w:r>
    </w:p>
    <w:p>
      <w:pPr>
        <w:spacing w:line="360" w:lineRule="auto" w:before="0" w:after="360"/>
        <w:jc w:val="center"/>
        <w:pBdr>
          <w:bottom w:val="single" w:sz="12" w:space="4" w:color="000000"/>
        </w:pBdr>
      </w:pPr>
      <w:r>
        <w:rPr>
          <w:rFonts w:ascii="Times New Roman" w:hAnsi="Times New Roman" w:eastAsia="黑体"/>
          <w:b/>
          <w:sz w:val="36"/>
        </w:rPr>
        <w:t>第六章 API 接口规范</w:t>
      </w:r>
    </w:p>
    <w:p>
      <w:pPr>
        <w:spacing w:line="360" w:lineRule="auto" w:before="0" w:after="0"/>
        <w:ind w:firstLine="480"/>
        <w:jc w:val="left"/>
      </w:pPr>
      <w:r>
        <w:rPr>
          <w:rFonts w:ascii="Times New Roman" w:hAnsi="Times New Roman" w:eastAsia="宋体"/>
          <w:b w:val="0"/>
          <w:sz w:val="24"/>
        </w:rPr>
        <w:t>平台后端基于 FastAPI 实现，提供 30+ 个 RESTful API 端点，所有需鉴权的接口使用 JWT Bearer Token 认证。</w:t>
      </w:r>
    </w:p>
    <w:p>
      <w:pPr>
        <w:spacing w:line="360" w:lineRule="auto" w:before="240" w:after="120"/>
        <w:jc w:val="left"/>
      </w:pPr>
      <w:r>
        <w:rPr>
          <w:rFonts w:ascii="Times New Roman" w:hAnsi="Times New Roman" w:eastAsia="黑体"/>
          <w:b/>
          <w:sz w:val="28"/>
        </w:rPr>
        <w:t>6.1 身份认证</w:t>
      </w:r>
    </w:p>
    <w:p>
      <w:pPr>
        <w:spacing w:before="120" w:after="60"/>
        <w:jc w:val="center"/>
      </w:pPr>
      <w:r>
        <w:rPr>
          <w:rFonts w:ascii="Times New Roman" w:hAnsi="Times New Roman" w:eastAsia="黑体"/>
          <w:b/>
          <w:sz w:val="21"/>
        </w:rPr>
        <w:t>表 6-1  身份认证接口</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078"/>
        <w:gridCol w:w="2078"/>
        <w:gridCol w:w="2078"/>
        <w:gridCol w:w="2078"/>
      </w:tblGrid>
      <w:tr>
        <w:tc>
          <w:tcPr>
            <w:tcW w:type="dxa" w:w="2078"/>
            <w:vAlign w:val="center"/>
            <w:tcBorders>
              <w:top w:val="single" w:sz="12" w:color="000000"/>
              <w:bottom w:val="single" w:sz="6" w:color="000000"/>
            </w:tcBorders>
          </w:tcPr>
          <w:p>
            <w:pPr>
              <w:jc w:val="center"/>
            </w:pPr>
            <w:r/>
            <w:r>
              <w:rPr>
                <w:rFonts w:ascii="Times New Roman" w:hAnsi="Times New Roman" w:eastAsia="黑体"/>
                <w:b/>
                <w:sz w:val="21"/>
              </w:rPr>
              <w:t>端点</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方法</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说明</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鉴权</w:t>
            </w:r>
          </w:p>
        </w:tc>
      </w:tr>
      <w:tr>
        <w:tc>
          <w:tcPr>
            <w:tcW w:type="dxa" w:w="2078"/>
            <w:vAlign w:val="center"/>
          </w:tcPr>
          <w:p>
            <w:pPr>
              <w:jc w:val="left"/>
            </w:pPr>
            <w:r/>
            <w:r>
              <w:rPr>
                <w:rFonts w:ascii="Times New Roman" w:hAnsi="Times New Roman" w:eastAsia="宋体"/>
                <w:b w:val="0"/>
                <w:sz w:val="21"/>
              </w:rPr>
              <w:t>/auth/register</w:t>
            </w:r>
          </w:p>
        </w:tc>
        <w:tc>
          <w:tcPr>
            <w:tcW w:type="dxa" w:w="2078"/>
            <w:vAlign w:val="center"/>
          </w:tcPr>
          <w:p>
            <w:pPr>
              <w:jc w:val="center"/>
            </w:pPr>
            <w:r/>
            <w:r>
              <w:rPr>
                <w:rFonts w:ascii="Times New Roman" w:hAnsi="Times New Roman" w:eastAsia="宋体"/>
                <w:b w:val="0"/>
                <w:sz w:val="21"/>
              </w:rPr>
              <w:t>POST</w:t>
            </w:r>
          </w:p>
        </w:tc>
        <w:tc>
          <w:tcPr>
            <w:tcW w:type="dxa" w:w="2078"/>
            <w:vAlign w:val="center"/>
          </w:tcPr>
          <w:p>
            <w:pPr>
              <w:jc w:val="center"/>
            </w:pPr>
            <w:r/>
            <w:r>
              <w:rPr>
                <w:rFonts w:ascii="Times New Roman" w:hAnsi="Times New Roman" w:eastAsia="宋体"/>
                <w:b w:val="0"/>
                <w:sz w:val="21"/>
              </w:rPr>
              <w:t>用户注册（用户名/邮箱/密码/角色）</w:t>
            </w:r>
          </w:p>
        </w:tc>
        <w:tc>
          <w:tcPr>
            <w:tcW w:type="dxa" w:w="2078"/>
            <w:vAlign w:val="center"/>
          </w:tcPr>
          <w:p>
            <w:pPr>
              <w:jc w:val="center"/>
            </w:pPr>
            <w:r/>
            <w:r>
              <w:rPr>
                <w:rFonts w:ascii="Times New Roman" w:hAnsi="Times New Roman" w:eastAsia="宋体"/>
                <w:b w:val="0"/>
                <w:sz w:val="21"/>
              </w:rPr>
              <w:t>否</w:t>
            </w:r>
          </w:p>
        </w:tc>
      </w:tr>
      <w:tr>
        <w:tc>
          <w:tcPr>
            <w:tcW w:type="dxa" w:w="2078"/>
            <w:vAlign w:val="center"/>
          </w:tcPr>
          <w:p>
            <w:pPr>
              <w:jc w:val="left"/>
            </w:pPr>
            <w:r/>
            <w:r>
              <w:rPr>
                <w:rFonts w:ascii="Times New Roman" w:hAnsi="Times New Roman" w:eastAsia="宋体"/>
                <w:b w:val="0"/>
                <w:sz w:val="21"/>
              </w:rPr>
              <w:t>/auth/login</w:t>
            </w:r>
          </w:p>
        </w:tc>
        <w:tc>
          <w:tcPr>
            <w:tcW w:type="dxa" w:w="2078"/>
            <w:vAlign w:val="center"/>
          </w:tcPr>
          <w:p>
            <w:pPr>
              <w:jc w:val="center"/>
            </w:pPr>
            <w:r/>
            <w:r>
              <w:rPr>
                <w:rFonts w:ascii="Times New Roman" w:hAnsi="Times New Roman" w:eastAsia="宋体"/>
                <w:b w:val="0"/>
                <w:sz w:val="21"/>
              </w:rPr>
              <w:t>POST</w:t>
            </w:r>
          </w:p>
        </w:tc>
        <w:tc>
          <w:tcPr>
            <w:tcW w:type="dxa" w:w="2078"/>
            <w:vAlign w:val="center"/>
          </w:tcPr>
          <w:p>
            <w:pPr>
              <w:jc w:val="center"/>
            </w:pPr>
            <w:r/>
            <w:r>
              <w:rPr>
                <w:rFonts w:ascii="Times New Roman" w:hAnsi="Times New Roman" w:eastAsia="宋体"/>
                <w:b w:val="0"/>
                <w:sz w:val="21"/>
              </w:rPr>
              <w:t>用户登录，返回 JWT Token</w:t>
            </w:r>
          </w:p>
        </w:tc>
        <w:tc>
          <w:tcPr>
            <w:tcW w:type="dxa" w:w="2078"/>
            <w:vAlign w:val="center"/>
          </w:tcPr>
          <w:p>
            <w:pPr>
              <w:jc w:val="center"/>
            </w:pPr>
            <w:r/>
            <w:r>
              <w:rPr>
                <w:rFonts w:ascii="Times New Roman" w:hAnsi="Times New Roman" w:eastAsia="宋体"/>
                <w:b w:val="0"/>
                <w:sz w:val="21"/>
              </w:rPr>
              <w:t>否</w:t>
            </w:r>
          </w:p>
        </w:tc>
      </w:tr>
      <w:tr>
        <w:tc>
          <w:tcPr>
            <w:tcW w:type="dxa" w:w="2078"/>
            <w:vAlign w:val="center"/>
            <w:tcBorders>
              <w:bottom w:val="single" w:sz="12" w:color="000000"/>
            </w:tcBorders>
          </w:tcPr>
          <w:p>
            <w:pPr>
              <w:jc w:val="left"/>
            </w:pPr>
            <w:r/>
            <w:r>
              <w:rPr>
                <w:rFonts w:ascii="Times New Roman" w:hAnsi="Times New Roman" w:eastAsia="宋体"/>
                <w:b w:val="0"/>
                <w:sz w:val="21"/>
              </w:rPr>
              <w:t>/auth/me</w:t>
            </w:r>
          </w:p>
        </w:tc>
        <w:tc>
          <w:tcPr>
            <w:tcW w:type="dxa" w:w="2078"/>
            <w:vAlign w:val="center"/>
            <w:tcBorders>
              <w:bottom w:val="single" w:sz="12" w:color="000000"/>
            </w:tcBorders>
          </w:tcPr>
          <w:p>
            <w:pPr>
              <w:jc w:val="center"/>
            </w:pPr>
            <w:r/>
            <w:r>
              <w:rPr>
                <w:rFonts w:ascii="Times New Roman" w:hAnsi="Times New Roman" w:eastAsia="宋体"/>
                <w:b w:val="0"/>
                <w:sz w:val="21"/>
              </w:rPr>
              <w:t>GET</w:t>
            </w:r>
          </w:p>
        </w:tc>
        <w:tc>
          <w:tcPr>
            <w:tcW w:type="dxa" w:w="2078"/>
            <w:vAlign w:val="center"/>
            <w:tcBorders>
              <w:bottom w:val="single" w:sz="12" w:color="000000"/>
            </w:tcBorders>
          </w:tcPr>
          <w:p>
            <w:pPr>
              <w:jc w:val="center"/>
            </w:pPr>
            <w:r/>
            <w:r>
              <w:rPr>
                <w:rFonts w:ascii="Times New Roman" w:hAnsi="Times New Roman" w:eastAsia="宋体"/>
                <w:b w:val="0"/>
                <w:sz w:val="21"/>
              </w:rPr>
              <w:t>获取当前用户信息</w:t>
            </w:r>
          </w:p>
        </w:tc>
        <w:tc>
          <w:tcPr>
            <w:tcW w:type="dxa" w:w="2078"/>
            <w:vAlign w:val="center"/>
            <w:tcBorders>
              <w:bottom w:val="single" w:sz="12" w:color="000000"/>
            </w:tcBorders>
          </w:tcPr>
          <w:p>
            <w:pPr>
              <w:jc w:val="center"/>
            </w:pPr>
            <w:r/>
            <w:r>
              <w:rPr>
                <w:rFonts w:ascii="Times New Roman" w:hAnsi="Times New Roman" w:eastAsia="宋体"/>
                <w:b w:val="0"/>
                <w:sz w:val="21"/>
              </w:rPr>
              <w:t>是</w:t>
            </w:r>
          </w:p>
        </w:tc>
      </w:tr>
    </w:tbl>
    <w:p>
      <w:pPr>
        <w:spacing w:line="360" w:lineRule="auto" w:before="240" w:after="120"/>
        <w:jc w:val="left"/>
      </w:pPr>
      <w:r>
        <w:rPr>
          <w:rFonts w:ascii="Times New Roman" w:hAnsi="Times New Roman" w:eastAsia="黑体"/>
          <w:b/>
          <w:sz w:val="28"/>
        </w:rPr>
        <w:t>6.2 政策中心</w:t>
      </w:r>
    </w:p>
    <w:p>
      <w:pPr>
        <w:spacing w:before="120" w:after="60"/>
        <w:jc w:val="center"/>
      </w:pPr>
      <w:r>
        <w:rPr>
          <w:rFonts w:ascii="Times New Roman" w:hAnsi="Times New Roman" w:eastAsia="黑体"/>
          <w:b/>
          <w:sz w:val="21"/>
        </w:rPr>
        <w:t>表 6-2  政策接口</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端点</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方法</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说明</w:t>
            </w:r>
          </w:p>
        </w:tc>
      </w:tr>
      <w:tr>
        <w:tc>
          <w:tcPr>
            <w:tcW w:type="dxa" w:w="2771"/>
            <w:vAlign w:val="center"/>
          </w:tcPr>
          <w:p>
            <w:pPr>
              <w:jc w:val="left"/>
            </w:pPr>
            <w:r/>
            <w:r>
              <w:rPr>
                <w:rFonts w:ascii="Times New Roman" w:hAnsi="Times New Roman" w:eastAsia="宋体"/>
                <w:b w:val="0"/>
                <w:sz w:val="21"/>
              </w:rPr>
              <w:t>/policy/list</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政策列表（支持分页/筛选）</w:t>
            </w:r>
          </w:p>
        </w:tc>
      </w:tr>
      <w:tr>
        <w:tc>
          <w:tcPr>
            <w:tcW w:type="dxa" w:w="2771"/>
            <w:vAlign w:val="center"/>
            <w:tcBorders>
              <w:bottom w:val="single" w:sz="12" w:color="000000"/>
            </w:tcBorders>
          </w:tcPr>
          <w:p>
            <w:pPr>
              <w:jc w:val="left"/>
            </w:pPr>
            <w:r/>
            <w:r>
              <w:rPr>
                <w:rFonts w:ascii="Times New Roman" w:hAnsi="Times New Roman" w:eastAsia="宋体"/>
                <w:b w:val="0"/>
                <w:sz w:val="21"/>
              </w:rPr>
              <w:t>/policy/{id}</w:t>
            </w:r>
          </w:p>
        </w:tc>
        <w:tc>
          <w:tcPr>
            <w:tcW w:type="dxa" w:w="2771"/>
            <w:vAlign w:val="center"/>
            <w:tcBorders>
              <w:bottom w:val="single" w:sz="12" w:color="000000"/>
            </w:tcBorders>
          </w:tcPr>
          <w:p>
            <w:pPr>
              <w:jc w:val="center"/>
            </w:pPr>
            <w:r/>
            <w:r>
              <w:rPr>
                <w:rFonts w:ascii="Times New Roman" w:hAnsi="Times New Roman" w:eastAsia="宋体"/>
                <w:b w:val="0"/>
                <w:sz w:val="21"/>
              </w:rPr>
              <w:t>GET</w:t>
            </w:r>
          </w:p>
        </w:tc>
        <w:tc>
          <w:tcPr>
            <w:tcW w:type="dxa" w:w="2771"/>
            <w:vAlign w:val="center"/>
            <w:tcBorders>
              <w:bottom w:val="single" w:sz="12" w:color="000000"/>
            </w:tcBorders>
          </w:tcPr>
          <w:p>
            <w:pPr>
              <w:jc w:val="center"/>
            </w:pPr>
            <w:r/>
            <w:r>
              <w:rPr>
                <w:rFonts w:ascii="Times New Roman" w:hAnsi="Times New Roman" w:eastAsia="宋体"/>
                <w:b w:val="0"/>
                <w:sz w:val="21"/>
              </w:rPr>
              <w:t>政策详情</w:t>
            </w:r>
          </w:p>
        </w:tc>
      </w:tr>
    </w:tbl>
    <w:p>
      <w:pPr>
        <w:spacing w:line="360" w:lineRule="auto" w:before="240" w:after="120"/>
        <w:jc w:val="left"/>
      </w:pPr>
      <w:r>
        <w:rPr>
          <w:rFonts w:ascii="Times New Roman" w:hAnsi="Times New Roman" w:eastAsia="黑体"/>
          <w:b/>
          <w:sz w:val="28"/>
        </w:rPr>
        <w:t>6.3 智能分析</w:t>
      </w:r>
    </w:p>
    <w:p>
      <w:pPr>
        <w:spacing w:before="120" w:after="60"/>
        <w:jc w:val="center"/>
      </w:pPr>
      <w:r>
        <w:rPr>
          <w:rFonts w:ascii="Times New Roman" w:hAnsi="Times New Roman" w:eastAsia="黑体"/>
          <w:b/>
          <w:sz w:val="21"/>
        </w:rPr>
        <w:t>表 6-3  分析接口</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端点</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方法</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说明</w:t>
            </w:r>
          </w:p>
        </w:tc>
      </w:tr>
      <w:tr>
        <w:tc>
          <w:tcPr>
            <w:tcW w:type="dxa" w:w="2771"/>
            <w:vAlign w:val="center"/>
          </w:tcPr>
          <w:p>
            <w:pPr>
              <w:jc w:val="left"/>
            </w:pPr>
            <w:r/>
            <w:r>
              <w:rPr>
                <w:rFonts w:ascii="Times New Roman" w:hAnsi="Times New Roman" w:eastAsia="宋体"/>
                <w:b w:val="0"/>
                <w:sz w:val="21"/>
              </w:rPr>
              <w:t>/analysis/template</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获取指标模板（26 项指标）</w:t>
            </w:r>
          </w:p>
        </w:tc>
      </w:tr>
      <w:tr>
        <w:tc>
          <w:tcPr>
            <w:tcW w:type="dxa" w:w="2771"/>
            <w:vAlign w:val="center"/>
          </w:tcPr>
          <w:p>
            <w:pPr>
              <w:jc w:val="left"/>
            </w:pPr>
            <w:r/>
            <w:r>
              <w:rPr>
                <w:rFonts w:ascii="Times New Roman" w:hAnsi="Times New Roman" w:eastAsia="宋体"/>
                <w:b w:val="0"/>
                <w:sz w:val="21"/>
              </w:rPr>
              <w:t>/analysis/evaluate</w:t>
            </w:r>
          </w:p>
        </w:tc>
        <w:tc>
          <w:tcPr>
            <w:tcW w:type="dxa" w:w="2771"/>
            <w:vAlign w:val="center"/>
          </w:tcPr>
          <w:p>
            <w:pPr>
              <w:jc w:val="center"/>
            </w:pPr>
            <w:r/>
            <w:r>
              <w:rPr>
                <w:rFonts w:ascii="Times New Roman" w:hAnsi="Times New Roman" w:eastAsia="宋体"/>
                <w:b w:val="0"/>
                <w:sz w:val="21"/>
              </w:rPr>
              <w:t>POST</w:t>
            </w:r>
          </w:p>
        </w:tc>
        <w:tc>
          <w:tcPr>
            <w:tcW w:type="dxa" w:w="2771"/>
            <w:vAlign w:val="center"/>
          </w:tcPr>
          <w:p>
            <w:pPr>
              <w:jc w:val="center"/>
            </w:pPr>
            <w:r/>
            <w:r>
              <w:rPr>
                <w:rFonts w:ascii="Times New Roman" w:hAnsi="Times New Roman" w:eastAsia="宋体"/>
                <w:b w:val="0"/>
                <w:sz w:val="21"/>
              </w:rPr>
              <w:t>提交评估数据，返回完整评估结果</w:t>
            </w:r>
          </w:p>
        </w:tc>
      </w:tr>
      <w:tr>
        <w:tc>
          <w:tcPr>
            <w:tcW w:type="dxa" w:w="2771"/>
            <w:vAlign w:val="center"/>
          </w:tcPr>
          <w:p>
            <w:pPr>
              <w:jc w:val="left"/>
            </w:pPr>
            <w:r/>
            <w:r>
              <w:rPr>
                <w:rFonts w:ascii="Times New Roman" w:hAnsi="Times New Roman" w:eastAsia="宋体"/>
                <w:b w:val="0"/>
                <w:sz w:val="21"/>
              </w:rPr>
              <w:t>/analysis/history</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获取评估历史记录</w:t>
            </w:r>
          </w:p>
        </w:tc>
      </w:tr>
      <w:tr>
        <w:tc>
          <w:tcPr>
            <w:tcW w:type="dxa" w:w="2771"/>
            <w:vAlign w:val="center"/>
          </w:tcPr>
          <w:p>
            <w:pPr>
              <w:jc w:val="left"/>
            </w:pPr>
            <w:r/>
            <w:r>
              <w:rPr>
                <w:rFonts w:ascii="Times New Roman" w:hAnsi="Times New Roman" w:eastAsia="宋体"/>
                <w:b w:val="0"/>
                <w:sz w:val="21"/>
              </w:rPr>
              <w:t>/analysis/{id}</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获取指定评估详情</w:t>
            </w:r>
          </w:p>
        </w:tc>
      </w:tr>
      <w:tr>
        <w:tc>
          <w:tcPr>
            <w:tcW w:type="dxa" w:w="2771"/>
            <w:vAlign w:val="center"/>
          </w:tcPr>
          <w:p>
            <w:pPr>
              <w:jc w:val="left"/>
            </w:pPr>
            <w:r/>
            <w:r>
              <w:rPr>
                <w:rFonts w:ascii="Times New Roman" w:hAnsi="Times New Roman" w:eastAsia="宋体"/>
                <w:b w:val="0"/>
                <w:sz w:val="21"/>
              </w:rPr>
              <w:t>/analysis/{id}/report</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下载 PDF 报告</w:t>
            </w:r>
          </w:p>
        </w:tc>
      </w:tr>
      <w:tr>
        <w:tc>
          <w:tcPr>
            <w:tcW w:type="dxa" w:w="2771"/>
            <w:vAlign w:val="center"/>
            <w:tcBorders>
              <w:bottom w:val="single" w:sz="12" w:color="000000"/>
            </w:tcBorders>
          </w:tcPr>
          <w:p>
            <w:pPr>
              <w:jc w:val="left"/>
            </w:pPr>
            <w:r/>
            <w:r>
              <w:rPr>
                <w:rFonts w:ascii="Times New Roman" w:hAnsi="Times New Roman" w:eastAsia="宋体"/>
                <w:b w:val="0"/>
                <w:sz w:val="21"/>
              </w:rPr>
              <w:t>/analysis/ccd</w:t>
            </w:r>
          </w:p>
        </w:tc>
        <w:tc>
          <w:tcPr>
            <w:tcW w:type="dxa" w:w="2771"/>
            <w:vAlign w:val="center"/>
            <w:tcBorders>
              <w:bottom w:val="single" w:sz="12" w:color="000000"/>
            </w:tcBorders>
          </w:tcPr>
          <w:p>
            <w:pPr>
              <w:jc w:val="center"/>
            </w:pPr>
            <w:r/>
            <w:r>
              <w:rPr>
                <w:rFonts w:ascii="Times New Roman" w:hAnsi="Times New Roman" w:eastAsia="宋体"/>
                <w:b w:val="0"/>
                <w:sz w:val="21"/>
              </w:rPr>
              <w:t>POST</w:t>
            </w:r>
          </w:p>
        </w:tc>
        <w:tc>
          <w:tcPr>
            <w:tcW w:type="dxa" w:w="2771"/>
            <w:vAlign w:val="center"/>
            <w:tcBorders>
              <w:bottom w:val="single" w:sz="12" w:color="000000"/>
            </w:tcBorders>
          </w:tcPr>
          <w:p>
            <w:pPr>
              <w:jc w:val="center"/>
            </w:pPr>
            <w:r/>
            <w:r>
              <w:rPr>
                <w:rFonts w:ascii="Times New Roman" w:hAnsi="Times New Roman" w:eastAsia="宋体"/>
                <w:b w:val="0"/>
                <w:sz w:val="21"/>
              </w:rPr>
              <w:t>耦合协调度计算器</w:t>
            </w:r>
          </w:p>
        </w:tc>
      </w:tr>
    </w:tbl>
    <w:p>
      <w:pPr>
        <w:spacing w:line="360" w:lineRule="auto" w:before="240" w:after="120"/>
        <w:jc w:val="left"/>
      </w:pPr>
      <w:r>
        <w:rPr>
          <w:rFonts w:ascii="Times New Roman" w:hAnsi="Times New Roman" w:eastAsia="黑体"/>
          <w:b/>
          <w:sz w:val="28"/>
        </w:rPr>
        <w:t>6.4 数据大屏</w:t>
      </w:r>
    </w:p>
    <w:p>
      <w:pPr>
        <w:spacing w:before="120" w:after="60"/>
        <w:jc w:val="center"/>
      </w:pPr>
      <w:r>
        <w:rPr>
          <w:rFonts w:ascii="Times New Roman" w:hAnsi="Times New Roman" w:eastAsia="黑体"/>
          <w:b/>
          <w:sz w:val="21"/>
        </w:rPr>
        <w:t>表 6-4  大屏接口</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端点</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方法</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说明</w:t>
            </w:r>
          </w:p>
        </w:tc>
      </w:tr>
      <w:tr>
        <w:tc>
          <w:tcPr>
            <w:tcW w:type="dxa" w:w="2771"/>
            <w:vAlign w:val="center"/>
          </w:tcPr>
          <w:p>
            <w:pPr>
              <w:jc w:val="left"/>
            </w:pPr>
            <w:r/>
            <w:r>
              <w:rPr>
                <w:rFonts w:ascii="Times New Roman" w:hAnsi="Times New Roman" w:eastAsia="宋体"/>
                <w:b w:val="0"/>
                <w:sz w:val="21"/>
              </w:rPr>
              <w:t>/dashboard/overview</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10 区县 5 年总览数据</w:t>
            </w:r>
          </w:p>
        </w:tc>
      </w:tr>
      <w:tr>
        <w:tc>
          <w:tcPr>
            <w:tcW w:type="dxa" w:w="2771"/>
            <w:vAlign w:val="center"/>
          </w:tcPr>
          <w:p>
            <w:pPr>
              <w:jc w:val="left"/>
            </w:pPr>
            <w:r/>
            <w:r>
              <w:rPr>
                <w:rFonts w:ascii="Times New Roman" w:hAnsi="Times New Roman" w:eastAsia="宋体"/>
                <w:b w:val="0"/>
                <w:sz w:val="21"/>
              </w:rPr>
              <w:t>/dashboard/compare</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按指标横向对比</w:t>
            </w:r>
          </w:p>
        </w:tc>
      </w:tr>
      <w:tr>
        <w:tc>
          <w:tcPr>
            <w:tcW w:type="dxa" w:w="2771"/>
            <w:vAlign w:val="center"/>
          </w:tcPr>
          <w:p>
            <w:pPr>
              <w:jc w:val="left"/>
            </w:pPr>
            <w:r/>
            <w:r>
              <w:rPr>
                <w:rFonts w:ascii="Times New Roman" w:hAnsi="Times New Roman" w:eastAsia="宋体"/>
                <w:b w:val="0"/>
                <w:sz w:val="21"/>
              </w:rPr>
              <w:t>/dashboard/weights</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AHP 权重数据</w:t>
            </w:r>
          </w:p>
        </w:tc>
      </w:tr>
      <w:tr>
        <w:tc>
          <w:tcPr>
            <w:tcW w:type="dxa" w:w="2771"/>
            <w:vAlign w:val="center"/>
            <w:tcBorders>
              <w:bottom w:val="single" w:sz="12" w:color="000000"/>
            </w:tcBorders>
          </w:tcPr>
          <w:p>
            <w:pPr>
              <w:jc w:val="left"/>
            </w:pPr>
            <w:r/>
            <w:r>
              <w:rPr>
                <w:rFonts w:ascii="Times New Roman" w:hAnsi="Times New Roman" w:eastAsia="宋体"/>
                <w:b w:val="0"/>
                <w:sz w:val="21"/>
              </w:rPr>
              <w:t>/dashboard/cluster</w:t>
            </w:r>
          </w:p>
        </w:tc>
        <w:tc>
          <w:tcPr>
            <w:tcW w:type="dxa" w:w="2771"/>
            <w:vAlign w:val="center"/>
            <w:tcBorders>
              <w:bottom w:val="single" w:sz="12" w:color="000000"/>
            </w:tcBorders>
          </w:tcPr>
          <w:p>
            <w:pPr>
              <w:jc w:val="center"/>
            </w:pPr>
            <w:r/>
            <w:r>
              <w:rPr>
                <w:rFonts w:ascii="Times New Roman" w:hAnsi="Times New Roman" w:eastAsia="宋体"/>
                <w:b w:val="0"/>
                <w:sz w:val="21"/>
              </w:rPr>
              <w:t>GET</w:t>
            </w:r>
          </w:p>
        </w:tc>
        <w:tc>
          <w:tcPr>
            <w:tcW w:type="dxa" w:w="2771"/>
            <w:vAlign w:val="center"/>
            <w:tcBorders>
              <w:bottom w:val="single" w:sz="12" w:color="000000"/>
            </w:tcBorders>
          </w:tcPr>
          <w:p>
            <w:pPr>
              <w:jc w:val="center"/>
            </w:pPr>
            <w:r/>
            <w:r>
              <w:rPr>
                <w:rFonts w:ascii="Times New Roman" w:hAnsi="Times New Roman" w:eastAsia="宋体"/>
                <w:b w:val="0"/>
                <w:sz w:val="21"/>
              </w:rPr>
              <w:t>层次聚类结果</w:t>
            </w:r>
          </w:p>
        </w:tc>
      </w:tr>
    </w:tbl>
    <w:p>
      <w:pPr>
        <w:spacing w:line="360" w:lineRule="auto" w:before="240" w:after="120"/>
        <w:jc w:val="left"/>
      </w:pPr>
      <w:r>
        <w:rPr>
          <w:rFonts w:ascii="Times New Roman" w:hAnsi="Times New Roman" w:eastAsia="黑体"/>
          <w:b/>
          <w:sz w:val="28"/>
        </w:rPr>
        <w:t>6.5 农产品商城</w:t>
      </w:r>
    </w:p>
    <w:p>
      <w:pPr>
        <w:spacing w:before="120" w:after="60"/>
        <w:jc w:val="center"/>
      </w:pPr>
      <w:r>
        <w:rPr>
          <w:rFonts w:ascii="Times New Roman" w:hAnsi="Times New Roman" w:eastAsia="黑体"/>
          <w:b/>
          <w:sz w:val="21"/>
        </w:rPr>
        <w:t>表 6-5  商城接口</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078"/>
        <w:gridCol w:w="2078"/>
        <w:gridCol w:w="2078"/>
        <w:gridCol w:w="2078"/>
      </w:tblGrid>
      <w:tr>
        <w:tc>
          <w:tcPr>
            <w:tcW w:type="dxa" w:w="2078"/>
            <w:vAlign w:val="center"/>
            <w:tcBorders>
              <w:top w:val="single" w:sz="12" w:color="000000"/>
              <w:bottom w:val="single" w:sz="6" w:color="000000"/>
            </w:tcBorders>
          </w:tcPr>
          <w:p>
            <w:pPr>
              <w:jc w:val="center"/>
            </w:pPr>
            <w:r/>
            <w:r>
              <w:rPr>
                <w:rFonts w:ascii="Times New Roman" w:hAnsi="Times New Roman" w:eastAsia="黑体"/>
                <w:b/>
                <w:sz w:val="21"/>
              </w:rPr>
              <w:t>端点</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方法</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说明</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鉴权</w:t>
            </w:r>
          </w:p>
        </w:tc>
      </w:tr>
      <w:tr>
        <w:tc>
          <w:tcPr>
            <w:tcW w:type="dxa" w:w="2078"/>
            <w:vAlign w:val="center"/>
          </w:tcPr>
          <w:p>
            <w:pPr>
              <w:jc w:val="left"/>
            </w:pPr>
            <w:r/>
            <w:r>
              <w:rPr>
                <w:rFonts w:ascii="Times New Roman" w:hAnsi="Times New Roman" w:eastAsia="宋体"/>
                <w:b w:val="0"/>
                <w:sz w:val="21"/>
              </w:rPr>
              <w:t>/mall/products</w:t>
            </w:r>
          </w:p>
        </w:tc>
        <w:tc>
          <w:tcPr>
            <w:tcW w:type="dxa" w:w="2078"/>
            <w:vAlign w:val="center"/>
          </w:tcPr>
          <w:p>
            <w:pPr>
              <w:jc w:val="center"/>
            </w:pPr>
            <w:r/>
            <w:r>
              <w:rPr>
                <w:rFonts w:ascii="Times New Roman" w:hAnsi="Times New Roman" w:eastAsia="宋体"/>
                <w:b w:val="0"/>
                <w:sz w:val="21"/>
              </w:rPr>
              <w:t>GET</w:t>
            </w:r>
          </w:p>
        </w:tc>
        <w:tc>
          <w:tcPr>
            <w:tcW w:type="dxa" w:w="2078"/>
            <w:vAlign w:val="center"/>
          </w:tcPr>
          <w:p>
            <w:pPr>
              <w:jc w:val="center"/>
            </w:pPr>
            <w:r/>
            <w:r>
              <w:rPr>
                <w:rFonts w:ascii="Times New Roman" w:hAnsi="Times New Roman" w:eastAsia="宋体"/>
                <w:b w:val="0"/>
                <w:sz w:val="21"/>
              </w:rPr>
              <w:t>商品列表（支持筛选/搜索）</w:t>
            </w:r>
          </w:p>
        </w:tc>
        <w:tc>
          <w:tcPr>
            <w:tcW w:type="dxa" w:w="2078"/>
            <w:vAlign w:val="center"/>
          </w:tcPr>
          <w:p>
            <w:pPr>
              <w:jc w:val="center"/>
            </w:pPr>
            <w:r/>
            <w:r>
              <w:rPr>
                <w:rFonts w:ascii="Times New Roman" w:hAnsi="Times New Roman" w:eastAsia="宋体"/>
                <w:b w:val="0"/>
                <w:sz w:val="21"/>
              </w:rPr>
              <w:t>否</w:t>
            </w:r>
          </w:p>
        </w:tc>
      </w:tr>
      <w:tr>
        <w:tc>
          <w:tcPr>
            <w:tcW w:type="dxa" w:w="2078"/>
            <w:vAlign w:val="center"/>
          </w:tcPr>
          <w:p>
            <w:pPr>
              <w:jc w:val="left"/>
            </w:pPr>
            <w:r/>
            <w:r>
              <w:rPr>
                <w:rFonts w:ascii="Times New Roman" w:hAnsi="Times New Roman" w:eastAsia="宋体"/>
                <w:b w:val="0"/>
                <w:sz w:val="21"/>
              </w:rPr>
              <w:t>/mall/products/{id}</w:t>
            </w:r>
          </w:p>
        </w:tc>
        <w:tc>
          <w:tcPr>
            <w:tcW w:type="dxa" w:w="2078"/>
            <w:vAlign w:val="center"/>
          </w:tcPr>
          <w:p>
            <w:pPr>
              <w:jc w:val="center"/>
            </w:pPr>
            <w:r/>
            <w:r>
              <w:rPr>
                <w:rFonts w:ascii="Times New Roman" w:hAnsi="Times New Roman" w:eastAsia="宋体"/>
                <w:b w:val="0"/>
                <w:sz w:val="21"/>
              </w:rPr>
              <w:t>GET</w:t>
            </w:r>
          </w:p>
        </w:tc>
        <w:tc>
          <w:tcPr>
            <w:tcW w:type="dxa" w:w="2078"/>
            <w:vAlign w:val="center"/>
          </w:tcPr>
          <w:p>
            <w:pPr>
              <w:jc w:val="center"/>
            </w:pPr>
            <w:r/>
            <w:r>
              <w:rPr>
                <w:rFonts w:ascii="Times New Roman" w:hAnsi="Times New Roman" w:eastAsia="宋体"/>
                <w:b w:val="0"/>
                <w:sz w:val="21"/>
              </w:rPr>
              <w:t>商品详情</w:t>
            </w:r>
          </w:p>
        </w:tc>
        <w:tc>
          <w:tcPr>
            <w:tcW w:type="dxa" w:w="2078"/>
            <w:vAlign w:val="center"/>
          </w:tcPr>
          <w:p>
            <w:pPr>
              <w:jc w:val="center"/>
            </w:pPr>
            <w:r/>
            <w:r>
              <w:rPr>
                <w:rFonts w:ascii="Times New Roman" w:hAnsi="Times New Roman" w:eastAsia="宋体"/>
                <w:b w:val="0"/>
                <w:sz w:val="21"/>
              </w:rPr>
              <w:t>否</w:t>
            </w:r>
          </w:p>
        </w:tc>
      </w:tr>
      <w:tr>
        <w:tc>
          <w:tcPr>
            <w:tcW w:type="dxa" w:w="2078"/>
            <w:vAlign w:val="center"/>
          </w:tcPr>
          <w:p>
            <w:pPr>
              <w:jc w:val="left"/>
            </w:pPr>
            <w:r/>
            <w:r>
              <w:rPr>
                <w:rFonts w:ascii="Times New Roman" w:hAnsi="Times New Roman" w:eastAsia="宋体"/>
                <w:b w:val="0"/>
                <w:sz w:val="21"/>
              </w:rPr>
              <w:t>/mall/products</w:t>
            </w:r>
          </w:p>
        </w:tc>
        <w:tc>
          <w:tcPr>
            <w:tcW w:type="dxa" w:w="2078"/>
            <w:vAlign w:val="center"/>
          </w:tcPr>
          <w:p>
            <w:pPr>
              <w:jc w:val="center"/>
            </w:pPr>
            <w:r/>
            <w:r>
              <w:rPr>
                <w:rFonts w:ascii="Times New Roman" w:hAnsi="Times New Roman" w:eastAsia="宋体"/>
                <w:b w:val="0"/>
                <w:sz w:val="21"/>
              </w:rPr>
              <w:t>POST</w:t>
            </w:r>
          </w:p>
        </w:tc>
        <w:tc>
          <w:tcPr>
            <w:tcW w:type="dxa" w:w="2078"/>
            <w:vAlign w:val="center"/>
          </w:tcPr>
          <w:p>
            <w:pPr>
              <w:jc w:val="center"/>
            </w:pPr>
            <w:r/>
            <w:r>
              <w:rPr>
                <w:rFonts w:ascii="Times New Roman" w:hAnsi="Times New Roman" w:eastAsia="宋体"/>
                <w:b w:val="0"/>
                <w:sz w:val="21"/>
              </w:rPr>
              <w:t>商家上架商品</w:t>
            </w:r>
          </w:p>
        </w:tc>
        <w:tc>
          <w:tcPr>
            <w:tcW w:type="dxa" w:w="2078"/>
            <w:vAlign w:val="center"/>
          </w:tcPr>
          <w:p>
            <w:pPr>
              <w:jc w:val="center"/>
            </w:pPr>
            <w:r/>
            <w:r>
              <w:rPr>
                <w:rFonts w:ascii="Times New Roman" w:hAnsi="Times New Roman" w:eastAsia="宋体"/>
                <w:b w:val="0"/>
                <w:sz w:val="21"/>
              </w:rPr>
              <w:t>是（merchant）</w:t>
            </w:r>
          </w:p>
        </w:tc>
      </w:tr>
      <w:tr>
        <w:tc>
          <w:tcPr>
            <w:tcW w:type="dxa" w:w="2078"/>
            <w:vAlign w:val="center"/>
          </w:tcPr>
          <w:p>
            <w:pPr>
              <w:jc w:val="left"/>
            </w:pPr>
            <w:r/>
            <w:r>
              <w:rPr>
                <w:rFonts w:ascii="Times New Roman" w:hAnsi="Times New Roman" w:eastAsia="宋体"/>
                <w:b w:val="0"/>
                <w:sz w:val="21"/>
              </w:rPr>
              <w:t>/mall/orders</w:t>
            </w:r>
          </w:p>
        </w:tc>
        <w:tc>
          <w:tcPr>
            <w:tcW w:type="dxa" w:w="2078"/>
            <w:vAlign w:val="center"/>
          </w:tcPr>
          <w:p>
            <w:pPr>
              <w:jc w:val="center"/>
            </w:pPr>
            <w:r/>
            <w:r>
              <w:rPr>
                <w:rFonts w:ascii="Times New Roman" w:hAnsi="Times New Roman" w:eastAsia="宋体"/>
                <w:b w:val="0"/>
                <w:sz w:val="21"/>
              </w:rPr>
              <w:t>POST</w:t>
            </w:r>
          </w:p>
        </w:tc>
        <w:tc>
          <w:tcPr>
            <w:tcW w:type="dxa" w:w="2078"/>
            <w:vAlign w:val="center"/>
          </w:tcPr>
          <w:p>
            <w:pPr>
              <w:jc w:val="center"/>
            </w:pPr>
            <w:r/>
            <w:r>
              <w:rPr>
                <w:rFonts w:ascii="Times New Roman" w:hAnsi="Times New Roman" w:eastAsia="宋体"/>
                <w:b w:val="0"/>
                <w:sz w:val="21"/>
              </w:rPr>
              <w:t>提交订单</w:t>
            </w:r>
          </w:p>
        </w:tc>
        <w:tc>
          <w:tcPr>
            <w:tcW w:type="dxa" w:w="2078"/>
            <w:vAlign w:val="center"/>
          </w:tcPr>
          <w:p>
            <w:pPr>
              <w:jc w:val="center"/>
            </w:pPr>
            <w:r/>
            <w:r>
              <w:rPr>
                <w:rFonts w:ascii="Times New Roman" w:hAnsi="Times New Roman" w:eastAsia="宋体"/>
                <w:b w:val="0"/>
                <w:sz w:val="21"/>
              </w:rPr>
              <w:t>是</w:t>
            </w:r>
          </w:p>
        </w:tc>
      </w:tr>
      <w:tr>
        <w:tc>
          <w:tcPr>
            <w:tcW w:type="dxa" w:w="2078"/>
            <w:vAlign w:val="center"/>
            <w:tcBorders>
              <w:bottom w:val="single" w:sz="12" w:color="000000"/>
            </w:tcBorders>
          </w:tcPr>
          <w:p>
            <w:pPr>
              <w:jc w:val="left"/>
            </w:pPr>
            <w:r/>
            <w:r>
              <w:rPr>
                <w:rFonts w:ascii="Times New Roman" w:hAnsi="Times New Roman" w:eastAsia="宋体"/>
                <w:b w:val="0"/>
                <w:sz w:val="21"/>
              </w:rPr>
              <w:t>/mall/orders</w:t>
            </w:r>
          </w:p>
        </w:tc>
        <w:tc>
          <w:tcPr>
            <w:tcW w:type="dxa" w:w="2078"/>
            <w:vAlign w:val="center"/>
            <w:tcBorders>
              <w:bottom w:val="single" w:sz="12" w:color="000000"/>
            </w:tcBorders>
          </w:tcPr>
          <w:p>
            <w:pPr>
              <w:jc w:val="center"/>
            </w:pPr>
            <w:r/>
            <w:r>
              <w:rPr>
                <w:rFonts w:ascii="Times New Roman" w:hAnsi="Times New Roman" w:eastAsia="宋体"/>
                <w:b w:val="0"/>
                <w:sz w:val="21"/>
              </w:rPr>
              <w:t>GET</w:t>
            </w:r>
          </w:p>
        </w:tc>
        <w:tc>
          <w:tcPr>
            <w:tcW w:type="dxa" w:w="2078"/>
            <w:vAlign w:val="center"/>
            <w:tcBorders>
              <w:bottom w:val="single" w:sz="12" w:color="000000"/>
            </w:tcBorders>
          </w:tcPr>
          <w:p>
            <w:pPr>
              <w:jc w:val="center"/>
            </w:pPr>
            <w:r/>
            <w:r>
              <w:rPr>
                <w:rFonts w:ascii="Times New Roman" w:hAnsi="Times New Roman" w:eastAsia="宋体"/>
                <w:b w:val="0"/>
                <w:sz w:val="21"/>
              </w:rPr>
              <w:t>我的订单列表</w:t>
            </w:r>
          </w:p>
        </w:tc>
        <w:tc>
          <w:tcPr>
            <w:tcW w:type="dxa" w:w="2078"/>
            <w:vAlign w:val="center"/>
            <w:tcBorders>
              <w:bottom w:val="single" w:sz="12" w:color="000000"/>
            </w:tcBorders>
          </w:tcPr>
          <w:p>
            <w:pPr>
              <w:jc w:val="center"/>
            </w:pPr>
            <w:r/>
            <w:r>
              <w:rPr>
                <w:rFonts w:ascii="Times New Roman" w:hAnsi="Times New Roman" w:eastAsia="宋体"/>
                <w:b w:val="0"/>
                <w:sz w:val="21"/>
              </w:rPr>
              <w:t>是</w:t>
            </w:r>
          </w:p>
        </w:tc>
      </w:tr>
    </w:tbl>
    <w:p>
      <w:pPr>
        <w:spacing w:line="360" w:lineRule="auto" w:before="240" w:after="120"/>
        <w:jc w:val="left"/>
      </w:pPr>
      <w:r>
        <w:rPr>
          <w:rFonts w:ascii="Times New Roman" w:hAnsi="Times New Roman" w:eastAsia="黑体"/>
          <w:b/>
          <w:sz w:val="28"/>
        </w:rPr>
        <w:t>6.6 案例中心</w:t>
      </w:r>
    </w:p>
    <w:p>
      <w:pPr>
        <w:spacing w:before="120" w:after="60"/>
        <w:jc w:val="center"/>
      </w:pPr>
      <w:r>
        <w:rPr>
          <w:rFonts w:ascii="Times New Roman" w:hAnsi="Times New Roman" w:eastAsia="黑体"/>
          <w:b/>
          <w:sz w:val="21"/>
        </w:rPr>
        <w:t>表 6-6  案例接口</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71"/>
        <w:gridCol w:w="2771"/>
        <w:gridCol w:w="2771"/>
      </w:tblGrid>
      <w:tr>
        <w:tc>
          <w:tcPr>
            <w:tcW w:type="dxa" w:w="2771"/>
            <w:vAlign w:val="center"/>
            <w:tcBorders>
              <w:top w:val="single" w:sz="12" w:color="000000"/>
              <w:bottom w:val="single" w:sz="6" w:color="000000"/>
            </w:tcBorders>
          </w:tcPr>
          <w:p>
            <w:pPr>
              <w:jc w:val="center"/>
            </w:pPr>
            <w:r/>
            <w:r>
              <w:rPr>
                <w:rFonts w:ascii="Times New Roman" w:hAnsi="Times New Roman" w:eastAsia="黑体"/>
                <w:b/>
                <w:sz w:val="21"/>
              </w:rPr>
              <w:t>端点</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方法</w:t>
            </w:r>
          </w:p>
        </w:tc>
        <w:tc>
          <w:tcPr>
            <w:tcW w:type="dxa" w:w="2771"/>
            <w:vAlign w:val="center"/>
            <w:tcBorders>
              <w:top w:val="single" w:sz="12" w:color="000000"/>
              <w:bottom w:val="single" w:sz="6" w:color="000000"/>
            </w:tcBorders>
          </w:tcPr>
          <w:p>
            <w:pPr>
              <w:jc w:val="center"/>
            </w:pPr>
            <w:r/>
            <w:r>
              <w:rPr>
                <w:rFonts w:ascii="Times New Roman" w:hAnsi="Times New Roman" w:eastAsia="黑体"/>
                <w:b/>
                <w:sz w:val="21"/>
              </w:rPr>
              <w:t>说明</w:t>
            </w:r>
          </w:p>
        </w:tc>
      </w:tr>
      <w:tr>
        <w:tc>
          <w:tcPr>
            <w:tcW w:type="dxa" w:w="2771"/>
            <w:vAlign w:val="center"/>
          </w:tcPr>
          <w:p>
            <w:pPr>
              <w:jc w:val="left"/>
            </w:pPr>
            <w:r/>
            <w:r>
              <w:rPr>
                <w:rFonts w:ascii="Times New Roman" w:hAnsi="Times New Roman" w:eastAsia="宋体"/>
                <w:b w:val="0"/>
                <w:sz w:val="21"/>
              </w:rPr>
              <w:t>/case/list</w:t>
            </w:r>
          </w:p>
        </w:tc>
        <w:tc>
          <w:tcPr>
            <w:tcW w:type="dxa" w:w="2771"/>
            <w:vAlign w:val="center"/>
          </w:tcPr>
          <w:p>
            <w:pPr>
              <w:jc w:val="center"/>
            </w:pPr>
            <w:r/>
            <w:r>
              <w:rPr>
                <w:rFonts w:ascii="Times New Roman" w:hAnsi="Times New Roman" w:eastAsia="宋体"/>
                <w:b w:val="0"/>
                <w:sz w:val="21"/>
              </w:rPr>
              <w:t>GET</w:t>
            </w:r>
          </w:p>
        </w:tc>
        <w:tc>
          <w:tcPr>
            <w:tcW w:type="dxa" w:w="2771"/>
            <w:vAlign w:val="center"/>
          </w:tcPr>
          <w:p>
            <w:pPr>
              <w:jc w:val="center"/>
            </w:pPr>
            <w:r/>
            <w:r>
              <w:rPr>
                <w:rFonts w:ascii="Times New Roman" w:hAnsi="Times New Roman" w:eastAsia="宋体"/>
                <w:b w:val="0"/>
                <w:sz w:val="21"/>
              </w:rPr>
              <w:t>案例列表（支持模式筛选）</w:t>
            </w:r>
          </w:p>
        </w:tc>
      </w:tr>
      <w:tr>
        <w:tc>
          <w:tcPr>
            <w:tcW w:type="dxa" w:w="2771"/>
            <w:vAlign w:val="center"/>
            <w:tcBorders>
              <w:bottom w:val="single" w:sz="12" w:color="000000"/>
            </w:tcBorders>
          </w:tcPr>
          <w:p>
            <w:pPr>
              <w:jc w:val="left"/>
            </w:pPr>
            <w:r/>
            <w:r>
              <w:rPr>
                <w:rFonts w:ascii="Times New Roman" w:hAnsi="Times New Roman" w:eastAsia="宋体"/>
                <w:b w:val="0"/>
                <w:sz w:val="21"/>
              </w:rPr>
              <w:t>/case/{id}</w:t>
            </w:r>
          </w:p>
        </w:tc>
        <w:tc>
          <w:tcPr>
            <w:tcW w:type="dxa" w:w="2771"/>
            <w:vAlign w:val="center"/>
            <w:tcBorders>
              <w:bottom w:val="single" w:sz="12" w:color="000000"/>
            </w:tcBorders>
          </w:tcPr>
          <w:p>
            <w:pPr>
              <w:jc w:val="center"/>
            </w:pPr>
            <w:r/>
            <w:r>
              <w:rPr>
                <w:rFonts w:ascii="Times New Roman" w:hAnsi="Times New Roman" w:eastAsia="宋体"/>
                <w:b w:val="0"/>
                <w:sz w:val="21"/>
              </w:rPr>
              <w:t>GET</w:t>
            </w:r>
          </w:p>
        </w:tc>
        <w:tc>
          <w:tcPr>
            <w:tcW w:type="dxa" w:w="2771"/>
            <w:vAlign w:val="center"/>
            <w:tcBorders>
              <w:bottom w:val="single" w:sz="12" w:color="000000"/>
            </w:tcBorders>
          </w:tcPr>
          <w:p>
            <w:pPr>
              <w:jc w:val="center"/>
            </w:pPr>
            <w:r/>
            <w:r>
              <w:rPr>
                <w:rFonts w:ascii="Times New Roman" w:hAnsi="Times New Roman" w:eastAsia="宋体"/>
                <w:b w:val="0"/>
                <w:sz w:val="21"/>
              </w:rPr>
              <w:t>案例详情</w:t>
            </w:r>
          </w:p>
        </w:tc>
      </w:tr>
    </w:tbl>
    <w:p>
      <w:r>
        <w:br w:type="page"/>
      </w:r>
    </w:p>
    <w:p>
      <w:pPr>
        <w:spacing w:line="360" w:lineRule="auto" w:before="0" w:after="360"/>
        <w:jc w:val="center"/>
        <w:pBdr>
          <w:bottom w:val="single" w:sz="12" w:space="4" w:color="000000"/>
        </w:pBdr>
      </w:pPr>
      <w:r>
        <w:rPr>
          <w:rFonts w:ascii="Times New Roman" w:hAnsi="Times New Roman" w:eastAsia="黑体"/>
          <w:b/>
          <w:sz w:val="36"/>
        </w:rPr>
        <w:t>第七章 技术架构</w:t>
      </w:r>
    </w:p>
    <w:p>
      <w:pPr>
        <w:spacing w:line="360" w:lineRule="auto" w:before="0" w:after="0"/>
        <w:ind w:firstLine="480"/>
        <w:jc w:val="left"/>
      </w:pPr>
      <w:r>
        <w:rPr>
          <w:rFonts w:ascii="Times New Roman" w:hAnsi="Times New Roman" w:eastAsia="宋体"/>
          <w:b w:val="0"/>
          <w:sz w:val="24"/>
        </w:rPr>
        <w:t>平台采用前后端分离架构，整体分为四层：前端展示层、后端服务层、核心算法层与数据存储层。</w:t>
      </w:r>
    </w:p>
    <w:p>
      <w:pPr>
        <w:spacing w:line="360" w:lineRule="auto" w:before="240" w:after="120"/>
        <w:jc w:val="left"/>
      </w:pPr>
      <w:r>
        <w:rPr>
          <w:rFonts w:ascii="Times New Roman" w:hAnsi="Times New Roman" w:eastAsia="黑体"/>
          <w:b/>
          <w:sz w:val="28"/>
        </w:rPr>
        <w:t>7.1 技术选型</w:t>
      </w:r>
    </w:p>
    <w:p>
      <w:pPr>
        <w:spacing w:before="120" w:after="60"/>
        <w:jc w:val="center"/>
      </w:pPr>
      <w:r>
        <w:rPr>
          <w:rFonts w:ascii="Times New Roman" w:hAnsi="Times New Roman" w:eastAsia="黑体"/>
          <w:b/>
          <w:sz w:val="21"/>
        </w:rPr>
        <w:t>表 7-1  技术选型</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078"/>
        <w:gridCol w:w="2078"/>
        <w:gridCol w:w="2078"/>
        <w:gridCol w:w="2078"/>
      </w:tblGrid>
      <w:tr>
        <w:tc>
          <w:tcPr>
            <w:tcW w:type="dxa" w:w="2078"/>
            <w:vAlign w:val="center"/>
            <w:tcBorders>
              <w:top w:val="single" w:sz="12" w:color="000000"/>
              <w:bottom w:val="single" w:sz="6" w:color="000000"/>
            </w:tcBorders>
          </w:tcPr>
          <w:p>
            <w:pPr>
              <w:jc w:val="center"/>
            </w:pPr>
            <w:r/>
            <w:r>
              <w:rPr>
                <w:rFonts w:ascii="Times New Roman" w:hAnsi="Times New Roman" w:eastAsia="黑体"/>
                <w:b/>
                <w:sz w:val="21"/>
              </w:rPr>
              <w:t>层级</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技术选型</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版本</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选用理由</w:t>
            </w:r>
          </w:p>
        </w:tc>
      </w:tr>
      <w:tr>
        <w:tc>
          <w:tcPr>
            <w:tcW w:type="dxa" w:w="2078"/>
            <w:vAlign w:val="center"/>
          </w:tcPr>
          <w:p>
            <w:pPr>
              <w:jc w:val="left"/>
            </w:pPr>
            <w:r/>
            <w:r>
              <w:rPr>
                <w:rFonts w:ascii="Times New Roman" w:hAnsi="Times New Roman" w:eastAsia="宋体"/>
                <w:b w:val="0"/>
                <w:sz w:val="21"/>
              </w:rPr>
              <w:t>前端框架</w:t>
            </w:r>
          </w:p>
        </w:tc>
        <w:tc>
          <w:tcPr>
            <w:tcW w:type="dxa" w:w="2078"/>
            <w:vAlign w:val="center"/>
          </w:tcPr>
          <w:p>
            <w:pPr>
              <w:jc w:val="center"/>
            </w:pPr>
            <w:r/>
            <w:r>
              <w:rPr>
                <w:rFonts w:ascii="Times New Roman" w:hAnsi="Times New Roman" w:eastAsia="宋体"/>
                <w:b w:val="0"/>
                <w:sz w:val="21"/>
              </w:rPr>
              <w:t>Vue 3</w:t>
            </w:r>
          </w:p>
        </w:tc>
        <w:tc>
          <w:tcPr>
            <w:tcW w:type="dxa" w:w="2078"/>
            <w:vAlign w:val="center"/>
          </w:tcPr>
          <w:p>
            <w:pPr>
              <w:jc w:val="center"/>
            </w:pPr>
            <w:r/>
            <w:r>
              <w:rPr>
                <w:rFonts w:ascii="Times New Roman" w:hAnsi="Times New Roman" w:eastAsia="宋体"/>
                <w:b w:val="0"/>
                <w:sz w:val="21"/>
              </w:rPr>
              <w:t>3.4</w:t>
            </w:r>
          </w:p>
        </w:tc>
        <w:tc>
          <w:tcPr>
            <w:tcW w:type="dxa" w:w="2078"/>
            <w:vAlign w:val="center"/>
          </w:tcPr>
          <w:p>
            <w:pPr>
              <w:jc w:val="center"/>
            </w:pPr>
            <w:r/>
            <w:r>
              <w:rPr>
                <w:rFonts w:ascii="Times New Roman" w:hAnsi="Times New Roman" w:eastAsia="宋体"/>
                <w:b w:val="0"/>
                <w:sz w:val="21"/>
              </w:rPr>
              <w:t>Composition API 响应式视图层</w:t>
            </w:r>
          </w:p>
        </w:tc>
      </w:tr>
      <w:tr>
        <w:tc>
          <w:tcPr>
            <w:tcW w:type="dxa" w:w="2078"/>
            <w:vAlign w:val="center"/>
          </w:tcPr>
          <w:p>
            <w:pPr>
              <w:jc w:val="left"/>
            </w:pPr>
            <w:r/>
            <w:r>
              <w:rPr>
                <w:rFonts w:ascii="Times New Roman" w:hAnsi="Times New Roman" w:eastAsia="宋体"/>
                <w:b w:val="0"/>
                <w:sz w:val="21"/>
              </w:rPr>
              <w:t>UI 组件库</w:t>
            </w:r>
          </w:p>
        </w:tc>
        <w:tc>
          <w:tcPr>
            <w:tcW w:type="dxa" w:w="2078"/>
            <w:vAlign w:val="center"/>
          </w:tcPr>
          <w:p>
            <w:pPr>
              <w:jc w:val="center"/>
            </w:pPr>
            <w:r/>
            <w:r>
              <w:rPr>
                <w:rFonts w:ascii="Times New Roman" w:hAnsi="Times New Roman" w:eastAsia="宋体"/>
                <w:b w:val="0"/>
                <w:sz w:val="21"/>
              </w:rPr>
              <w:t>Element Plus</w:t>
            </w:r>
          </w:p>
        </w:tc>
        <w:tc>
          <w:tcPr>
            <w:tcW w:type="dxa" w:w="2078"/>
            <w:vAlign w:val="center"/>
          </w:tcPr>
          <w:p>
            <w:pPr>
              <w:jc w:val="center"/>
            </w:pPr>
            <w:r/>
            <w:r>
              <w:rPr>
                <w:rFonts w:ascii="Times New Roman" w:hAnsi="Times New Roman" w:eastAsia="宋体"/>
                <w:b w:val="0"/>
                <w:sz w:val="21"/>
              </w:rPr>
              <w:t>2.6</w:t>
            </w:r>
          </w:p>
        </w:tc>
        <w:tc>
          <w:tcPr>
            <w:tcW w:type="dxa" w:w="2078"/>
            <w:vAlign w:val="center"/>
          </w:tcPr>
          <w:p>
            <w:pPr>
              <w:jc w:val="center"/>
            </w:pPr>
            <w:r/>
            <w:r>
              <w:rPr>
                <w:rFonts w:ascii="Times New Roman" w:hAnsi="Times New Roman" w:eastAsia="宋体"/>
                <w:b w:val="0"/>
                <w:sz w:val="21"/>
              </w:rPr>
              <w:t>企业级组件，文档完善</w:t>
            </w:r>
          </w:p>
        </w:tc>
      </w:tr>
      <w:tr>
        <w:tc>
          <w:tcPr>
            <w:tcW w:type="dxa" w:w="2078"/>
            <w:vAlign w:val="center"/>
          </w:tcPr>
          <w:p>
            <w:pPr>
              <w:jc w:val="left"/>
            </w:pPr>
            <w:r/>
            <w:r>
              <w:rPr>
                <w:rFonts w:ascii="Times New Roman" w:hAnsi="Times New Roman" w:eastAsia="宋体"/>
                <w:b w:val="0"/>
                <w:sz w:val="21"/>
              </w:rPr>
              <w:t>图表库</w:t>
            </w:r>
          </w:p>
        </w:tc>
        <w:tc>
          <w:tcPr>
            <w:tcW w:type="dxa" w:w="2078"/>
            <w:vAlign w:val="center"/>
          </w:tcPr>
          <w:p>
            <w:pPr>
              <w:jc w:val="center"/>
            </w:pPr>
            <w:r/>
            <w:r>
              <w:rPr>
                <w:rFonts w:ascii="Times New Roman" w:hAnsi="Times New Roman" w:eastAsia="宋体"/>
                <w:b w:val="0"/>
                <w:sz w:val="21"/>
              </w:rPr>
              <w:t>ECharts</w:t>
            </w:r>
          </w:p>
        </w:tc>
        <w:tc>
          <w:tcPr>
            <w:tcW w:type="dxa" w:w="2078"/>
            <w:vAlign w:val="center"/>
          </w:tcPr>
          <w:p>
            <w:pPr>
              <w:jc w:val="center"/>
            </w:pPr>
            <w:r/>
            <w:r>
              <w:rPr>
                <w:rFonts w:ascii="Times New Roman" w:hAnsi="Times New Roman" w:eastAsia="宋体"/>
                <w:b w:val="0"/>
                <w:sz w:val="21"/>
              </w:rPr>
              <w:t>5.5</w:t>
            </w:r>
          </w:p>
        </w:tc>
        <w:tc>
          <w:tcPr>
            <w:tcW w:type="dxa" w:w="2078"/>
            <w:vAlign w:val="center"/>
          </w:tcPr>
          <w:p>
            <w:pPr>
              <w:jc w:val="center"/>
            </w:pPr>
            <w:r/>
            <w:r>
              <w:rPr>
                <w:rFonts w:ascii="Times New Roman" w:hAnsi="Times New Roman" w:eastAsia="宋体"/>
                <w:b w:val="0"/>
                <w:sz w:val="21"/>
              </w:rPr>
              <w:t>功能丰富，性能优异</w:t>
            </w:r>
          </w:p>
        </w:tc>
      </w:tr>
      <w:tr>
        <w:tc>
          <w:tcPr>
            <w:tcW w:type="dxa" w:w="2078"/>
            <w:vAlign w:val="center"/>
          </w:tcPr>
          <w:p>
            <w:pPr>
              <w:jc w:val="left"/>
            </w:pPr>
            <w:r/>
            <w:r>
              <w:rPr>
                <w:rFonts w:ascii="Times New Roman" w:hAnsi="Times New Roman" w:eastAsia="宋体"/>
                <w:b w:val="0"/>
                <w:sz w:val="21"/>
              </w:rPr>
              <w:t>构建工具</w:t>
            </w:r>
          </w:p>
        </w:tc>
        <w:tc>
          <w:tcPr>
            <w:tcW w:type="dxa" w:w="2078"/>
            <w:vAlign w:val="center"/>
          </w:tcPr>
          <w:p>
            <w:pPr>
              <w:jc w:val="center"/>
            </w:pPr>
            <w:r/>
            <w:r>
              <w:rPr>
                <w:rFonts w:ascii="Times New Roman" w:hAnsi="Times New Roman" w:eastAsia="宋体"/>
                <w:b w:val="0"/>
                <w:sz w:val="21"/>
              </w:rPr>
              <w:t>Vite</w:t>
            </w:r>
          </w:p>
        </w:tc>
        <w:tc>
          <w:tcPr>
            <w:tcW w:type="dxa" w:w="2078"/>
            <w:vAlign w:val="center"/>
          </w:tcPr>
          <w:p>
            <w:pPr>
              <w:jc w:val="center"/>
            </w:pPr>
            <w:r/>
            <w:r>
              <w:rPr>
                <w:rFonts w:ascii="Times New Roman" w:hAnsi="Times New Roman" w:eastAsia="宋体"/>
                <w:b w:val="0"/>
                <w:sz w:val="21"/>
              </w:rPr>
              <w:t>5.4</w:t>
            </w:r>
          </w:p>
        </w:tc>
        <w:tc>
          <w:tcPr>
            <w:tcW w:type="dxa" w:w="2078"/>
            <w:vAlign w:val="center"/>
          </w:tcPr>
          <w:p>
            <w:pPr>
              <w:jc w:val="center"/>
            </w:pPr>
            <w:r/>
            <w:r>
              <w:rPr>
                <w:rFonts w:ascii="Times New Roman" w:hAnsi="Times New Roman" w:eastAsia="宋体"/>
                <w:b w:val="0"/>
                <w:sz w:val="21"/>
              </w:rPr>
              <w:t>极速热更新，开发体验佳</w:t>
            </w:r>
          </w:p>
        </w:tc>
      </w:tr>
      <w:tr>
        <w:tc>
          <w:tcPr>
            <w:tcW w:type="dxa" w:w="2078"/>
            <w:vAlign w:val="center"/>
          </w:tcPr>
          <w:p>
            <w:pPr>
              <w:jc w:val="left"/>
            </w:pPr>
            <w:r/>
            <w:r>
              <w:rPr>
                <w:rFonts w:ascii="Times New Roman" w:hAnsi="Times New Roman" w:eastAsia="宋体"/>
                <w:b w:val="0"/>
                <w:sz w:val="21"/>
              </w:rPr>
              <w:t>后端框架</w:t>
            </w:r>
          </w:p>
        </w:tc>
        <w:tc>
          <w:tcPr>
            <w:tcW w:type="dxa" w:w="2078"/>
            <w:vAlign w:val="center"/>
          </w:tcPr>
          <w:p>
            <w:pPr>
              <w:jc w:val="center"/>
            </w:pPr>
            <w:r/>
            <w:r>
              <w:rPr>
                <w:rFonts w:ascii="Times New Roman" w:hAnsi="Times New Roman" w:eastAsia="宋体"/>
                <w:b w:val="0"/>
                <w:sz w:val="21"/>
              </w:rPr>
              <w:t>FastAPI</w:t>
            </w:r>
          </w:p>
        </w:tc>
        <w:tc>
          <w:tcPr>
            <w:tcW w:type="dxa" w:w="2078"/>
            <w:vAlign w:val="center"/>
          </w:tcPr>
          <w:p>
            <w:pPr>
              <w:jc w:val="center"/>
            </w:pPr>
            <w:r/>
            <w:r>
              <w:rPr>
                <w:rFonts w:ascii="Times New Roman" w:hAnsi="Times New Roman" w:eastAsia="宋体"/>
                <w:b w:val="0"/>
                <w:sz w:val="21"/>
              </w:rPr>
              <w:t>0.111</w:t>
            </w:r>
          </w:p>
        </w:tc>
        <w:tc>
          <w:tcPr>
            <w:tcW w:type="dxa" w:w="2078"/>
            <w:vAlign w:val="center"/>
          </w:tcPr>
          <w:p>
            <w:pPr>
              <w:jc w:val="center"/>
            </w:pPr>
            <w:r/>
            <w:r>
              <w:rPr>
                <w:rFonts w:ascii="Times New Roman" w:hAnsi="Times New Roman" w:eastAsia="宋体"/>
                <w:b w:val="0"/>
                <w:sz w:val="21"/>
              </w:rPr>
              <w:t>高性能异步，自动生成文档</w:t>
            </w:r>
          </w:p>
        </w:tc>
      </w:tr>
      <w:tr>
        <w:tc>
          <w:tcPr>
            <w:tcW w:type="dxa" w:w="2078"/>
            <w:vAlign w:val="center"/>
          </w:tcPr>
          <w:p>
            <w:pPr>
              <w:jc w:val="left"/>
            </w:pPr>
            <w:r/>
            <w:r>
              <w:rPr>
                <w:rFonts w:ascii="Times New Roman" w:hAnsi="Times New Roman" w:eastAsia="宋体"/>
                <w:b w:val="0"/>
                <w:sz w:val="21"/>
              </w:rPr>
              <w:t>ORM 框架</w:t>
            </w:r>
          </w:p>
        </w:tc>
        <w:tc>
          <w:tcPr>
            <w:tcW w:type="dxa" w:w="2078"/>
            <w:vAlign w:val="center"/>
          </w:tcPr>
          <w:p>
            <w:pPr>
              <w:jc w:val="center"/>
            </w:pPr>
            <w:r/>
            <w:r>
              <w:rPr>
                <w:rFonts w:ascii="Times New Roman" w:hAnsi="Times New Roman" w:eastAsia="宋体"/>
                <w:b w:val="0"/>
                <w:sz w:val="21"/>
              </w:rPr>
              <w:t>SQLAlchemy</w:t>
            </w:r>
          </w:p>
        </w:tc>
        <w:tc>
          <w:tcPr>
            <w:tcW w:type="dxa" w:w="2078"/>
            <w:vAlign w:val="center"/>
          </w:tcPr>
          <w:p>
            <w:pPr>
              <w:jc w:val="center"/>
            </w:pPr>
            <w:r/>
            <w:r>
              <w:rPr>
                <w:rFonts w:ascii="Times New Roman" w:hAnsi="Times New Roman" w:eastAsia="宋体"/>
                <w:b w:val="0"/>
                <w:sz w:val="21"/>
              </w:rPr>
              <w:t>2.0</w:t>
            </w:r>
          </w:p>
        </w:tc>
        <w:tc>
          <w:tcPr>
            <w:tcW w:type="dxa" w:w="2078"/>
            <w:vAlign w:val="center"/>
          </w:tcPr>
          <w:p>
            <w:pPr>
              <w:jc w:val="center"/>
            </w:pPr>
            <w:r/>
            <w:r>
              <w:rPr>
                <w:rFonts w:ascii="Times New Roman" w:hAnsi="Times New Roman" w:eastAsia="宋体"/>
                <w:b w:val="0"/>
                <w:sz w:val="21"/>
              </w:rPr>
              <w:t>Python 生态成熟 ORM</w:t>
            </w:r>
          </w:p>
        </w:tc>
      </w:tr>
      <w:tr>
        <w:tc>
          <w:tcPr>
            <w:tcW w:type="dxa" w:w="2078"/>
            <w:vAlign w:val="center"/>
          </w:tcPr>
          <w:p>
            <w:pPr>
              <w:jc w:val="left"/>
            </w:pPr>
            <w:r/>
            <w:r>
              <w:rPr>
                <w:rFonts w:ascii="Times New Roman" w:hAnsi="Times New Roman" w:eastAsia="宋体"/>
                <w:b w:val="0"/>
                <w:sz w:val="21"/>
              </w:rPr>
              <w:t>数据库</w:t>
            </w:r>
          </w:p>
        </w:tc>
        <w:tc>
          <w:tcPr>
            <w:tcW w:type="dxa" w:w="2078"/>
            <w:vAlign w:val="center"/>
          </w:tcPr>
          <w:p>
            <w:pPr>
              <w:jc w:val="center"/>
            </w:pPr>
            <w:r/>
            <w:r>
              <w:rPr>
                <w:rFonts w:ascii="Times New Roman" w:hAnsi="Times New Roman" w:eastAsia="宋体"/>
                <w:b w:val="0"/>
                <w:sz w:val="21"/>
              </w:rPr>
              <w:t>SQLite → MySQL</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开发用 SQLite，生产用 MySQL</w:t>
            </w:r>
          </w:p>
        </w:tc>
      </w:tr>
      <w:tr>
        <w:tc>
          <w:tcPr>
            <w:tcW w:type="dxa" w:w="2078"/>
            <w:vAlign w:val="center"/>
          </w:tcPr>
          <w:p>
            <w:pPr>
              <w:jc w:val="left"/>
            </w:pPr>
            <w:r/>
            <w:r>
              <w:rPr>
                <w:rFonts w:ascii="Times New Roman" w:hAnsi="Times New Roman" w:eastAsia="宋体"/>
                <w:b w:val="0"/>
                <w:sz w:val="21"/>
              </w:rPr>
              <w:t>身份认证</w:t>
            </w:r>
          </w:p>
        </w:tc>
        <w:tc>
          <w:tcPr>
            <w:tcW w:type="dxa" w:w="2078"/>
            <w:vAlign w:val="center"/>
          </w:tcPr>
          <w:p>
            <w:pPr>
              <w:jc w:val="center"/>
            </w:pPr>
            <w:r/>
            <w:r>
              <w:rPr>
                <w:rFonts w:ascii="Times New Roman" w:hAnsi="Times New Roman" w:eastAsia="宋体"/>
                <w:b w:val="0"/>
                <w:sz w:val="21"/>
              </w:rPr>
              <w:t>JWT</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无状态鉴权，便于水平扩展</w:t>
            </w:r>
          </w:p>
        </w:tc>
      </w:tr>
      <w:tr>
        <w:tc>
          <w:tcPr>
            <w:tcW w:type="dxa" w:w="2078"/>
            <w:vAlign w:val="center"/>
          </w:tcPr>
          <w:p>
            <w:pPr>
              <w:jc w:val="left"/>
            </w:pPr>
            <w:r/>
            <w:r>
              <w:rPr>
                <w:rFonts w:ascii="Times New Roman" w:hAnsi="Times New Roman" w:eastAsia="宋体"/>
                <w:b w:val="0"/>
                <w:sz w:val="21"/>
              </w:rPr>
              <w:t>AI 引擎</w:t>
            </w:r>
          </w:p>
        </w:tc>
        <w:tc>
          <w:tcPr>
            <w:tcW w:type="dxa" w:w="2078"/>
            <w:vAlign w:val="center"/>
          </w:tcPr>
          <w:p>
            <w:pPr>
              <w:jc w:val="center"/>
            </w:pPr>
            <w:r/>
            <w:r>
              <w:rPr>
                <w:rFonts w:ascii="Times New Roman" w:hAnsi="Times New Roman" w:eastAsia="宋体"/>
                <w:b w:val="0"/>
                <w:sz w:val="21"/>
              </w:rPr>
              <w:t>DeepSeek API</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国产开源大模型，中文表现优异</w:t>
            </w:r>
          </w:p>
        </w:tc>
      </w:tr>
      <w:tr>
        <w:tc>
          <w:tcPr>
            <w:tcW w:type="dxa" w:w="2078"/>
            <w:vAlign w:val="center"/>
            <w:tcBorders>
              <w:bottom w:val="single" w:sz="12" w:color="000000"/>
            </w:tcBorders>
          </w:tcPr>
          <w:p>
            <w:pPr>
              <w:jc w:val="left"/>
            </w:pPr>
            <w:r/>
            <w:r>
              <w:rPr>
                <w:rFonts w:ascii="Times New Roman" w:hAnsi="Times New Roman" w:eastAsia="宋体"/>
                <w:b w:val="0"/>
                <w:sz w:val="21"/>
              </w:rPr>
              <w:t>PDF 生成</w:t>
            </w:r>
          </w:p>
        </w:tc>
        <w:tc>
          <w:tcPr>
            <w:tcW w:type="dxa" w:w="2078"/>
            <w:vAlign w:val="center"/>
            <w:tcBorders>
              <w:bottom w:val="single" w:sz="12" w:color="000000"/>
            </w:tcBorders>
          </w:tcPr>
          <w:p>
            <w:pPr>
              <w:jc w:val="center"/>
            </w:pPr>
            <w:r/>
            <w:r>
              <w:rPr>
                <w:rFonts w:ascii="Times New Roman" w:hAnsi="Times New Roman" w:eastAsia="宋体"/>
                <w:b w:val="0"/>
                <w:sz w:val="21"/>
              </w:rPr>
              <w:t>reportlab</w:t>
            </w:r>
          </w:p>
        </w:tc>
        <w:tc>
          <w:tcPr>
            <w:tcW w:type="dxa" w:w="2078"/>
            <w:vAlign w:val="center"/>
            <w:tcBorders>
              <w:bottom w:val="single" w:sz="12" w:color="000000"/>
            </w:tcBorders>
          </w:tcPr>
          <w:p>
            <w:pPr>
              <w:jc w:val="center"/>
            </w:pPr>
            <w:r/>
            <w:r>
              <w:rPr>
                <w:rFonts w:ascii="Times New Roman" w:hAnsi="Times New Roman" w:eastAsia="宋体"/>
                <w:b w:val="0"/>
                <w:sz w:val="21"/>
              </w:rPr>
              <w:t>4.0</w:t>
            </w:r>
          </w:p>
        </w:tc>
        <w:tc>
          <w:tcPr>
            <w:tcW w:type="dxa" w:w="2078"/>
            <w:vAlign w:val="center"/>
            <w:tcBorders>
              <w:bottom w:val="single" w:sz="12" w:color="000000"/>
            </w:tcBorders>
          </w:tcPr>
          <w:p>
            <w:pPr>
              <w:jc w:val="center"/>
            </w:pPr>
            <w:r/>
            <w:r>
              <w:rPr>
                <w:rFonts w:ascii="Times New Roman" w:hAnsi="Times New Roman" w:eastAsia="宋体"/>
                <w:b w:val="0"/>
                <w:sz w:val="21"/>
              </w:rPr>
              <w:t>Python 原生 PDF 库</w:t>
            </w:r>
          </w:p>
        </w:tc>
      </w:tr>
    </w:tbl>
    <w:p>
      <w:pPr>
        <w:spacing w:line="360" w:lineRule="auto" w:before="240" w:after="120"/>
        <w:jc w:val="left"/>
      </w:pPr>
      <w:r>
        <w:rPr>
          <w:rFonts w:ascii="Times New Roman" w:hAnsi="Times New Roman" w:eastAsia="黑体"/>
          <w:b/>
          <w:sz w:val="28"/>
        </w:rPr>
        <w:t>7.2 部署方式</w:t>
      </w:r>
    </w:p>
    <w:p>
      <w:pPr>
        <w:spacing w:line="360" w:lineRule="auto" w:before="0" w:after="0"/>
        <w:ind w:firstLine="480"/>
        <w:jc w:val="left"/>
      </w:pPr>
      <w:r>
        <w:rPr>
          <w:rFonts w:ascii="Times New Roman" w:hAnsi="Times New Roman" w:eastAsia="宋体"/>
          <w:b w:val="0"/>
          <w:sz w:val="24"/>
        </w:rPr>
        <w:t>后端启动：</w:t>
      </w:r>
    </w:p>
    <w:p>
      <w:pPr>
        <w:spacing w:line="360" w:lineRule="auto" w:before="0" w:after="0"/>
        <w:jc w:val="left"/>
      </w:pPr>
      <w:r>
        <w:rPr>
          <w:rFonts w:ascii="Times New Roman" w:hAnsi="Times New Roman" w:eastAsia="宋体"/>
          <w:b w:val="0"/>
          <w:sz w:val="24"/>
        </w:rPr>
        <w:t>cd backend &amp;&amp; pip install -r requirements.txt &amp;&amp; python run.py</w:t>
      </w:r>
    </w:p>
    <w:p>
      <w:pPr>
        <w:spacing w:line="360" w:lineRule="auto" w:before="0" w:after="0"/>
        <w:ind w:firstLine="480"/>
        <w:jc w:val="left"/>
      </w:pPr>
      <w:r>
        <w:rPr>
          <w:rFonts w:ascii="Times New Roman" w:hAnsi="Times New Roman" w:eastAsia="宋体"/>
          <w:b w:val="0"/>
          <w:sz w:val="24"/>
        </w:rPr>
        <w:t>默认地址：http://localhost:8000，API 文档：/docs</w:t>
      </w:r>
    </w:p>
    <w:p>
      <w:pPr>
        <w:spacing w:line="360" w:lineRule="auto" w:before="0" w:after="0"/>
        <w:ind w:firstLine="480"/>
        <w:jc w:val="left"/>
      </w:pPr>
      <w:r>
        <w:rPr>
          <w:rFonts w:ascii="Times New Roman" w:hAnsi="Times New Roman" w:eastAsia="宋体"/>
          <w:b w:val="0"/>
          <w:sz w:val="24"/>
        </w:rPr>
        <w:t>前端启动：</w:t>
      </w:r>
    </w:p>
    <w:p>
      <w:pPr>
        <w:spacing w:line="360" w:lineRule="auto" w:before="0" w:after="0"/>
        <w:jc w:val="left"/>
      </w:pPr>
      <w:r>
        <w:rPr>
          <w:rFonts w:ascii="Times New Roman" w:hAnsi="Times New Roman" w:eastAsia="宋体"/>
          <w:b w:val="0"/>
          <w:sz w:val="24"/>
        </w:rPr>
        <w:t>cd frontend &amp;&amp; npm install &amp;&amp; npm run dev</w:t>
      </w:r>
    </w:p>
    <w:p>
      <w:pPr>
        <w:spacing w:line="360" w:lineRule="auto" w:before="0" w:after="0"/>
        <w:ind w:firstLine="480"/>
        <w:jc w:val="left"/>
      </w:pPr>
      <w:r>
        <w:rPr>
          <w:rFonts w:ascii="Times New Roman" w:hAnsi="Times New Roman" w:eastAsia="宋体"/>
          <w:b w:val="0"/>
          <w:sz w:val="24"/>
        </w:rPr>
        <w:t>默认地址：http://localhost:5173，自动代理 /api 到后端 8000</w:t>
      </w:r>
    </w:p>
    <w:p>
      <w:r>
        <w:br w:type="page"/>
      </w:r>
    </w:p>
    <w:p>
      <w:pPr>
        <w:spacing w:line="360" w:lineRule="auto" w:before="0" w:after="360"/>
        <w:jc w:val="center"/>
        <w:pBdr>
          <w:bottom w:val="single" w:sz="12" w:space="4" w:color="000000"/>
        </w:pBdr>
      </w:pPr>
      <w:r>
        <w:rPr>
          <w:rFonts w:ascii="Times New Roman" w:hAnsi="Times New Roman" w:eastAsia="黑体"/>
          <w:b/>
          <w:sz w:val="36"/>
        </w:rPr>
        <w:t>附录  指标体系权重表</w:t>
      </w:r>
    </w:p>
    <w:p>
      <w:pPr>
        <w:spacing w:line="360" w:lineRule="auto" w:before="240" w:after="120"/>
        <w:jc w:val="left"/>
      </w:pPr>
      <w:r>
        <w:rPr>
          <w:rFonts w:ascii="Times New Roman" w:hAnsi="Times New Roman" w:eastAsia="黑体"/>
          <w:b/>
          <w:sz w:val="28"/>
        </w:rPr>
        <w:t>附.1 生态产品价值实现指标（11 项）</w:t>
      </w:r>
    </w:p>
    <w:p>
      <w:pPr>
        <w:spacing w:before="120" w:after="60"/>
        <w:jc w:val="center"/>
      </w:pPr>
      <w:r>
        <w:rPr>
          <w:rFonts w:ascii="Times New Roman" w:hAnsi="Times New Roman" w:eastAsia="黑体"/>
          <w:b/>
          <w:sz w:val="21"/>
        </w:rPr>
        <w:t>表 附-1  生态产品价值实现指标权重</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078"/>
        <w:gridCol w:w="2078"/>
        <w:gridCol w:w="2078"/>
        <w:gridCol w:w="2078"/>
      </w:tblGrid>
      <w:tr>
        <w:tc>
          <w:tcPr>
            <w:tcW w:type="dxa" w:w="2078"/>
            <w:vAlign w:val="center"/>
            <w:tcBorders>
              <w:top w:val="single" w:sz="12" w:color="000000"/>
              <w:bottom w:val="single" w:sz="6" w:color="000000"/>
            </w:tcBorders>
          </w:tcPr>
          <w:p>
            <w:pPr>
              <w:jc w:val="center"/>
            </w:pPr>
            <w:r/>
            <w:r>
              <w:rPr>
                <w:rFonts w:ascii="Times New Roman" w:hAnsi="Times New Roman" w:eastAsia="黑体"/>
                <w:b/>
                <w:sz w:val="21"/>
              </w:rPr>
              <w:t>准则层</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指标</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单位</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权重</w:t>
            </w:r>
          </w:p>
        </w:tc>
      </w:tr>
      <w:tr>
        <w:tc>
          <w:tcPr>
            <w:tcW w:type="dxa" w:w="2078"/>
            <w:vAlign w:val="center"/>
          </w:tcPr>
          <w:p>
            <w:pPr>
              <w:jc w:val="left"/>
            </w:pPr>
            <w:r/>
            <w:r>
              <w:rPr>
                <w:rFonts w:ascii="Times New Roman" w:hAnsi="Times New Roman" w:eastAsia="宋体"/>
                <w:b w:val="0"/>
                <w:sz w:val="21"/>
              </w:rPr>
              <w:t>生态效益</w:t>
            </w:r>
          </w:p>
        </w:tc>
        <w:tc>
          <w:tcPr>
            <w:tcW w:type="dxa" w:w="2078"/>
            <w:vAlign w:val="center"/>
          </w:tcPr>
          <w:p>
            <w:pPr>
              <w:jc w:val="center"/>
            </w:pPr>
            <w:r/>
            <w:r>
              <w:rPr>
                <w:rFonts w:ascii="Times New Roman" w:hAnsi="Times New Roman" w:eastAsia="宋体"/>
                <w:b w:val="0"/>
                <w:sz w:val="21"/>
              </w:rPr>
              <w:t>森林覆盖率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0.2857</w:t>
            </w:r>
          </w:p>
        </w:tc>
      </w:tr>
      <w:tr>
        <w:tc>
          <w:tcPr>
            <w:tcW w:type="dxa" w:w="2078"/>
            <w:vAlign w:val="center"/>
          </w:tcPr>
          <w:p>
            <w:pPr>
              <w:jc w:val="left"/>
            </w:pPr>
            <w:r/>
            <w:r>
              <w:rPr>
                <w:rFonts w:ascii="Times New Roman" w:hAnsi="Times New Roman" w:eastAsia="宋体"/>
                <w:b w:val="0"/>
                <w:sz w:val="21"/>
              </w:rPr>
              <w:t>生态效益</w:t>
            </w:r>
          </w:p>
        </w:tc>
        <w:tc>
          <w:tcPr>
            <w:tcW w:type="dxa" w:w="2078"/>
            <w:vAlign w:val="center"/>
          </w:tcPr>
          <w:p>
            <w:pPr>
              <w:jc w:val="center"/>
            </w:pPr>
            <w:r/>
            <w:r>
              <w:rPr>
                <w:rFonts w:ascii="Times New Roman" w:hAnsi="Times New Roman" w:eastAsia="宋体"/>
                <w:b w:val="0"/>
                <w:sz w:val="21"/>
              </w:rPr>
              <w:t>空气质量优良率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0.1429</w:t>
            </w:r>
          </w:p>
        </w:tc>
      </w:tr>
      <w:tr>
        <w:tc>
          <w:tcPr>
            <w:tcW w:type="dxa" w:w="2078"/>
            <w:vAlign w:val="center"/>
          </w:tcPr>
          <w:p>
            <w:pPr>
              <w:jc w:val="left"/>
            </w:pPr>
            <w:r/>
            <w:r>
              <w:rPr>
                <w:rFonts w:ascii="Times New Roman" w:hAnsi="Times New Roman" w:eastAsia="宋体"/>
                <w:b w:val="0"/>
                <w:sz w:val="21"/>
              </w:rPr>
              <w:t>生态效益</w:t>
            </w:r>
          </w:p>
        </w:tc>
        <w:tc>
          <w:tcPr>
            <w:tcW w:type="dxa" w:w="2078"/>
            <w:vAlign w:val="center"/>
          </w:tcPr>
          <w:p>
            <w:pPr>
              <w:jc w:val="center"/>
            </w:pPr>
            <w:r/>
            <w:r>
              <w:rPr>
                <w:rFonts w:ascii="Times New Roman" w:hAnsi="Times New Roman" w:eastAsia="宋体"/>
                <w:b w:val="0"/>
                <w:sz w:val="21"/>
              </w:rPr>
              <w:t>水质达标率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0.1429</w:t>
            </w:r>
          </w:p>
        </w:tc>
      </w:tr>
      <w:tr>
        <w:tc>
          <w:tcPr>
            <w:tcW w:type="dxa" w:w="2078"/>
            <w:vAlign w:val="center"/>
          </w:tcPr>
          <w:p>
            <w:pPr>
              <w:jc w:val="left"/>
            </w:pPr>
            <w:r/>
            <w:r>
              <w:rPr>
                <w:rFonts w:ascii="Times New Roman" w:hAnsi="Times New Roman" w:eastAsia="宋体"/>
                <w:b w:val="0"/>
                <w:sz w:val="21"/>
              </w:rPr>
              <w:t>经济效益</w:t>
            </w:r>
          </w:p>
        </w:tc>
        <w:tc>
          <w:tcPr>
            <w:tcW w:type="dxa" w:w="2078"/>
            <w:vAlign w:val="center"/>
          </w:tcPr>
          <w:p>
            <w:pPr>
              <w:jc w:val="center"/>
            </w:pPr>
            <w:r/>
            <w:r>
              <w:rPr>
                <w:rFonts w:ascii="Times New Roman" w:hAnsi="Times New Roman" w:eastAsia="宋体"/>
                <w:b w:val="0"/>
                <w:sz w:val="21"/>
              </w:rPr>
              <w:t>地区生产总值</w:t>
            </w:r>
          </w:p>
        </w:tc>
        <w:tc>
          <w:tcPr>
            <w:tcW w:type="dxa" w:w="2078"/>
            <w:vAlign w:val="center"/>
          </w:tcPr>
          <w:p>
            <w:pPr>
              <w:jc w:val="center"/>
            </w:pPr>
            <w:r/>
            <w:r>
              <w:rPr>
                <w:rFonts w:ascii="Times New Roman" w:hAnsi="Times New Roman" w:eastAsia="宋体"/>
                <w:b w:val="0"/>
                <w:sz w:val="21"/>
              </w:rPr>
              <w:t>万元</w:t>
            </w:r>
          </w:p>
        </w:tc>
        <w:tc>
          <w:tcPr>
            <w:tcW w:type="dxa" w:w="2078"/>
            <w:vAlign w:val="center"/>
          </w:tcPr>
          <w:p>
            <w:pPr>
              <w:jc w:val="center"/>
            </w:pPr>
            <w:r/>
            <w:r>
              <w:rPr>
                <w:rFonts w:ascii="Times New Roman" w:hAnsi="Times New Roman" w:eastAsia="宋体"/>
                <w:b w:val="0"/>
                <w:sz w:val="21"/>
              </w:rPr>
              <w:t>0.2676</w:t>
            </w:r>
          </w:p>
        </w:tc>
      </w:tr>
      <w:tr>
        <w:tc>
          <w:tcPr>
            <w:tcW w:type="dxa" w:w="2078"/>
            <w:vAlign w:val="center"/>
          </w:tcPr>
          <w:p>
            <w:pPr>
              <w:jc w:val="left"/>
            </w:pPr>
            <w:r/>
            <w:r>
              <w:rPr>
                <w:rFonts w:ascii="Times New Roman" w:hAnsi="Times New Roman" w:eastAsia="宋体"/>
                <w:b w:val="0"/>
                <w:sz w:val="21"/>
              </w:rPr>
              <w:t>经济效益</w:t>
            </w:r>
          </w:p>
        </w:tc>
        <w:tc>
          <w:tcPr>
            <w:tcW w:type="dxa" w:w="2078"/>
            <w:vAlign w:val="center"/>
          </w:tcPr>
          <w:p>
            <w:pPr>
              <w:jc w:val="center"/>
            </w:pPr>
            <w:r/>
            <w:r>
              <w:rPr>
                <w:rFonts w:ascii="Times New Roman" w:hAnsi="Times New Roman" w:eastAsia="宋体"/>
                <w:b w:val="0"/>
                <w:sz w:val="21"/>
              </w:rPr>
              <w:t>生态产业增加值</w:t>
            </w:r>
          </w:p>
        </w:tc>
        <w:tc>
          <w:tcPr>
            <w:tcW w:type="dxa" w:w="2078"/>
            <w:vAlign w:val="center"/>
          </w:tcPr>
          <w:p>
            <w:pPr>
              <w:jc w:val="center"/>
            </w:pPr>
            <w:r/>
            <w:r>
              <w:rPr>
                <w:rFonts w:ascii="Times New Roman" w:hAnsi="Times New Roman" w:eastAsia="宋体"/>
                <w:b w:val="0"/>
                <w:sz w:val="21"/>
              </w:rPr>
              <w:t>万元</w:t>
            </w:r>
          </w:p>
        </w:tc>
        <w:tc>
          <w:tcPr>
            <w:tcW w:type="dxa" w:w="2078"/>
            <w:vAlign w:val="center"/>
          </w:tcPr>
          <w:p>
            <w:pPr>
              <w:jc w:val="center"/>
            </w:pPr>
            <w:r/>
            <w:r>
              <w:rPr>
                <w:rFonts w:ascii="Times New Roman" w:hAnsi="Times New Roman" w:eastAsia="宋体"/>
                <w:b w:val="0"/>
                <w:sz w:val="21"/>
              </w:rPr>
              <w:t>0.1850</w:t>
            </w:r>
          </w:p>
        </w:tc>
      </w:tr>
      <w:tr>
        <w:tc>
          <w:tcPr>
            <w:tcW w:type="dxa" w:w="2078"/>
            <w:vAlign w:val="center"/>
          </w:tcPr>
          <w:p>
            <w:pPr>
              <w:jc w:val="left"/>
            </w:pPr>
            <w:r/>
            <w:r>
              <w:rPr>
                <w:rFonts w:ascii="Times New Roman" w:hAnsi="Times New Roman" w:eastAsia="宋体"/>
                <w:b w:val="0"/>
                <w:sz w:val="21"/>
              </w:rPr>
              <w:t>经济效益</w:t>
            </w:r>
          </w:p>
        </w:tc>
        <w:tc>
          <w:tcPr>
            <w:tcW w:type="dxa" w:w="2078"/>
            <w:vAlign w:val="center"/>
          </w:tcPr>
          <w:p>
            <w:pPr>
              <w:jc w:val="center"/>
            </w:pPr>
            <w:r/>
            <w:r>
              <w:rPr>
                <w:rFonts w:ascii="Times New Roman" w:hAnsi="Times New Roman" w:eastAsia="宋体"/>
                <w:b w:val="0"/>
                <w:sz w:val="21"/>
              </w:rPr>
              <w:t>生态补偿金额</w:t>
            </w:r>
          </w:p>
        </w:tc>
        <w:tc>
          <w:tcPr>
            <w:tcW w:type="dxa" w:w="2078"/>
            <w:vAlign w:val="center"/>
          </w:tcPr>
          <w:p>
            <w:pPr>
              <w:jc w:val="center"/>
            </w:pPr>
            <w:r/>
            <w:r>
              <w:rPr>
                <w:rFonts w:ascii="Times New Roman" w:hAnsi="Times New Roman" w:eastAsia="宋体"/>
                <w:b w:val="0"/>
                <w:sz w:val="21"/>
              </w:rPr>
              <w:t>万元</w:t>
            </w:r>
          </w:p>
        </w:tc>
        <w:tc>
          <w:tcPr>
            <w:tcW w:type="dxa" w:w="2078"/>
            <w:vAlign w:val="center"/>
          </w:tcPr>
          <w:p>
            <w:pPr>
              <w:jc w:val="center"/>
            </w:pPr>
            <w:r/>
            <w:r>
              <w:rPr>
                <w:rFonts w:ascii="Times New Roman" w:hAnsi="Times New Roman" w:eastAsia="宋体"/>
                <w:b w:val="0"/>
                <w:sz w:val="21"/>
              </w:rPr>
              <w:t>0.0866</w:t>
            </w:r>
          </w:p>
        </w:tc>
      </w:tr>
      <w:tr>
        <w:tc>
          <w:tcPr>
            <w:tcW w:type="dxa" w:w="2078"/>
            <w:vAlign w:val="center"/>
          </w:tcPr>
          <w:p>
            <w:pPr>
              <w:jc w:val="left"/>
            </w:pPr>
            <w:r/>
            <w:r>
              <w:rPr>
                <w:rFonts w:ascii="Times New Roman" w:hAnsi="Times New Roman" w:eastAsia="宋体"/>
                <w:b w:val="0"/>
                <w:sz w:val="21"/>
              </w:rPr>
              <w:t>社会效益</w:t>
            </w:r>
          </w:p>
        </w:tc>
        <w:tc>
          <w:tcPr>
            <w:tcW w:type="dxa" w:w="2078"/>
            <w:vAlign w:val="center"/>
          </w:tcPr>
          <w:p>
            <w:pPr>
              <w:jc w:val="center"/>
            </w:pPr>
            <w:r/>
            <w:r>
              <w:rPr>
                <w:rFonts w:ascii="Times New Roman" w:hAnsi="Times New Roman" w:eastAsia="宋体"/>
                <w:b w:val="0"/>
                <w:sz w:val="21"/>
              </w:rPr>
              <w:t>生态就业人数</w:t>
            </w:r>
          </w:p>
        </w:tc>
        <w:tc>
          <w:tcPr>
            <w:tcW w:type="dxa" w:w="2078"/>
            <w:vAlign w:val="center"/>
          </w:tcPr>
          <w:p>
            <w:pPr>
              <w:jc w:val="center"/>
            </w:pPr>
            <w:r/>
            <w:r>
              <w:rPr>
                <w:rFonts w:ascii="Times New Roman" w:hAnsi="Times New Roman" w:eastAsia="宋体"/>
                <w:b w:val="0"/>
                <w:sz w:val="21"/>
              </w:rPr>
              <w:t>人</w:t>
            </w:r>
          </w:p>
        </w:tc>
        <w:tc>
          <w:tcPr>
            <w:tcW w:type="dxa" w:w="2078"/>
            <w:vAlign w:val="center"/>
          </w:tcPr>
          <w:p>
            <w:pPr>
              <w:jc w:val="center"/>
            </w:pPr>
            <w:r/>
            <w:r>
              <w:rPr>
                <w:rFonts w:ascii="Times New Roman" w:hAnsi="Times New Roman" w:eastAsia="宋体"/>
                <w:b w:val="0"/>
                <w:sz w:val="21"/>
              </w:rPr>
              <w:t>0.0303</w:t>
            </w:r>
          </w:p>
        </w:tc>
      </w:tr>
      <w:tr>
        <w:tc>
          <w:tcPr>
            <w:tcW w:type="dxa" w:w="2078"/>
            <w:vAlign w:val="center"/>
          </w:tcPr>
          <w:p>
            <w:pPr>
              <w:jc w:val="left"/>
            </w:pPr>
            <w:r/>
            <w:r>
              <w:rPr>
                <w:rFonts w:ascii="Times New Roman" w:hAnsi="Times New Roman" w:eastAsia="宋体"/>
                <w:b w:val="0"/>
                <w:sz w:val="21"/>
              </w:rPr>
              <w:t>社会效益</w:t>
            </w:r>
          </w:p>
        </w:tc>
        <w:tc>
          <w:tcPr>
            <w:tcW w:type="dxa" w:w="2078"/>
            <w:vAlign w:val="center"/>
          </w:tcPr>
          <w:p>
            <w:pPr>
              <w:jc w:val="center"/>
            </w:pPr>
            <w:r/>
            <w:r>
              <w:rPr>
                <w:rFonts w:ascii="Times New Roman" w:hAnsi="Times New Roman" w:eastAsia="宋体"/>
                <w:b w:val="0"/>
                <w:sz w:val="21"/>
              </w:rPr>
              <w:t>公众满意度</w:t>
            </w:r>
          </w:p>
        </w:tc>
        <w:tc>
          <w:tcPr>
            <w:tcW w:type="dxa" w:w="2078"/>
            <w:vAlign w:val="center"/>
          </w:tcPr>
          <w:p>
            <w:pPr>
              <w:jc w:val="center"/>
            </w:pPr>
            <w:r/>
            <w:r>
              <w:rPr>
                <w:rFonts w:ascii="Times New Roman" w:hAnsi="Times New Roman" w:eastAsia="宋体"/>
                <w:b w:val="0"/>
                <w:sz w:val="21"/>
              </w:rPr>
              <w:t>分</w:t>
            </w:r>
          </w:p>
        </w:tc>
        <w:tc>
          <w:tcPr>
            <w:tcW w:type="dxa" w:w="2078"/>
            <w:vAlign w:val="center"/>
          </w:tcPr>
          <w:p>
            <w:pPr>
              <w:jc w:val="center"/>
            </w:pPr>
            <w:r/>
            <w:r>
              <w:rPr>
                <w:rFonts w:ascii="Times New Roman" w:hAnsi="Times New Roman" w:eastAsia="宋体"/>
                <w:b w:val="0"/>
                <w:sz w:val="21"/>
              </w:rPr>
              <w:t>0.0303</w:t>
            </w:r>
          </w:p>
        </w:tc>
      </w:tr>
      <w:tr>
        <w:tc>
          <w:tcPr>
            <w:tcW w:type="dxa" w:w="2078"/>
            <w:vAlign w:val="center"/>
          </w:tcPr>
          <w:p>
            <w:pPr>
              <w:jc w:val="left"/>
            </w:pPr>
            <w:r/>
            <w:r>
              <w:rPr>
                <w:rFonts w:ascii="Times New Roman" w:hAnsi="Times New Roman" w:eastAsia="宋体"/>
                <w:b w:val="0"/>
                <w:sz w:val="21"/>
              </w:rPr>
              <w:t>社会效益</w:t>
            </w:r>
          </w:p>
        </w:tc>
        <w:tc>
          <w:tcPr>
            <w:tcW w:type="dxa" w:w="2078"/>
            <w:vAlign w:val="center"/>
          </w:tcPr>
          <w:p>
            <w:pPr>
              <w:jc w:val="center"/>
            </w:pPr>
            <w:r/>
            <w:r>
              <w:rPr>
                <w:rFonts w:ascii="Times New Roman" w:hAnsi="Times New Roman" w:eastAsia="宋体"/>
                <w:b w:val="0"/>
                <w:sz w:val="21"/>
              </w:rPr>
              <w:t>生态产品认知度</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0.0152</w:t>
            </w:r>
          </w:p>
        </w:tc>
      </w:tr>
      <w:tr>
        <w:tc>
          <w:tcPr>
            <w:tcW w:type="dxa" w:w="2078"/>
            <w:vAlign w:val="center"/>
          </w:tcPr>
          <w:p>
            <w:pPr>
              <w:jc w:val="left"/>
            </w:pPr>
            <w:r/>
            <w:r>
              <w:rPr>
                <w:rFonts w:ascii="Times New Roman" w:hAnsi="Times New Roman" w:eastAsia="宋体"/>
                <w:b w:val="0"/>
                <w:sz w:val="21"/>
              </w:rPr>
              <w:t>社会效益</w:t>
            </w:r>
          </w:p>
        </w:tc>
        <w:tc>
          <w:tcPr>
            <w:tcW w:type="dxa" w:w="2078"/>
            <w:vAlign w:val="center"/>
          </w:tcPr>
          <w:p>
            <w:pPr>
              <w:jc w:val="center"/>
            </w:pPr>
            <w:r/>
            <w:r>
              <w:rPr>
                <w:rFonts w:ascii="Times New Roman" w:hAnsi="Times New Roman" w:eastAsia="宋体"/>
                <w:b w:val="0"/>
                <w:sz w:val="21"/>
              </w:rPr>
              <w:t>参与生态保护人次</w:t>
            </w:r>
          </w:p>
        </w:tc>
        <w:tc>
          <w:tcPr>
            <w:tcW w:type="dxa" w:w="2078"/>
            <w:vAlign w:val="center"/>
          </w:tcPr>
          <w:p>
            <w:pPr>
              <w:jc w:val="center"/>
            </w:pPr>
            <w:r/>
            <w:r>
              <w:rPr>
                <w:rFonts w:ascii="Times New Roman" w:hAnsi="Times New Roman" w:eastAsia="宋体"/>
                <w:b w:val="0"/>
                <w:sz w:val="21"/>
              </w:rPr>
              <w:t>人次</w:t>
            </w:r>
          </w:p>
        </w:tc>
        <w:tc>
          <w:tcPr>
            <w:tcW w:type="dxa" w:w="2078"/>
            <w:vAlign w:val="center"/>
          </w:tcPr>
          <w:p>
            <w:pPr>
              <w:jc w:val="center"/>
            </w:pPr>
            <w:r/>
            <w:r>
              <w:rPr>
                <w:rFonts w:ascii="Times New Roman" w:hAnsi="Times New Roman" w:eastAsia="宋体"/>
                <w:b w:val="0"/>
                <w:sz w:val="21"/>
              </w:rPr>
              <w:t>0.0114</w:t>
            </w:r>
          </w:p>
        </w:tc>
      </w:tr>
      <w:tr>
        <w:tc>
          <w:tcPr>
            <w:tcW w:type="dxa" w:w="2078"/>
            <w:vAlign w:val="center"/>
            <w:tcBorders>
              <w:bottom w:val="single" w:sz="12" w:color="000000"/>
            </w:tcBorders>
          </w:tcPr>
          <w:p>
            <w:pPr>
              <w:jc w:val="left"/>
            </w:pPr>
            <w:r/>
            <w:r>
              <w:rPr>
                <w:rFonts w:ascii="Times New Roman" w:hAnsi="Times New Roman" w:eastAsia="宋体"/>
                <w:b w:val="0"/>
                <w:sz w:val="21"/>
              </w:rPr>
              <w:t>社会效益</w:t>
            </w:r>
          </w:p>
        </w:tc>
        <w:tc>
          <w:tcPr>
            <w:tcW w:type="dxa" w:w="2078"/>
            <w:vAlign w:val="center"/>
            <w:tcBorders>
              <w:bottom w:val="single" w:sz="12" w:color="000000"/>
            </w:tcBorders>
          </w:tcPr>
          <w:p>
            <w:pPr>
              <w:jc w:val="center"/>
            </w:pPr>
            <w:r/>
            <w:r>
              <w:rPr>
                <w:rFonts w:ascii="Times New Roman" w:hAnsi="Times New Roman" w:eastAsia="宋体"/>
                <w:b w:val="0"/>
                <w:sz w:val="21"/>
              </w:rPr>
              <w:t>生态培训覆盖</w:t>
            </w:r>
          </w:p>
        </w:tc>
        <w:tc>
          <w:tcPr>
            <w:tcW w:type="dxa" w:w="2078"/>
            <w:vAlign w:val="center"/>
            <w:tcBorders>
              <w:bottom w:val="single" w:sz="12" w:color="000000"/>
            </w:tcBorders>
          </w:tcPr>
          <w:p>
            <w:pPr>
              <w:jc w:val="center"/>
            </w:pPr>
            <w:r/>
            <w:r>
              <w:rPr>
                <w:rFonts w:ascii="Times New Roman" w:hAnsi="Times New Roman" w:eastAsia="宋体"/>
                <w:b w:val="0"/>
                <w:sz w:val="21"/>
              </w:rPr>
              <w:t>人次</w:t>
            </w:r>
          </w:p>
        </w:tc>
        <w:tc>
          <w:tcPr>
            <w:tcW w:type="dxa" w:w="2078"/>
            <w:vAlign w:val="center"/>
            <w:tcBorders>
              <w:bottom w:val="single" w:sz="12" w:color="000000"/>
            </w:tcBorders>
          </w:tcPr>
          <w:p>
            <w:pPr>
              <w:jc w:val="center"/>
            </w:pPr>
            <w:r/>
            <w:r>
              <w:rPr>
                <w:rFonts w:ascii="Times New Roman" w:hAnsi="Times New Roman" w:eastAsia="宋体"/>
                <w:b w:val="0"/>
                <w:sz w:val="21"/>
              </w:rPr>
              <w:t>0.0021</w:t>
            </w:r>
          </w:p>
        </w:tc>
      </w:tr>
    </w:tbl>
    <w:p>
      <w:pPr>
        <w:spacing w:line="360" w:lineRule="auto" w:before="240" w:after="120"/>
        <w:jc w:val="left"/>
      </w:pPr>
      <w:r>
        <w:rPr>
          <w:rFonts w:ascii="Times New Roman" w:hAnsi="Times New Roman" w:eastAsia="黑体"/>
          <w:b/>
          <w:sz w:val="28"/>
        </w:rPr>
        <w:t>附.2 乡村振兴指标（15 项）</w:t>
      </w:r>
    </w:p>
    <w:p>
      <w:pPr>
        <w:spacing w:before="120" w:after="60"/>
        <w:jc w:val="center"/>
      </w:pPr>
      <w:r>
        <w:rPr>
          <w:rFonts w:ascii="Times New Roman" w:hAnsi="Times New Roman" w:eastAsia="黑体"/>
          <w:b/>
          <w:sz w:val="21"/>
        </w:rPr>
        <w:t>表 附-2  乡村振兴指标权重</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078"/>
        <w:gridCol w:w="2078"/>
        <w:gridCol w:w="2078"/>
        <w:gridCol w:w="2078"/>
      </w:tblGrid>
      <w:tr>
        <w:tc>
          <w:tcPr>
            <w:tcW w:type="dxa" w:w="2078"/>
            <w:vAlign w:val="center"/>
            <w:tcBorders>
              <w:top w:val="single" w:sz="12" w:color="000000"/>
              <w:bottom w:val="single" w:sz="6" w:color="000000"/>
            </w:tcBorders>
          </w:tcPr>
          <w:p>
            <w:pPr>
              <w:jc w:val="center"/>
            </w:pPr>
            <w:r/>
            <w:r>
              <w:rPr>
                <w:rFonts w:ascii="Times New Roman" w:hAnsi="Times New Roman" w:eastAsia="黑体"/>
                <w:b/>
                <w:sz w:val="21"/>
              </w:rPr>
              <w:t>准则层</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指标</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单位</w:t>
            </w:r>
          </w:p>
        </w:tc>
        <w:tc>
          <w:tcPr>
            <w:tcW w:type="dxa" w:w="2078"/>
            <w:vAlign w:val="center"/>
            <w:tcBorders>
              <w:top w:val="single" w:sz="12" w:color="000000"/>
              <w:bottom w:val="single" w:sz="6" w:color="000000"/>
            </w:tcBorders>
          </w:tcPr>
          <w:p>
            <w:pPr>
              <w:jc w:val="center"/>
            </w:pPr>
            <w:r/>
            <w:r>
              <w:rPr>
                <w:rFonts w:ascii="Times New Roman" w:hAnsi="Times New Roman" w:eastAsia="黑体"/>
                <w:b/>
                <w:sz w:val="21"/>
              </w:rPr>
              <w:t>权重</w:t>
            </w:r>
          </w:p>
        </w:tc>
      </w:tr>
      <w:tr>
        <w:tc>
          <w:tcPr>
            <w:tcW w:type="dxa" w:w="2078"/>
            <w:vAlign w:val="center"/>
          </w:tcPr>
          <w:p>
            <w:pPr>
              <w:jc w:val="left"/>
            </w:pPr>
            <w:r/>
            <w:r>
              <w:rPr>
                <w:rFonts w:ascii="Times New Roman" w:hAnsi="Times New Roman" w:eastAsia="宋体"/>
                <w:b w:val="0"/>
                <w:sz w:val="21"/>
              </w:rPr>
              <w:t>产业兴旺</w:t>
            </w:r>
          </w:p>
        </w:tc>
        <w:tc>
          <w:tcPr>
            <w:tcW w:type="dxa" w:w="2078"/>
            <w:vAlign w:val="center"/>
          </w:tcPr>
          <w:p>
            <w:pPr>
              <w:jc w:val="center"/>
            </w:pPr>
            <w:r/>
            <w:r>
              <w:rPr>
                <w:rFonts w:ascii="Times New Roman" w:hAnsi="Times New Roman" w:eastAsia="宋体"/>
                <w:b w:val="0"/>
                <w:sz w:val="21"/>
              </w:rPr>
              <w:t>粮食播种面积</w:t>
            </w:r>
          </w:p>
        </w:tc>
        <w:tc>
          <w:tcPr>
            <w:tcW w:type="dxa" w:w="2078"/>
            <w:vAlign w:val="center"/>
          </w:tcPr>
          <w:p>
            <w:pPr>
              <w:jc w:val="center"/>
            </w:pPr>
            <w:r/>
            <w:r>
              <w:rPr>
                <w:rFonts w:ascii="Times New Roman" w:hAnsi="Times New Roman" w:eastAsia="宋体"/>
                <w:b w:val="0"/>
                <w:sz w:val="21"/>
              </w:rPr>
              <w:t>公顷</w:t>
            </w:r>
          </w:p>
        </w:tc>
        <w:tc>
          <w:tcPr>
            <w:tcW w:type="dxa" w:w="2078"/>
            <w:vAlign w:val="center"/>
          </w:tcPr>
          <w:p>
            <w:pPr>
              <w:jc w:val="center"/>
            </w:pPr>
            <w:r/>
            <w:r>
              <w:rPr>
                <w:rFonts w:ascii="Times New Roman" w:hAnsi="Times New Roman" w:eastAsia="宋体"/>
                <w:b w:val="0"/>
                <w:sz w:val="21"/>
              </w:rPr>
              <w:t>0.0978</w:t>
            </w:r>
          </w:p>
        </w:tc>
      </w:tr>
      <w:tr>
        <w:tc>
          <w:tcPr>
            <w:tcW w:type="dxa" w:w="2078"/>
            <w:vAlign w:val="center"/>
          </w:tcPr>
          <w:p>
            <w:pPr>
              <w:jc w:val="left"/>
            </w:pPr>
            <w:r/>
            <w:r>
              <w:rPr>
                <w:rFonts w:ascii="Times New Roman" w:hAnsi="Times New Roman" w:eastAsia="宋体"/>
                <w:b w:val="0"/>
                <w:sz w:val="21"/>
              </w:rPr>
              <w:t>产业兴旺</w:t>
            </w:r>
          </w:p>
        </w:tc>
        <w:tc>
          <w:tcPr>
            <w:tcW w:type="dxa" w:w="2078"/>
            <w:vAlign w:val="center"/>
          </w:tcPr>
          <w:p>
            <w:pPr>
              <w:jc w:val="center"/>
            </w:pPr>
            <w:r/>
            <w:r>
              <w:rPr>
                <w:rFonts w:ascii="Times New Roman" w:hAnsi="Times New Roman" w:eastAsia="宋体"/>
                <w:b w:val="0"/>
                <w:sz w:val="21"/>
              </w:rPr>
              <w:t>农产品产量</w:t>
            </w:r>
          </w:p>
        </w:tc>
        <w:tc>
          <w:tcPr>
            <w:tcW w:type="dxa" w:w="2078"/>
            <w:vAlign w:val="center"/>
          </w:tcPr>
          <w:p>
            <w:pPr>
              <w:jc w:val="center"/>
            </w:pPr>
            <w:r/>
            <w:r>
              <w:rPr>
                <w:rFonts w:ascii="Times New Roman" w:hAnsi="Times New Roman" w:eastAsia="宋体"/>
                <w:b w:val="0"/>
                <w:sz w:val="21"/>
              </w:rPr>
              <w:t>吨</w:t>
            </w:r>
          </w:p>
        </w:tc>
        <w:tc>
          <w:tcPr>
            <w:tcW w:type="dxa" w:w="2078"/>
            <w:vAlign w:val="center"/>
          </w:tcPr>
          <w:p>
            <w:pPr>
              <w:jc w:val="center"/>
            </w:pPr>
            <w:r/>
            <w:r>
              <w:rPr>
                <w:rFonts w:ascii="Times New Roman" w:hAnsi="Times New Roman" w:eastAsia="宋体"/>
                <w:b w:val="0"/>
                <w:sz w:val="21"/>
              </w:rPr>
              <w:t>0.0512</w:t>
            </w:r>
          </w:p>
        </w:tc>
      </w:tr>
      <w:tr>
        <w:tc>
          <w:tcPr>
            <w:tcW w:type="dxa" w:w="2078"/>
            <w:vAlign w:val="center"/>
          </w:tcPr>
          <w:p>
            <w:pPr>
              <w:jc w:val="left"/>
            </w:pPr>
            <w:r/>
            <w:r>
              <w:rPr>
                <w:rFonts w:ascii="Times New Roman" w:hAnsi="Times New Roman" w:eastAsia="宋体"/>
                <w:b w:val="0"/>
                <w:sz w:val="21"/>
              </w:rPr>
              <w:t>产业兴旺</w:t>
            </w:r>
          </w:p>
        </w:tc>
        <w:tc>
          <w:tcPr>
            <w:tcW w:type="dxa" w:w="2078"/>
            <w:vAlign w:val="center"/>
          </w:tcPr>
          <w:p>
            <w:pPr>
              <w:jc w:val="center"/>
            </w:pPr>
            <w:r/>
            <w:r>
              <w:rPr>
                <w:rFonts w:ascii="Times New Roman" w:hAnsi="Times New Roman" w:eastAsia="宋体"/>
                <w:b w:val="0"/>
                <w:sz w:val="21"/>
              </w:rPr>
              <w:t>农业机械化率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0.0236</w:t>
            </w:r>
          </w:p>
        </w:tc>
      </w:tr>
      <w:tr>
        <w:tc>
          <w:tcPr>
            <w:tcW w:type="dxa" w:w="2078"/>
            <w:vAlign w:val="center"/>
          </w:tcPr>
          <w:p>
            <w:pPr>
              <w:jc w:val="left"/>
            </w:pPr>
            <w:r/>
            <w:r>
              <w:rPr>
                <w:rFonts w:ascii="Times New Roman" w:hAnsi="Times New Roman" w:eastAsia="宋体"/>
                <w:b w:val="0"/>
                <w:sz w:val="21"/>
              </w:rPr>
              <w:t>生态宜居</w:t>
            </w:r>
          </w:p>
        </w:tc>
        <w:tc>
          <w:tcPr>
            <w:tcW w:type="dxa" w:w="2078"/>
            <w:vAlign w:val="center"/>
          </w:tcPr>
          <w:p>
            <w:pPr>
              <w:jc w:val="center"/>
            </w:pPr>
            <w:r/>
            <w:r>
              <w:rPr>
                <w:rFonts w:ascii="Times New Roman" w:hAnsi="Times New Roman" w:eastAsia="宋体"/>
                <w:b w:val="0"/>
                <w:sz w:val="21"/>
              </w:rPr>
              <w:t>农村绿化率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0.0386</w:t>
            </w:r>
          </w:p>
        </w:tc>
      </w:tr>
      <w:tr>
        <w:tc>
          <w:tcPr>
            <w:tcW w:type="dxa" w:w="2078"/>
            <w:vAlign w:val="center"/>
          </w:tcPr>
          <w:p>
            <w:pPr>
              <w:jc w:val="left"/>
            </w:pPr>
            <w:r/>
            <w:r>
              <w:rPr>
                <w:rFonts w:ascii="Times New Roman" w:hAnsi="Times New Roman" w:eastAsia="宋体"/>
                <w:b w:val="0"/>
                <w:sz w:val="21"/>
              </w:rPr>
              <w:t>生态宜居</w:t>
            </w:r>
          </w:p>
        </w:tc>
        <w:tc>
          <w:tcPr>
            <w:tcW w:type="dxa" w:w="2078"/>
            <w:vAlign w:val="center"/>
          </w:tcPr>
          <w:p>
            <w:pPr>
              <w:jc w:val="center"/>
            </w:pPr>
            <w:r/>
            <w:r>
              <w:rPr>
                <w:rFonts w:ascii="Times New Roman" w:hAnsi="Times New Roman" w:eastAsia="宋体"/>
                <w:b w:val="0"/>
                <w:sz w:val="21"/>
              </w:rPr>
              <w:t>生活垃圾处理率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0.0159</w:t>
            </w:r>
          </w:p>
        </w:tc>
      </w:tr>
      <w:tr>
        <w:tc>
          <w:tcPr>
            <w:tcW w:type="dxa" w:w="2078"/>
            <w:vAlign w:val="center"/>
          </w:tcPr>
          <w:p>
            <w:pPr>
              <w:jc w:val="left"/>
            </w:pPr>
            <w:r/>
            <w:r>
              <w:rPr>
                <w:rFonts w:ascii="Times New Roman" w:hAnsi="Times New Roman" w:eastAsia="宋体"/>
                <w:b w:val="0"/>
                <w:sz w:val="21"/>
              </w:rPr>
              <w:t>生态宜居</w:t>
            </w:r>
          </w:p>
        </w:tc>
        <w:tc>
          <w:tcPr>
            <w:tcW w:type="dxa" w:w="2078"/>
            <w:vAlign w:val="center"/>
          </w:tcPr>
          <w:p>
            <w:pPr>
              <w:jc w:val="center"/>
            </w:pPr>
            <w:r/>
            <w:r>
              <w:rPr>
                <w:rFonts w:ascii="Times New Roman" w:hAnsi="Times New Roman" w:eastAsia="宋体"/>
                <w:b w:val="0"/>
                <w:sz w:val="21"/>
              </w:rPr>
              <w:t>污水处理率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0.0124</w:t>
            </w:r>
          </w:p>
        </w:tc>
      </w:tr>
      <w:tr>
        <w:tc>
          <w:tcPr>
            <w:tcW w:type="dxa" w:w="2078"/>
            <w:vAlign w:val="center"/>
          </w:tcPr>
          <w:p>
            <w:pPr>
              <w:jc w:val="left"/>
            </w:pPr>
            <w:r/>
            <w:r>
              <w:rPr>
                <w:rFonts w:ascii="Times New Roman" w:hAnsi="Times New Roman" w:eastAsia="宋体"/>
                <w:b w:val="0"/>
                <w:sz w:val="21"/>
              </w:rPr>
              <w:t>乡风文明</w:t>
            </w:r>
          </w:p>
        </w:tc>
        <w:tc>
          <w:tcPr>
            <w:tcW w:type="dxa" w:w="2078"/>
            <w:vAlign w:val="center"/>
          </w:tcPr>
          <w:p>
            <w:pPr>
              <w:jc w:val="center"/>
            </w:pPr>
            <w:r/>
            <w:r>
              <w:rPr>
                <w:rFonts w:ascii="Times New Roman" w:hAnsi="Times New Roman" w:eastAsia="宋体"/>
                <w:b w:val="0"/>
                <w:sz w:val="21"/>
              </w:rPr>
              <w:t>文化设施覆盖率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0.0186</w:t>
            </w:r>
          </w:p>
        </w:tc>
      </w:tr>
      <w:tr>
        <w:tc>
          <w:tcPr>
            <w:tcW w:type="dxa" w:w="2078"/>
            <w:vAlign w:val="center"/>
          </w:tcPr>
          <w:p>
            <w:pPr>
              <w:jc w:val="left"/>
            </w:pPr>
            <w:r/>
            <w:r>
              <w:rPr>
                <w:rFonts w:ascii="Times New Roman" w:hAnsi="Times New Roman" w:eastAsia="宋体"/>
                <w:b w:val="0"/>
                <w:sz w:val="21"/>
              </w:rPr>
              <w:t>乡风文明</w:t>
            </w:r>
          </w:p>
        </w:tc>
        <w:tc>
          <w:tcPr>
            <w:tcW w:type="dxa" w:w="2078"/>
            <w:vAlign w:val="center"/>
          </w:tcPr>
          <w:p>
            <w:pPr>
              <w:jc w:val="center"/>
            </w:pPr>
            <w:r/>
            <w:r>
              <w:rPr>
                <w:rFonts w:ascii="Times New Roman" w:hAnsi="Times New Roman" w:eastAsia="宋体"/>
                <w:b w:val="0"/>
                <w:sz w:val="21"/>
              </w:rPr>
              <w:t>文明村镇占比</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0.0074</w:t>
            </w:r>
          </w:p>
        </w:tc>
      </w:tr>
      <w:tr>
        <w:tc>
          <w:tcPr>
            <w:tcW w:type="dxa" w:w="2078"/>
            <w:vAlign w:val="center"/>
          </w:tcPr>
          <w:p>
            <w:pPr>
              <w:jc w:val="left"/>
            </w:pPr>
            <w:r/>
            <w:r>
              <w:rPr>
                <w:rFonts w:ascii="Times New Roman" w:hAnsi="Times New Roman" w:eastAsia="宋体"/>
                <w:b w:val="0"/>
                <w:sz w:val="21"/>
              </w:rPr>
              <w:t>治理有效</w:t>
            </w:r>
          </w:p>
        </w:tc>
        <w:tc>
          <w:tcPr>
            <w:tcW w:type="dxa" w:w="2078"/>
            <w:vAlign w:val="center"/>
          </w:tcPr>
          <w:p>
            <w:pPr>
              <w:jc w:val="center"/>
            </w:pPr>
            <w:r/>
            <w:r>
              <w:rPr>
                <w:rFonts w:ascii="Times New Roman" w:hAnsi="Times New Roman" w:eastAsia="宋体"/>
                <w:b w:val="0"/>
                <w:sz w:val="21"/>
              </w:rPr>
              <w:t>村民自治率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0.0164</w:t>
            </w:r>
          </w:p>
        </w:tc>
      </w:tr>
      <w:tr>
        <w:tc>
          <w:tcPr>
            <w:tcW w:type="dxa" w:w="2078"/>
            <w:vAlign w:val="center"/>
          </w:tcPr>
          <w:p>
            <w:pPr>
              <w:jc w:val="left"/>
            </w:pPr>
            <w:r/>
            <w:r>
              <w:rPr>
                <w:rFonts w:ascii="Times New Roman" w:hAnsi="Times New Roman" w:eastAsia="宋体"/>
                <w:b w:val="0"/>
                <w:sz w:val="21"/>
              </w:rPr>
              <w:t>治理有效</w:t>
            </w:r>
          </w:p>
        </w:tc>
        <w:tc>
          <w:tcPr>
            <w:tcW w:type="dxa" w:w="2078"/>
            <w:vAlign w:val="center"/>
          </w:tcPr>
          <w:p>
            <w:pPr>
              <w:jc w:val="center"/>
            </w:pPr>
            <w:r/>
            <w:r>
              <w:rPr>
                <w:rFonts w:ascii="Times New Roman" w:hAnsi="Times New Roman" w:eastAsia="宋体"/>
                <w:b w:val="0"/>
                <w:sz w:val="21"/>
              </w:rPr>
              <w:t>网格化管理覆盖率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0.0065</w:t>
            </w:r>
          </w:p>
        </w:tc>
      </w:tr>
      <w:tr>
        <w:tc>
          <w:tcPr>
            <w:tcW w:type="dxa" w:w="2078"/>
            <w:vAlign w:val="center"/>
          </w:tcPr>
          <w:p>
            <w:pPr>
              <w:jc w:val="left"/>
            </w:pPr>
            <w:r/>
            <w:r>
              <w:rPr>
                <w:rFonts w:ascii="Times New Roman" w:hAnsi="Times New Roman" w:eastAsia="宋体"/>
                <w:b w:val="0"/>
                <w:sz w:val="21"/>
              </w:rPr>
              <w:t>生活富裕</w:t>
            </w:r>
          </w:p>
        </w:tc>
        <w:tc>
          <w:tcPr>
            <w:tcW w:type="dxa" w:w="2078"/>
            <w:vAlign w:val="center"/>
          </w:tcPr>
          <w:p>
            <w:pPr>
              <w:jc w:val="center"/>
            </w:pPr>
            <w:r/>
            <w:r>
              <w:rPr>
                <w:rFonts w:ascii="Times New Roman" w:hAnsi="Times New Roman" w:eastAsia="宋体"/>
                <w:b w:val="0"/>
                <w:sz w:val="21"/>
              </w:rPr>
              <w:t>农村人均可支配收入</w:t>
            </w:r>
          </w:p>
        </w:tc>
        <w:tc>
          <w:tcPr>
            <w:tcW w:type="dxa" w:w="2078"/>
            <w:vAlign w:val="center"/>
          </w:tcPr>
          <w:p>
            <w:pPr>
              <w:jc w:val="center"/>
            </w:pPr>
            <w:r/>
            <w:r>
              <w:rPr>
                <w:rFonts w:ascii="Times New Roman" w:hAnsi="Times New Roman" w:eastAsia="宋体"/>
                <w:b w:val="0"/>
                <w:sz w:val="21"/>
              </w:rPr>
              <w:t>元</w:t>
            </w:r>
          </w:p>
        </w:tc>
        <w:tc>
          <w:tcPr>
            <w:tcW w:type="dxa" w:w="2078"/>
            <w:vAlign w:val="center"/>
          </w:tcPr>
          <w:p>
            <w:pPr>
              <w:jc w:val="center"/>
            </w:pPr>
            <w:r/>
            <w:r>
              <w:rPr>
                <w:rFonts w:ascii="Times New Roman" w:hAnsi="Times New Roman" w:eastAsia="宋体"/>
                <w:b w:val="0"/>
                <w:sz w:val="21"/>
              </w:rPr>
              <w:t>0.3528</w:t>
            </w:r>
          </w:p>
        </w:tc>
      </w:tr>
      <w:tr>
        <w:tc>
          <w:tcPr>
            <w:tcW w:type="dxa" w:w="2078"/>
            <w:vAlign w:val="center"/>
          </w:tcPr>
          <w:p>
            <w:pPr>
              <w:jc w:val="left"/>
            </w:pPr>
            <w:r/>
            <w:r>
              <w:rPr>
                <w:rFonts w:ascii="Times New Roman" w:hAnsi="Times New Roman" w:eastAsia="宋体"/>
                <w:b w:val="0"/>
                <w:sz w:val="21"/>
              </w:rPr>
              <w:t>生活富裕</w:t>
            </w:r>
          </w:p>
        </w:tc>
        <w:tc>
          <w:tcPr>
            <w:tcW w:type="dxa" w:w="2078"/>
            <w:vAlign w:val="center"/>
          </w:tcPr>
          <w:p>
            <w:pPr>
              <w:jc w:val="center"/>
            </w:pPr>
            <w:r/>
            <w:r>
              <w:rPr>
                <w:rFonts w:ascii="Times New Roman" w:hAnsi="Times New Roman" w:eastAsia="宋体"/>
                <w:b w:val="0"/>
                <w:sz w:val="21"/>
              </w:rPr>
              <w:t>城乡居民收入比</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0.1494</w:t>
            </w:r>
          </w:p>
        </w:tc>
      </w:tr>
      <w:tr>
        <w:tc>
          <w:tcPr>
            <w:tcW w:type="dxa" w:w="2078"/>
            <w:vAlign w:val="center"/>
          </w:tcPr>
          <w:p>
            <w:pPr>
              <w:jc w:val="left"/>
            </w:pPr>
            <w:r/>
            <w:r>
              <w:rPr>
                <w:rFonts w:ascii="Times New Roman" w:hAnsi="Times New Roman" w:eastAsia="宋体"/>
                <w:b w:val="0"/>
                <w:sz w:val="21"/>
              </w:rPr>
              <w:t>生活富裕</w:t>
            </w:r>
          </w:p>
        </w:tc>
        <w:tc>
          <w:tcPr>
            <w:tcW w:type="dxa" w:w="2078"/>
            <w:vAlign w:val="center"/>
          </w:tcPr>
          <w:p>
            <w:pPr>
              <w:jc w:val="center"/>
            </w:pPr>
            <w:r/>
            <w:r>
              <w:rPr>
                <w:rFonts w:ascii="Times New Roman" w:hAnsi="Times New Roman" w:eastAsia="宋体"/>
                <w:b w:val="0"/>
                <w:sz w:val="21"/>
              </w:rPr>
              <w:t>恩格尔系数</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0.0633</w:t>
            </w:r>
          </w:p>
        </w:tc>
      </w:tr>
      <w:tr>
        <w:tc>
          <w:tcPr>
            <w:tcW w:type="dxa" w:w="2078"/>
            <w:vAlign w:val="center"/>
          </w:tcPr>
          <w:p>
            <w:pPr>
              <w:jc w:val="left"/>
            </w:pPr>
            <w:r/>
            <w:r>
              <w:rPr>
                <w:rFonts w:ascii="Times New Roman" w:hAnsi="Times New Roman" w:eastAsia="宋体"/>
                <w:b w:val="0"/>
                <w:sz w:val="21"/>
              </w:rPr>
              <w:t>生活富裕</w:t>
            </w:r>
          </w:p>
        </w:tc>
        <w:tc>
          <w:tcPr>
            <w:tcW w:type="dxa" w:w="2078"/>
            <w:vAlign w:val="center"/>
          </w:tcPr>
          <w:p>
            <w:pPr>
              <w:jc w:val="center"/>
            </w:pPr>
            <w:r/>
            <w:r>
              <w:rPr>
                <w:rFonts w:ascii="Times New Roman" w:hAnsi="Times New Roman" w:eastAsia="宋体"/>
                <w:b w:val="0"/>
                <w:sz w:val="21"/>
              </w:rPr>
              <w:t>互联网普及率</w:t>
            </w:r>
          </w:p>
        </w:tc>
        <w:tc>
          <w:tcPr>
            <w:tcW w:type="dxa" w:w="2078"/>
            <w:vAlign w:val="center"/>
          </w:tcPr>
          <w:p>
            <w:pPr>
              <w:jc w:val="center"/>
            </w:pPr>
            <w:r/>
            <w:r>
              <w:rPr>
                <w:rFonts w:ascii="Times New Roman" w:hAnsi="Times New Roman" w:eastAsia="宋体"/>
                <w:b w:val="0"/>
                <w:sz w:val="21"/>
              </w:rPr>
              <w:t>%</w:t>
            </w:r>
          </w:p>
        </w:tc>
        <w:tc>
          <w:tcPr>
            <w:tcW w:type="dxa" w:w="2078"/>
            <w:vAlign w:val="center"/>
          </w:tcPr>
          <w:p>
            <w:pPr>
              <w:jc w:val="center"/>
            </w:pPr>
            <w:r/>
            <w:r>
              <w:rPr>
                <w:rFonts w:ascii="Times New Roman" w:hAnsi="Times New Roman" w:eastAsia="宋体"/>
                <w:b w:val="0"/>
                <w:sz w:val="21"/>
              </w:rPr>
              <w:t>0.0268</w:t>
            </w:r>
          </w:p>
        </w:tc>
      </w:tr>
      <w:tr>
        <w:tc>
          <w:tcPr>
            <w:tcW w:type="dxa" w:w="2078"/>
            <w:vAlign w:val="center"/>
            <w:tcBorders>
              <w:bottom w:val="single" w:sz="12" w:color="000000"/>
            </w:tcBorders>
          </w:tcPr>
          <w:p>
            <w:pPr>
              <w:jc w:val="left"/>
            </w:pPr>
            <w:r/>
            <w:r>
              <w:rPr>
                <w:rFonts w:ascii="Times New Roman" w:hAnsi="Times New Roman" w:eastAsia="宋体"/>
                <w:b w:val="0"/>
                <w:sz w:val="21"/>
              </w:rPr>
              <w:t>生活富裕</w:t>
            </w:r>
          </w:p>
        </w:tc>
        <w:tc>
          <w:tcPr>
            <w:tcW w:type="dxa" w:w="2078"/>
            <w:vAlign w:val="center"/>
            <w:tcBorders>
              <w:bottom w:val="single" w:sz="12" w:color="000000"/>
            </w:tcBorders>
          </w:tcPr>
          <w:p>
            <w:pPr>
              <w:jc w:val="center"/>
            </w:pPr>
            <w:r/>
            <w:r>
              <w:rPr>
                <w:rFonts w:ascii="Times New Roman" w:hAnsi="Times New Roman" w:eastAsia="宋体"/>
                <w:b w:val="0"/>
                <w:sz w:val="21"/>
              </w:rPr>
              <w:t>每千人医疗床位数</w:t>
            </w:r>
          </w:p>
        </w:tc>
        <w:tc>
          <w:tcPr>
            <w:tcW w:type="dxa" w:w="2078"/>
            <w:vAlign w:val="center"/>
            <w:tcBorders>
              <w:bottom w:val="single" w:sz="12" w:color="000000"/>
            </w:tcBorders>
          </w:tcPr>
          <w:p>
            <w:pPr>
              <w:jc w:val="center"/>
            </w:pPr>
            <w:r/>
            <w:r>
              <w:rPr>
                <w:rFonts w:ascii="Times New Roman" w:hAnsi="Times New Roman" w:eastAsia="宋体"/>
                <w:b w:val="0"/>
                <w:sz w:val="21"/>
              </w:rPr>
              <w:t>张</w:t>
            </w:r>
          </w:p>
        </w:tc>
        <w:tc>
          <w:tcPr>
            <w:tcW w:type="dxa" w:w="2078"/>
            <w:vAlign w:val="center"/>
            <w:tcBorders>
              <w:bottom w:val="single" w:sz="12" w:color="000000"/>
            </w:tcBorders>
          </w:tcPr>
          <w:p>
            <w:pPr>
              <w:jc w:val="center"/>
            </w:pPr>
            <w:r/>
            <w:r>
              <w:rPr>
                <w:rFonts w:ascii="Times New Roman" w:hAnsi="Times New Roman" w:eastAsia="宋体"/>
                <w:b w:val="0"/>
                <w:sz w:val="21"/>
              </w:rPr>
              <w:t>0.0113</w:t>
            </w:r>
          </w:p>
        </w:tc>
      </w:tr>
    </w:tbl>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