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Times New Roman" w:hAnsi="Times New Roman" w:eastAsia="黑体"/>
          <w:b/>
          <w:color w:val="8B1E3F"/>
          <w:sz w:val="20"/>
        </w:rPr>
        <w:t>机密 · 内部使用</w:t>
      </w:r>
    </w:p>
    <w:p>
      <w:pPr>
        <w:spacing w:after="480"/>
        <w:jc w:val="left"/>
      </w:pPr>
      <w:r>
        <w:rPr>
          <w:rFonts w:ascii="Times New Roman" w:hAnsi="Times New Roman" w:eastAsia="黑体"/>
          <w:b/>
          <w:color w:val="0D3B2E"/>
          <w:sz w:val="44"/>
        </w:rPr>
        <w:t>绿脉兴农  LVMAI · ECO-VALUE PLATFORM</w:t>
      </w:r>
    </w:p>
    <w:p>
      <w:pPr>
        <w:spacing w:after="1200"/>
        <w:pBdr>
          <w:bottom w:val="single" w:sz="18" w:space="1" w:color="0D3B2E"/>
        </w:pBdr>
      </w:pPr>
    </w:p>
    <w:p>
      <w:pPr>
        <w:spacing w:before="1600" w:after="160"/>
        <w:jc w:val="center"/>
      </w:pPr>
      <w:r>
        <w:rPr>
          <w:rFonts w:ascii="Times New Roman" w:hAnsi="Times New Roman" w:eastAsia="Times New Roman"/>
          <w:b/>
          <w:color w:val="C79A00"/>
          <w:sz w:val="22"/>
        </w:rPr>
        <w:t>TECHNICAL WHITE PAPER · V1.0</w:t>
      </w:r>
    </w:p>
    <w:p>
      <w:pPr>
        <w:spacing w:after="120"/>
        <w:jc w:val="center"/>
      </w:pPr>
      <w:r>
        <w:rPr>
          <w:rFonts w:ascii="Times New Roman" w:hAnsi="Times New Roman" w:eastAsia="黑体"/>
          <w:b/>
          <w:color w:val="0D3B2E"/>
          <w:sz w:val="72"/>
        </w:rPr>
        <w:t>绿脉兴农平台</w:t>
      </w:r>
    </w:p>
    <w:p>
      <w:pPr>
        <w:spacing w:after="120"/>
        <w:jc w:val="center"/>
      </w:pPr>
      <w:r>
        <w:rPr>
          <w:rFonts w:ascii="Times New Roman" w:hAnsi="Times New Roman" w:eastAsia="黑体"/>
          <w:b/>
          <w:color w:val="0D3B2E"/>
          <w:sz w:val="72"/>
        </w:rPr>
        <w:t>技术白皮书</w:t>
      </w:r>
    </w:p>
    <w:p>
      <w:pPr>
        <w:spacing w:after="1200"/>
        <w:jc w:val="center"/>
      </w:pPr>
      <w:r>
        <w:rPr>
          <w:rFonts w:ascii="Times New Roman" w:hAnsi="Times New Roman" w:eastAsia="黑体"/>
          <w:b w:val="0"/>
          <w:color w:val="2D6A4F"/>
          <w:sz w:val="32"/>
        </w:rPr>
        <w:t>生态产品价值实现赋能乡村振兴一体化智能系统</w:t>
      </w:r>
    </w:p>
    <w:p>
      <w:pPr>
        <w:spacing w:after="80"/>
        <w:jc w:val="left"/>
      </w:pPr>
      <w:r>
        <w:rPr>
          <w:rFonts w:ascii="Times New Roman" w:hAnsi="Times New Roman" w:eastAsia="黑体"/>
          <w:b/>
          <w:color w:val="0D3B2E"/>
          <w:sz w:val="22"/>
        </w:rPr>
        <w:t>文档版本：</w:t>
      </w:r>
      <w:r>
        <w:rPr>
          <w:rFonts w:ascii="Times New Roman" w:hAnsi="Times New Roman" w:eastAsia="宋体"/>
          <w:b w:val="0"/>
          <w:color w:val="2A2A2A"/>
          <w:sz w:val="22"/>
        </w:rPr>
        <w:t>V1.0</w:t>
      </w:r>
    </w:p>
    <w:p>
      <w:pPr>
        <w:spacing w:after="80"/>
        <w:jc w:val="left"/>
      </w:pPr>
      <w:r>
        <w:rPr>
          <w:rFonts w:ascii="Times New Roman" w:hAnsi="Times New Roman" w:eastAsia="黑体"/>
          <w:b/>
          <w:color w:val="0D3B2E"/>
          <w:sz w:val="22"/>
        </w:rPr>
        <w:t>发布日期：</w:t>
      </w:r>
      <w:r>
        <w:rPr>
          <w:rFonts w:ascii="Times New Roman" w:hAnsi="Times New Roman" w:eastAsia="宋体"/>
          <w:b w:val="0"/>
          <w:color w:val="2A2A2A"/>
          <w:sz w:val="22"/>
        </w:rPr>
        <w:t>2026 年 07 月</w:t>
      </w:r>
    </w:p>
    <w:p>
      <w:pPr>
        <w:spacing w:after="80"/>
        <w:jc w:val="left"/>
      </w:pPr>
      <w:r>
        <w:rPr>
          <w:rFonts w:ascii="Times New Roman" w:hAnsi="Times New Roman" w:eastAsia="黑体"/>
          <w:b/>
          <w:color w:val="0D3B2E"/>
          <w:sz w:val="22"/>
        </w:rPr>
        <w:t>保密等级：</w:t>
      </w:r>
      <w:r>
        <w:rPr>
          <w:rFonts w:ascii="Times New Roman" w:hAnsi="Times New Roman" w:eastAsia="宋体"/>
          <w:b w:val="0"/>
          <w:color w:val="2A2A2A"/>
          <w:sz w:val="22"/>
        </w:rPr>
        <w:t>内部公开</w:t>
      </w:r>
    </w:p>
    <w:p>
      <w:pPr>
        <w:spacing w:after="80"/>
        <w:jc w:val="left"/>
      </w:pPr>
      <w:r>
        <w:rPr>
          <w:rFonts w:ascii="Times New Roman" w:hAnsi="Times New Roman" w:eastAsia="黑体"/>
          <w:b/>
          <w:color w:val="0D3B2E"/>
          <w:sz w:val="22"/>
        </w:rPr>
        <w:t>文档状态：</w:t>
      </w:r>
      <w:r>
        <w:rPr>
          <w:rFonts w:ascii="Times New Roman" w:hAnsi="Times New Roman" w:eastAsia="宋体"/>
          <w:b w:val="0"/>
          <w:color w:val="2A2A2A"/>
          <w:sz w:val="22"/>
        </w:rPr>
        <w:t>正式发布</w:t>
      </w:r>
    </w:p>
    <w:p>
      <w:pPr>
        <w:spacing w:after="80"/>
        <w:jc w:val="left"/>
      </w:pPr>
      <w:r>
        <w:rPr>
          <w:rFonts w:ascii="Times New Roman" w:hAnsi="Times New Roman" w:eastAsia="黑体"/>
          <w:b/>
          <w:color w:val="0D3B2E"/>
          <w:sz w:val="22"/>
        </w:rPr>
        <w:t>编制单位：</w:t>
      </w:r>
      <w:r>
        <w:rPr>
          <w:rFonts w:ascii="Times New Roman" w:hAnsi="Times New Roman" w:eastAsia="宋体"/>
          <w:b w:val="0"/>
          <w:color w:val="2A2A2A"/>
          <w:sz w:val="22"/>
        </w:rPr>
        <w:t>南京师范大学 · 绿脉兴农团队</w:t>
      </w:r>
    </w:p>
    <w:p>
      <w:pPr>
        <w:spacing w:after="80"/>
        <w:jc w:val="left"/>
      </w:pPr>
      <w:r>
        <w:rPr>
          <w:rFonts w:ascii="Times New Roman" w:hAnsi="Times New Roman" w:eastAsia="黑体"/>
          <w:b/>
          <w:color w:val="0D3B2E"/>
          <w:sz w:val="22"/>
        </w:rPr>
        <w:t>适用赛事：</w:t>
      </w:r>
      <w:r>
        <w:rPr>
          <w:rFonts w:ascii="Times New Roman" w:hAnsi="Times New Roman" w:eastAsia="宋体"/>
          <w:b w:val="0"/>
          <w:color w:val="2A2A2A"/>
          <w:sz w:val="22"/>
        </w:rPr>
        <w:t>中国研究生乡村振兴科技强农+创新大赛</w:t>
      </w:r>
    </w:p>
    <w:p>
      <w:r>
        <w:br w:type="page"/>
      </w:r>
    </w:p>
    <w:p>
      <w:pPr>
        <w:spacing w:after="360"/>
        <w:jc w:val="center"/>
      </w:pPr>
      <w:r>
        <w:rPr>
          <w:rFonts w:ascii="Times New Roman" w:hAnsi="Times New Roman" w:eastAsia="黑体"/>
          <w:b/>
          <w:color w:val="0D3B2E"/>
          <w:sz w:val="36"/>
        </w:rPr>
        <w:t>摘 要</w:t>
      </w:r>
    </w:p>
    <w:p>
      <w:pPr>
        <w:spacing w:line="450" w:lineRule="auto" w:before="0" w:after="0"/>
        <w:ind w:firstLine="480"/>
        <w:jc w:val="both"/>
      </w:pPr>
      <w:r>
        <w:rPr>
          <w:rFonts w:ascii="Times New Roman" w:hAnsi="Times New Roman" w:eastAsia="宋体"/>
          <w:b w:val="0"/>
          <w:sz w:val="24"/>
        </w:rPr>
        <w:t>在"绿水青山就是金山银山"理念与乡村振兴战略双重背景下，如何科学量化生态产品价值实现水平、识别区域发展模式、生成差异化路径建议，成为地方政府与研究机构亟待解决的关键问题。本文介绍了一款名为"绿脉兴农"的一体化智能决策支持平台，该平台融合层次分析法（AHP）、熵权法、耦合协调度模型与障碍度模型四大数学方法，并集成 DeepSeek 大语言模型，构建了从数据采集、模型评估到路径优化的完整闭环。</w:t>
      </w:r>
    </w:p>
    <w:p>
      <w:pPr>
        <w:spacing w:line="450" w:lineRule="auto" w:before="0" w:after="0"/>
        <w:ind w:firstLine="480"/>
        <w:jc w:val="both"/>
      </w:pPr>
      <w:r>
        <w:rPr>
          <w:rFonts w:ascii="Times New Roman" w:hAnsi="Times New Roman" w:eastAsia="宋体"/>
          <w:b w:val="0"/>
          <w:sz w:val="24"/>
        </w:rPr>
        <w:t>平台以长江三角洲地区 10 个典型区县 2020—2024 年面板数据为样本，构建了包含 11 项生态产品价值实现指标与 15 项乡村振兴指标的二维评估体系，通过层次聚类分析提炼出生态康养型、湿地水域型、农业品牌型、农文旅融合型、城郊消费型五种发展模式，并为每种模式配置量化识别阈值与 27 条结构化路径优化建议。平台采用前后端分离架构，前端基于 Vue 3 与 Element Plus 构建，后端基于 FastAPI 与 SQLAlchemy 实现。测试表明，平台可在 3 秒内完成单次综合评估，PDF 报告自动生成，AI 路径建议响应稳定。</w:t>
      </w:r>
    </w:p>
    <w:p>
      <w:pPr>
        <w:spacing w:line="450" w:lineRule="auto" w:before="0" w:after="0"/>
        <w:ind w:firstLine="480"/>
        <w:jc w:val="both"/>
      </w:pPr>
      <w:r>
        <w:rPr>
          <w:rFonts w:ascii="Times New Roman" w:hAnsi="Times New Roman" w:eastAsia="宋体"/>
          <w:b w:val="0"/>
          <w:sz w:val="24"/>
        </w:rPr>
        <w:t>本文系统阐述了平台的总体架构、核心算法原理、功能模块设计、关键流程实现及部署运维方案，并附完整指标体系与 API 接口规范，为同类研究与产品研发提供参考。</w:t>
      </w:r>
    </w:p>
    <w:p>
      <w:pPr>
        <w:spacing w:before="240"/>
        <w:ind w:firstLine="0"/>
      </w:pPr>
      <w:r>
        <w:rPr>
          <w:rFonts w:ascii="Times New Roman" w:hAnsi="Times New Roman" w:eastAsia="黑体"/>
          <w:b/>
          <w:color w:val="0D3B2E"/>
          <w:sz w:val="24"/>
        </w:rPr>
        <w:t>关键词：</w:t>
      </w:r>
      <w:r>
        <w:rPr>
          <w:rFonts w:ascii="Times New Roman" w:hAnsi="Times New Roman" w:eastAsia="宋体"/>
          <w:b w:val="0"/>
          <w:color w:val="2A2A2A"/>
          <w:sz w:val="24"/>
        </w:rPr>
        <w:t>生态产品价值实现；乡村振兴；层次分析法；耦合协调度；障碍度模型；DeepSeek；智能决策支持系统</w:t>
      </w:r>
    </w:p>
    <w:p>
      <w:r>
        <w:br w:type="page"/>
      </w:r>
    </w:p>
    <w:p>
      <w:pPr>
        <w:spacing w:after="360"/>
        <w:jc w:val="center"/>
      </w:pPr>
      <w:r>
        <w:rPr>
          <w:rFonts w:ascii="Times New Roman" w:hAnsi="Times New Roman" w:eastAsia="黑体"/>
          <w:b/>
          <w:color w:val="0D3B2E"/>
          <w:sz w:val="36"/>
        </w:rPr>
        <w:t>目 录</w:t>
      </w:r>
    </w:p>
    <w:p>
      <w:pPr>
        <w:ind w:firstLine="0"/>
      </w:pPr>
      <w:r>
        <w:fldChar w:fldCharType="begin"/>
        <w:instrText xml:space="preserve"> TOC \o "1-3" \h \z \u </w:instrText>
        <w:fldChar w:fldCharType="separate"/>
      </w:r>
      <w:r>
        <w:rPr>
          <w:rFonts w:ascii="Times New Roman" w:hAnsi="Times New Roman" w:eastAsia="宋体"/>
          <w:b w:val="0"/>
          <w:color w:val="8A8A8A"/>
          <w:sz w:val="21"/>
        </w:rPr>
        <w:t>（请在 Word 中按 F9 或右键"更新域"生成目录）</w:t>
        <w:fldChar w:fldCharType="end"/>
      </w:r>
    </w:p>
    <w:p>
      <w:r>
        <w:br w:type="page"/>
      </w:r>
    </w:p>
    <w:p>
      <w:pPr>
        <w:spacing w:line="360" w:lineRule="auto" w:before="0" w:after="360"/>
        <w:jc w:val="center"/>
        <w:pBdr>
          <w:bottom w:val="single" w:sz="12" w:space="4" w:color="0D3B2E"/>
        </w:pBdr>
      </w:pPr>
      <w:r>
        <w:rPr>
          <w:rFonts w:ascii="Times New Roman" w:hAnsi="Times New Roman" w:eastAsia="黑体"/>
          <w:b/>
          <w:color w:val="0D3B2E"/>
          <w:sz w:val="36"/>
        </w:rPr>
        <w:t>第一章 绪论</w:t>
      </w:r>
    </w:p>
    <w:p>
      <w:pPr>
        <w:spacing w:line="360" w:lineRule="auto" w:before="240" w:after="120"/>
        <w:jc w:val="left"/>
      </w:pPr>
      <w:r>
        <w:rPr>
          <w:rFonts w:ascii="Times New Roman" w:hAnsi="Times New Roman" w:eastAsia="黑体"/>
          <w:b/>
          <w:color w:val="0D3B2E"/>
          <w:sz w:val="28"/>
        </w:rPr>
        <w:t>1.1 研究背景与意义</w:t>
      </w:r>
    </w:p>
    <w:p>
      <w:pPr>
        <w:spacing w:line="360" w:lineRule="auto" w:before="0" w:after="0"/>
        <w:ind w:firstLine="480"/>
        <w:jc w:val="both"/>
      </w:pPr>
      <w:r>
        <w:rPr>
          <w:rFonts w:ascii="Times New Roman" w:hAnsi="Times New Roman" w:eastAsia="宋体"/>
          <w:b w:val="0"/>
          <w:sz w:val="24"/>
        </w:rPr>
        <w:t>2021 年 4 月，中共中央办公厅、国务院办公厅印发《关于建立健全生态产品价值实现机制的意见》，明确提出"建立生态产品调查监测机制、价值评价机制、经营开发机制、保护补偿机制、实现保障机制"五大核心任务。2022 年中央一号文件进一步强调"探索生态产品价值实现路径"，将生态产品价值实现纳入乡村振兴战略整体布局。</w:t>
      </w:r>
    </w:p>
    <w:p>
      <w:pPr>
        <w:spacing w:line="360" w:lineRule="auto" w:before="0" w:after="0"/>
        <w:ind w:firstLine="480"/>
        <w:jc w:val="both"/>
      </w:pPr>
      <w:r>
        <w:rPr>
          <w:rFonts w:ascii="Times New Roman" w:hAnsi="Times New Roman" w:eastAsia="宋体"/>
          <w:b w:val="0"/>
          <w:sz w:val="24"/>
        </w:rPr>
        <w:t>然而，当前生态产品价值实现仍面临三大挑战：其一，生态产品价值"算不清"，缺乏统一规范的量化评估方法；其二，区域发展模式"看不透"，难以从复杂指标中识别差异化路径；其三，政策建议"落不实"，理论研究成果难以转化为地方政府可操作的决策依据。</w:t>
      </w:r>
    </w:p>
    <w:p>
      <w:pPr>
        <w:spacing w:line="360" w:lineRule="auto" w:before="0" w:after="0"/>
        <w:ind w:firstLine="480"/>
        <w:jc w:val="both"/>
      </w:pPr>
      <w:r>
        <w:rPr>
          <w:rFonts w:ascii="Times New Roman" w:hAnsi="Times New Roman" w:eastAsia="宋体"/>
          <w:b w:val="0"/>
          <w:sz w:val="24"/>
        </w:rPr>
        <w:t>针对上述问题，本团队研发"绿脉兴农"一体化智能决策支持平台，通过融合多源数学模型与 AI 大模型，构建从数据采集、综合评估、模式识别到路径优化的完整闭环，为地方政府、农业合作社、研究学者提供科学决策支持，具有重要的理论意义与实践价值。</w:t>
      </w:r>
    </w:p>
    <w:p>
      <w:pPr>
        <w:spacing w:line="360" w:lineRule="auto" w:before="240" w:after="120"/>
        <w:jc w:val="left"/>
      </w:pPr>
      <w:r>
        <w:rPr>
          <w:rFonts w:ascii="Times New Roman" w:hAnsi="Times New Roman" w:eastAsia="黑体"/>
          <w:b/>
          <w:color w:val="0D3B2E"/>
          <w:sz w:val="28"/>
        </w:rPr>
        <w:t>1.2 国内外研究现状</w:t>
      </w:r>
    </w:p>
    <w:p>
      <w:pPr>
        <w:spacing w:line="360" w:lineRule="auto" w:before="0" w:after="0"/>
        <w:ind w:firstLine="480"/>
        <w:jc w:val="both"/>
      </w:pPr>
      <w:r>
        <w:rPr>
          <w:rFonts w:ascii="Times New Roman" w:hAnsi="Times New Roman" w:eastAsia="宋体"/>
          <w:b w:val="0"/>
          <w:sz w:val="24"/>
        </w:rPr>
        <w:t>国外生态产品价值评估起源于 Costanza 等人（1997）的全球生态系统服务价值评估研究，随后 InVEST 模型、ARIES 模型等工具相继问世，为生态系统服务量化提供了方法基础。然而，这些工具主要面向生态系统服务物理量评估，对价值实现机制与社会经济耦合分析支持不足。</w:t>
      </w:r>
    </w:p>
    <w:p>
      <w:pPr>
        <w:spacing w:line="360" w:lineRule="auto" w:before="0" w:after="0"/>
        <w:ind w:firstLine="480"/>
        <w:jc w:val="both"/>
      </w:pPr>
      <w:r>
        <w:rPr>
          <w:rFonts w:ascii="Times New Roman" w:hAnsi="Times New Roman" w:eastAsia="宋体"/>
          <w:b w:val="0"/>
          <w:sz w:val="24"/>
        </w:rPr>
        <w:t>国内研究起步较晚但发展迅速。欧阳志云团队（2013—2020）提出了生态系统生产总值（GEP）核算框架，已在浙江丽水、深圳等地开展试点；高楠等（2019）构建了耦合协调度模型评估生态与经济协同发展水平；李芳林等（2021）运用障碍度模型识别乡村振兴制约因素。但现有研究多聚焦于单一模型应用，缺乏多模型集成与智能化路径优化能力，难以满足地方政府综合决策需求。</w:t>
      </w:r>
    </w:p>
    <w:p>
      <w:pPr>
        <w:spacing w:line="360" w:lineRule="auto" w:before="0" w:after="0"/>
        <w:ind w:firstLine="480"/>
        <w:jc w:val="both"/>
      </w:pPr>
      <w:r>
        <w:rPr>
          <w:rFonts w:ascii="Times New Roman" w:hAnsi="Times New Roman" w:eastAsia="宋体"/>
          <w:b w:val="0"/>
          <w:sz w:val="24"/>
        </w:rPr>
        <w:t>近年来，大语言模型（LLM）的快速发展为智能决策支持提供了新契机。DeepSeek 等国产开源大模型在中文语境下表现优异，具备处理领域知识、生成结构化建议的能力。本平台创新性地将传统数学模型与大语言模型结合，弥补了现有研究在智能化路径优化方面的不足。</w:t>
      </w:r>
    </w:p>
    <w:p>
      <w:pPr>
        <w:spacing w:line="360" w:lineRule="auto" w:before="240" w:after="120"/>
        <w:jc w:val="left"/>
      </w:pPr>
      <w:r>
        <w:rPr>
          <w:rFonts w:ascii="Times New Roman" w:hAnsi="Times New Roman" w:eastAsia="黑体"/>
          <w:b/>
          <w:color w:val="0D3B2E"/>
          <w:sz w:val="28"/>
        </w:rPr>
        <w:t>1.3 平台建设目标</w:t>
      </w:r>
    </w:p>
    <w:p>
      <w:pPr>
        <w:spacing w:line="360" w:lineRule="auto" w:before="0" w:after="0"/>
        <w:ind w:firstLine="480"/>
        <w:jc w:val="both"/>
      </w:pPr>
      <w:r>
        <w:rPr>
          <w:rFonts w:ascii="Times New Roman" w:hAnsi="Times New Roman" w:eastAsia="宋体"/>
          <w:b w:val="0"/>
          <w:sz w:val="24"/>
        </w:rPr>
        <w:t>绿脉兴农平台旨在构建一个"算得清、看得见、走得通"的一体化智能决策支持系统，具体目标如下：</w:t>
      </w:r>
    </w:p>
    <w:p>
      <w:pPr>
        <w:spacing w:line="360" w:lineRule="auto" w:before="0" w:after="0"/>
        <w:ind w:firstLine="480"/>
        <w:jc w:val="both"/>
      </w:pPr>
      <w:r>
        <w:rPr>
          <w:rFonts w:ascii="Times New Roman" w:hAnsi="Times New Roman" w:eastAsia="宋体"/>
          <w:b w:val="0"/>
          <w:sz w:val="24"/>
        </w:rPr>
        <w:t>（1）算得清：基于 AHP 层次分析法与熵权法，构建涵盖 11 项生态产品价值实现指标与 15 项乡村振兴指标的二维评估体系，通过组合权重加权综合评分，实现地区生态与乡村振兴水平的科学量化。</w:t>
      </w:r>
    </w:p>
    <w:p>
      <w:pPr>
        <w:spacing w:line="360" w:lineRule="auto" w:before="0" w:after="0"/>
        <w:ind w:firstLine="480"/>
        <w:jc w:val="both"/>
      </w:pPr>
      <w:r>
        <w:rPr>
          <w:rFonts w:ascii="Times New Roman" w:hAnsi="Times New Roman" w:eastAsia="宋体"/>
          <w:b w:val="0"/>
          <w:sz w:val="24"/>
        </w:rPr>
        <w:t>（2）看得见：以 10 个典型区县 5 年面板数据为基础，构建多维可视化数据大屏，支持横向对比、时间演化、模式雷达、耦合散点等多种分析视角，使数据规律直观可见。</w:t>
      </w:r>
    </w:p>
    <w:p>
      <w:pPr>
        <w:spacing w:line="360" w:lineRule="auto" w:before="0" w:after="0"/>
        <w:ind w:firstLine="480"/>
        <w:jc w:val="both"/>
      </w:pPr>
      <w:r>
        <w:rPr>
          <w:rFonts w:ascii="Times New Roman" w:hAnsi="Times New Roman" w:eastAsia="宋体"/>
          <w:b w:val="0"/>
          <w:sz w:val="24"/>
        </w:rPr>
        <w:t>（3）走得通：通过层次聚类分析提取 5 种发展模式，结合 DeepSeek AI 引擎生成 27 条差异化路径优化建议，并一键导出 PDF 评估报告，为地方政府决策提供可操作依据。</w:t>
      </w:r>
    </w:p>
    <w:p>
      <w:pPr>
        <w:spacing w:line="360" w:lineRule="auto" w:before="240" w:after="120"/>
        <w:jc w:val="left"/>
      </w:pPr>
      <w:r>
        <w:rPr>
          <w:rFonts w:ascii="Times New Roman" w:hAnsi="Times New Roman" w:eastAsia="黑体"/>
          <w:b/>
          <w:color w:val="0D3B2E"/>
          <w:sz w:val="28"/>
        </w:rPr>
        <w:t>1.4 文档组织结构</w:t>
      </w:r>
    </w:p>
    <w:p>
      <w:pPr>
        <w:spacing w:line="360" w:lineRule="auto" w:before="0" w:after="0"/>
        <w:ind w:firstLine="480"/>
        <w:jc w:val="both"/>
      </w:pPr>
      <w:r>
        <w:rPr>
          <w:rFonts w:ascii="Times New Roman" w:hAnsi="Times New Roman" w:eastAsia="宋体"/>
          <w:b w:val="0"/>
          <w:sz w:val="24"/>
        </w:rPr>
        <w:t>本文共分九章，组织结构如下：</w:t>
      </w:r>
    </w:p>
    <w:p>
      <w:pPr>
        <w:spacing w:line="360" w:lineRule="auto" w:before="0" w:after="0"/>
        <w:ind w:firstLine="480"/>
        <w:jc w:val="both"/>
      </w:pPr>
      <w:r>
        <w:rPr>
          <w:rFonts w:ascii="Times New Roman" w:hAnsi="Times New Roman" w:eastAsia="宋体"/>
          <w:b w:val="0"/>
          <w:sz w:val="24"/>
        </w:rPr>
        <w:t>第一章 绪论。介绍研究背景、意义、国内外现状及平台建设目标。</w:t>
      </w:r>
    </w:p>
    <w:p>
      <w:pPr>
        <w:spacing w:line="360" w:lineRule="auto" w:before="0" w:after="0"/>
        <w:ind w:firstLine="480"/>
        <w:jc w:val="both"/>
      </w:pPr>
      <w:r>
        <w:rPr>
          <w:rFonts w:ascii="Times New Roman" w:hAnsi="Times New Roman" w:eastAsia="宋体"/>
          <w:b w:val="0"/>
          <w:sz w:val="24"/>
        </w:rPr>
        <w:t>第二章 平台总体架构。阐述设计原则、四层架构与技术选型。</w:t>
      </w:r>
    </w:p>
    <w:p>
      <w:pPr>
        <w:spacing w:line="360" w:lineRule="auto" w:before="0" w:after="0"/>
        <w:ind w:firstLine="480"/>
        <w:jc w:val="both"/>
      </w:pPr>
      <w:r>
        <w:rPr>
          <w:rFonts w:ascii="Times New Roman" w:hAnsi="Times New Roman" w:eastAsia="宋体"/>
          <w:b w:val="0"/>
          <w:sz w:val="24"/>
        </w:rPr>
        <w:t>第三章 核心算法原理。详细说明 AHP、耦合协调度、障碍度、AI 引擎与聚类分析五大算法。</w:t>
      </w:r>
    </w:p>
    <w:p>
      <w:pPr>
        <w:spacing w:line="360" w:lineRule="auto" w:before="0" w:after="0"/>
        <w:ind w:firstLine="480"/>
        <w:jc w:val="both"/>
      </w:pPr>
      <w:r>
        <w:rPr>
          <w:rFonts w:ascii="Times New Roman" w:hAnsi="Times New Roman" w:eastAsia="宋体"/>
          <w:b w:val="0"/>
          <w:sz w:val="24"/>
        </w:rPr>
        <w:t>第四章 功能模块设计。介绍七大功能模块的设计与实现。</w:t>
      </w:r>
    </w:p>
    <w:p>
      <w:pPr>
        <w:spacing w:line="360" w:lineRule="auto" w:before="0" w:after="0"/>
        <w:ind w:firstLine="480"/>
        <w:jc w:val="both"/>
      </w:pPr>
      <w:r>
        <w:rPr>
          <w:rFonts w:ascii="Times New Roman" w:hAnsi="Times New Roman" w:eastAsia="宋体"/>
          <w:b w:val="0"/>
          <w:sz w:val="24"/>
        </w:rPr>
        <w:t>第五章 五种发展模式。说明模式提取方法、详细特征与路径优化建议矩阵。</w:t>
      </w:r>
    </w:p>
    <w:p>
      <w:pPr>
        <w:spacing w:line="360" w:lineRule="auto" w:before="0" w:after="0"/>
        <w:ind w:firstLine="480"/>
        <w:jc w:val="both"/>
      </w:pPr>
      <w:r>
        <w:rPr>
          <w:rFonts w:ascii="Times New Roman" w:hAnsi="Times New Roman" w:eastAsia="宋体"/>
          <w:b w:val="0"/>
          <w:sz w:val="24"/>
        </w:rPr>
        <w:t>第六章 关键流程实现。描述智能评估与商城交易两大核心流程。</w:t>
      </w:r>
    </w:p>
    <w:p>
      <w:pPr>
        <w:spacing w:line="360" w:lineRule="auto" w:before="0" w:after="0"/>
        <w:ind w:firstLine="480"/>
        <w:jc w:val="both"/>
      </w:pPr>
      <w:r>
        <w:rPr>
          <w:rFonts w:ascii="Times New Roman" w:hAnsi="Times New Roman" w:eastAsia="宋体"/>
          <w:b w:val="0"/>
          <w:sz w:val="24"/>
        </w:rPr>
        <w:t>第七章 API 接口规范。列出全部 RESTful 端点。</w:t>
      </w:r>
    </w:p>
    <w:p>
      <w:pPr>
        <w:spacing w:line="360" w:lineRule="auto" w:before="0" w:after="0"/>
        <w:ind w:firstLine="480"/>
        <w:jc w:val="both"/>
      </w:pPr>
      <w:r>
        <w:rPr>
          <w:rFonts w:ascii="Times New Roman" w:hAnsi="Times New Roman" w:eastAsia="宋体"/>
          <w:b w:val="0"/>
          <w:sz w:val="24"/>
        </w:rPr>
        <w:t>第八章 部署与运维。说明环境配置、启动方式与生产部署方案。</w:t>
      </w:r>
    </w:p>
    <w:p>
      <w:pPr>
        <w:spacing w:line="360" w:lineRule="auto" w:before="0" w:after="0"/>
        <w:ind w:firstLine="480"/>
        <w:jc w:val="both"/>
      </w:pPr>
      <w:r>
        <w:rPr>
          <w:rFonts w:ascii="Times New Roman" w:hAnsi="Times New Roman" w:eastAsia="宋体"/>
          <w:b w:val="0"/>
          <w:sz w:val="24"/>
        </w:rPr>
        <w:t>第九章 总结与展望。总结平台价值并展望未来工作。</w:t>
      </w:r>
    </w:p>
    <w:p>
      <w:r>
        <w:br w:type="page"/>
      </w:r>
    </w:p>
    <w:p>
      <w:pPr>
        <w:spacing w:line="360" w:lineRule="auto" w:before="0" w:after="360"/>
        <w:jc w:val="center"/>
        <w:pBdr>
          <w:bottom w:val="single" w:sz="12" w:space="4" w:color="0D3B2E"/>
        </w:pBdr>
      </w:pPr>
      <w:r>
        <w:rPr>
          <w:rFonts w:ascii="Times New Roman" w:hAnsi="Times New Roman" w:eastAsia="黑体"/>
          <w:b/>
          <w:color w:val="0D3B2E"/>
          <w:sz w:val="36"/>
        </w:rPr>
        <w:t>第二章 平台总体架构</w:t>
      </w:r>
    </w:p>
    <w:p>
      <w:pPr>
        <w:spacing w:line="360" w:lineRule="auto" w:before="240" w:after="120"/>
        <w:jc w:val="left"/>
      </w:pPr>
      <w:r>
        <w:rPr>
          <w:rFonts w:ascii="Times New Roman" w:hAnsi="Times New Roman" w:eastAsia="黑体"/>
          <w:b/>
          <w:color w:val="0D3B2E"/>
          <w:sz w:val="28"/>
        </w:rPr>
        <w:t>2.1 设计原则</w:t>
      </w:r>
    </w:p>
    <w:p>
      <w:pPr>
        <w:spacing w:line="360" w:lineRule="auto" w:before="0" w:after="0"/>
        <w:ind w:firstLine="480"/>
        <w:jc w:val="both"/>
      </w:pPr>
      <w:r>
        <w:rPr>
          <w:rFonts w:ascii="Times New Roman" w:hAnsi="Times New Roman" w:eastAsia="宋体"/>
          <w:b w:val="0"/>
          <w:sz w:val="24"/>
        </w:rPr>
        <w:t>平台设计遵循以下五项原则：</w:t>
      </w:r>
    </w:p>
    <w:p>
      <w:pPr>
        <w:spacing w:line="360" w:lineRule="auto" w:before="0" w:after="0"/>
        <w:ind w:firstLine="480"/>
        <w:jc w:val="both"/>
      </w:pPr>
      <w:r>
        <w:rPr>
          <w:rFonts w:ascii="Times New Roman" w:hAnsi="Times New Roman" w:eastAsia="宋体"/>
          <w:b w:val="0"/>
          <w:sz w:val="24"/>
        </w:rPr>
        <w:t>（1）科学性原则：所有评估方法基于成熟数学模型，权重通过 AHP 专家打分得出，避免主观随意性。</w:t>
      </w:r>
    </w:p>
    <w:p>
      <w:pPr>
        <w:spacing w:line="360" w:lineRule="auto" w:before="0" w:after="0"/>
        <w:ind w:firstLine="480"/>
        <w:jc w:val="both"/>
      </w:pPr>
      <w:r>
        <w:rPr>
          <w:rFonts w:ascii="Times New Roman" w:hAnsi="Times New Roman" w:eastAsia="宋体"/>
          <w:b w:val="0"/>
          <w:sz w:val="24"/>
        </w:rPr>
        <w:t>（2）实用性原则：功能设计紧密对接地方政府实际需求，所有评估结果可直接用于决策汇报。</w:t>
      </w:r>
    </w:p>
    <w:p>
      <w:pPr>
        <w:spacing w:line="360" w:lineRule="auto" w:before="0" w:after="0"/>
        <w:ind w:firstLine="480"/>
        <w:jc w:val="both"/>
      </w:pPr>
      <w:r>
        <w:rPr>
          <w:rFonts w:ascii="Times New Roman" w:hAnsi="Times New Roman" w:eastAsia="宋体"/>
          <w:b w:val="0"/>
          <w:sz w:val="24"/>
        </w:rPr>
        <w:t>（3）可扩展性原则：采用模块化架构，新增指标、模式、算法模块不影响现有功能。</w:t>
      </w:r>
    </w:p>
    <w:p>
      <w:pPr>
        <w:spacing w:line="360" w:lineRule="auto" w:before="0" w:after="0"/>
        <w:ind w:firstLine="480"/>
        <w:jc w:val="both"/>
      </w:pPr>
      <w:r>
        <w:rPr>
          <w:rFonts w:ascii="Times New Roman" w:hAnsi="Times New Roman" w:eastAsia="宋体"/>
          <w:b w:val="0"/>
          <w:sz w:val="24"/>
        </w:rPr>
        <w:t>（4）安全性原则：基于 JWT 实现无状态身份认证，敏感操作进行权限校验。</w:t>
      </w:r>
    </w:p>
    <w:p>
      <w:pPr>
        <w:spacing w:line="360" w:lineRule="auto" w:before="0" w:after="0"/>
        <w:ind w:firstLine="480"/>
        <w:jc w:val="both"/>
      </w:pPr>
      <w:r>
        <w:rPr>
          <w:rFonts w:ascii="Times New Roman" w:hAnsi="Times New Roman" w:eastAsia="宋体"/>
          <w:b w:val="0"/>
          <w:sz w:val="24"/>
        </w:rPr>
        <w:t>（5）易用性原则：界面遵循 Element Plus 设计规范，操作流程符合用户直觉。</w:t>
      </w:r>
    </w:p>
    <w:p>
      <w:pPr>
        <w:spacing w:line="360" w:lineRule="auto" w:before="240" w:after="120"/>
        <w:jc w:val="left"/>
      </w:pPr>
      <w:r>
        <w:rPr>
          <w:rFonts w:ascii="Times New Roman" w:hAnsi="Times New Roman" w:eastAsia="黑体"/>
          <w:b/>
          <w:color w:val="0D3B2E"/>
          <w:sz w:val="28"/>
        </w:rPr>
        <w:t>2.2 总体架构</w:t>
      </w:r>
    </w:p>
    <w:p>
      <w:pPr>
        <w:spacing w:line="360" w:lineRule="auto" w:before="0" w:after="0"/>
        <w:ind w:firstLine="480"/>
        <w:jc w:val="both"/>
      </w:pPr>
      <w:r>
        <w:rPr>
          <w:rFonts w:ascii="Times New Roman" w:hAnsi="Times New Roman" w:eastAsia="宋体"/>
          <w:b w:val="0"/>
          <w:sz w:val="24"/>
        </w:rPr>
        <w:t>平台采用前后端分离架构，整体分为四层：前端展示层、后端服务层、核心算法层与数据存储层，各层之间通过明确定义的接口进行通信，层间耦合度低，便于独立演进。架构如图 2-1 所示。</w:t>
      </w:r>
    </w:p>
    <w:p>
      <w:pPr>
        <w:spacing w:line="360" w:lineRule="auto" w:before="0" w:after="0"/>
        <w:ind w:firstLine="480"/>
        <w:jc w:val="both"/>
      </w:pPr>
      <w:r>
        <w:rPr>
          <w:rFonts w:ascii="Times New Roman" w:hAnsi="Times New Roman" w:eastAsia="宋体"/>
          <w:b w:val="0"/>
          <w:sz w:val="24"/>
        </w:rPr>
        <w:t>图 2-1 展示了平台四层架构。最上层为前端展示层，包含首页、政策中心、智能分析、数据大屏、农产品商城、案例中心、用户中心 7 个 Vue 视图模块；第二层为后端服务层，包含 Auth、Policy、Analysis、Dashboard、Mall、Case 共 6 个 FastAPI 路由模块；第三层为核心算法层，包含 AHP 层次分析、耦合协调度、障碍度、AI 智能建议、模式数据共 5 个 Python 模块；最底层为数据存储层，包含 SQLite/MySQL 数据库、reportlab 生成的 PDF 报告与 DeepSeek AI 接口。各层自上而下逐层调用，通过明确定义的接口通信。</w:t>
      </w:r>
    </w:p>
    <w:p>
      <w:pPr>
        <w:spacing w:before="60" w:after="240"/>
        <w:jc w:val="center"/>
      </w:pPr>
      <w:r>
        <w:rPr>
          <w:rFonts w:ascii="Times New Roman" w:hAnsi="Times New Roman" w:eastAsia="黑体"/>
          <w:b/>
          <w:color w:val="2A2A2A"/>
          <w:sz w:val="21"/>
        </w:rPr>
        <w:t>图 2-1  绿脉兴农平台总体架构图</w:t>
      </w:r>
    </w:p>
    <w:p>
      <w:pPr>
        <w:spacing w:line="360" w:lineRule="auto" w:before="240" w:after="120"/>
        <w:jc w:val="left"/>
      </w:pPr>
      <w:r>
        <w:rPr>
          <w:rFonts w:ascii="Times New Roman" w:hAnsi="Times New Roman" w:eastAsia="黑体"/>
          <w:b/>
          <w:color w:val="0D3B2E"/>
          <w:sz w:val="28"/>
        </w:rPr>
        <w:t>2.3 技术选型</w:t>
      </w:r>
    </w:p>
    <w:p>
      <w:pPr>
        <w:spacing w:line="360" w:lineRule="auto" w:before="0" w:after="0"/>
        <w:ind w:firstLine="480"/>
        <w:jc w:val="both"/>
      </w:pPr>
      <w:r>
        <w:rPr>
          <w:rFonts w:ascii="Times New Roman" w:hAnsi="Times New Roman" w:eastAsia="宋体"/>
          <w:b w:val="0"/>
          <w:sz w:val="24"/>
        </w:rPr>
        <w:t>平台技术选型兼顾成熟度、性能、可维护性与开源友好性，具体如表 2-1 所示。</w:t>
      </w:r>
    </w:p>
    <w:p>
      <w:pPr>
        <w:spacing w:before="120" w:after="60"/>
        <w:jc w:val="center"/>
      </w:pPr>
      <w:r>
        <w:rPr>
          <w:rFonts w:ascii="Times New Roman" w:hAnsi="Times New Roman" w:eastAsia="黑体"/>
          <w:b/>
          <w:color w:val="0D3B2E"/>
          <w:sz w:val="21"/>
        </w:rPr>
        <w:t>表 2-1 平台技术选型表</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078"/>
        <w:gridCol w:w="2078"/>
        <w:gridCol w:w="2078"/>
        <w:gridCol w:w="2078"/>
      </w:tblGrid>
      <w:tr>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层级</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技术选型</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版本</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选用理由</w:t>
            </w:r>
          </w:p>
        </w:tc>
      </w:tr>
      <w:tr>
        <w:tc>
          <w:tcPr>
            <w:tcW w:type="dxa" w:w="2078"/>
            <w:vAlign w:val="center"/>
          </w:tcPr>
          <w:p>
            <w:pPr>
              <w:jc w:val="left"/>
            </w:pPr>
            <w:r/>
            <w:r>
              <w:rPr>
                <w:rFonts w:ascii="Times New Roman" w:hAnsi="Times New Roman" w:eastAsia="宋体"/>
                <w:b w:val="0"/>
                <w:color w:val="2A2A2A"/>
                <w:sz w:val="21"/>
              </w:rPr>
              <w:t>前端框架</w:t>
            </w:r>
          </w:p>
        </w:tc>
        <w:tc>
          <w:tcPr>
            <w:tcW w:type="dxa" w:w="2078"/>
            <w:vAlign w:val="center"/>
          </w:tcPr>
          <w:p>
            <w:pPr>
              <w:jc w:val="center"/>
            </w:pPr>
            <w:r/>
            <w:r>
              <w:rPr>
                <w:rFonts w:ascii="Times New Roman" w:hAnsi="Times New Roman" w:eastAsia="宋体"/>
                <w:b w:val="0"/>
                <w:color w:val="2A2A2A"/>
                <w:sz w:val="21"/>
              </w:rPr>
              <w:t>Vue 3</w:t>
            </w:r>
          </w:p>
        </w:tc>
        <w:tc>
          <w:tcPr>
            <w:tcW w:type="dxa" w:w="2078"/>
            <w:vAlign w:val="center"/>
          </w:tcPr>
          <w:p>
            <w:pPr>
              <w:jc w:val="center"/>
            </w:pPr>
            <w:r/>
            <w:r>
              <w:rPr>
                <w:rFonts w:ascii="Times New Roman" w:hAnsi="Times New Roman" w:eastAsia="宋体"/>
                <w:b w:val="0"/>
                <w:color w:val="2A2A2A"/>
                <w:sz w:val="21"/>
              </w:rPr>
              <w:t>3.4</w:t>
            </w:r>
          </w:p>
        </w:tc>
        <w:tc>
          <w:tcPr>
            <w:tcW w:type="dxa" w:w="2078"/>
            <w:vAlign w:val="center"/>
          </w:tcPr>
          <w:p>
            <w:pPr>
              <w:jc w:val="center"/>
            </w:pPr>
            <w:r/>
            <w:r>
              <w:rPr>
                <w:rFonts w:ascii="Times New Roman" w:hAnsi="Times New Roman" w:eastAsia="宋体"/>
                <w:b w:val="0"/>
                <w:color w:val="2A2A2A"/>
                <w:sz w:val="21"/>
              </w:rPr>
              <w:t>Composition API 响应式视图层</w:t>
            </w:r>
          </w:p>
        </w:tc>
      </w:tr>
      <w:tr>
        <w:tc>
          <w:tcPr>
            <w:tcW w:type="dxa" w:w="2078"/>
            <w:vAlign w:val="center"/>
          </w:tcPr>
          <w:p>
            <w:pPr>
              <w:jc w:val="left"/>
            </w:pPr>
            <w:r/>
            <w:r>
              <w:rPr>
                <w:rFonts w:ascii="Times New Roman" w:hAnsi="Times New Roman" w:eastAsia="宋体"/>
                <w:b w:val="0"/>
                <w:color w:val="2A2A2A"/>
                <w:sz w:val="21"/>
              </w:rPr>
              <w:t>UI 组件库</w:t>
            </w:r>
          </w:p>
        </w:tc>
        <w:tc>
          <w:tcPr>
            <w:tcW w:type="dxa" w:w="2078"/>
            <w:vAlign w:val="center"/>
          </w:tcPr>
          <w:p>
            <w:pPr>
              <w:jc w:val="center"/>
            </w:pPr>
            <w:r/>
            <w:r>
              <w:rPr>
                <w:rFonts w:ascii="Times New Roman" w:hAnsi="Times New Roman" w:eastAsia="宋体"/>
                <w:b w:val="0"/>
                <w:color w:val="2A2A2A"/>
                <w:sz w:val="21"/>
              </w:rPr>
              <w:t>Element Plus</w:t>
            </w:r>
          </w:p>
        </w:tc>
        <w:tc>
          <w:tcPr>
            <w:tcW w:type="dxa" w:w="2078"/>
            <w:vAlign w:val="center"/>
          </w:tcPr>
          <w:p>
            <w:pPr>
              <w:jc w:val="center"/>
            </w:pPr>
            <w:r/>
            <w:r>
              <w:rPr>
                <w:rFonts w:ascii="Times New Roman" w:hAnsi="Times New Roman" w:eastAsia="宋体"/>
                <w:b w:val="0"/>
                <w:color w:val="2A2A2A"/>
                <w:sz w:val="21"/>
              </w:rPr>
              <w:t>2.6</w:t>
            </w:r>
          </w:p>
        </w:tc>
        <w:tc>
          <w:tcPr>
            <w:tcW w:type="dxa" w:w="2078"/>
            <w:vAlign w:val="center"/>
          </w:tcPr>
          <w:p>
            <w:pPr>
              <w:jc w:val="center"/>
            </w:pPr>
            <w:r/>
            <w:r>
              <w:rPr>
                <w:rFonts w:ascii="Times New Roman" w:hAnsi="Times New Roman" w:eastAsia="宋体"/>
                <w:b w:val="0"/>
                <w:color w:val="2A2A2A"/>
                <w:sz w:val="21"/>
              </w:rPr>
              <w:t>企业级组件，文档完善</w:t>
            </w:r>
          </w:p>
        </w:tc>
      </w:tr>
      <w:tr>
        <w:tc>
          <w:tcPr>
            <w:tcW w:type="dxa" w:w="2078"/>
            <w:vAlign w:val="center"/>
          </w:tcPr>
          <w:p>
            <w:pPr>
              <w:jc w:val="left"/>
            </w:pPr>
            <w:r/>
            <w:r>
              <w:rPr>
                <w:rFonts w:ascii="Times New Roman" w:hAnsi="Times New Roman" w:eastAsia="宋体"/>
                <w:b w:val="0"/>
                <w:color w:val="2A2A2A"/>
                <w:sz w:val="21"/>
              </w:rPr>
              <w:t>图表库</w:t>
            </w:r>
          </w:p>
        </w:tc>
        <w:tc>
          <w:tcPr>
            <w:tcW w:type="dxa" w:w="2078"/>
            <w:vAlign w:val="center"/>
          </w:tcPr>
          <w:p>
            <w:pPr>
              <w:jc w:val="center"/>
            </w:pPr>
            <w:r/>
            <w:r>
              <w:rPr>
                <w:rFonts w:ascii="Times New Roman" w:hAnsi="Times New Roman" w:eastAsia="宋体"/>
                <w:b w:val="0"/>
                <w:color w:val="2A2A2A"/>
                <w:sz w:val="21"/>
              </w:rPr>
              <w:t>ECharts</w:t>
            </w:r>
          </w:p>
        </w:tc>
        <w:tc>
          <w:tcPr>
            <w:tcW w:type="dxa" w:w="2078"/>
            <w:vAlign w:val="center"/>
          </w:tcPr>
          <w:p>
            <w:pPr>
              <w:jc w:val="center"/>
            </w:pPr>
            <w:r/>
            <w:r>
              <w:rPr>
                <w:rFonts w:ascii="Times New Roman" w:hAnsi="Times New Roman" w:eastAsia="宋体"/>
                <w:b w:val="0"/>
                <w:color w:val="2A2A2A"/>
                <w:sz w:val="21"/>
              </w:rPr>
              <w:t>5.5</w:t>
            </w:r>
          </w:p>
        </w:tc>
        <w:tc>
          <w:tcPr>
            <w:tcW w:type="dxa" w:w="2078"/>
            <w:vAlign w:val="center"/>
          </w:tcPr>
          <w:p>
            <w:pPr>
              <w:jc w:val="center"/>
            </w:pPr>
            <w:r/>
            <w:r>
              <w:rPr>
                <w:rFonts w:ascii="Times New Roman" w:hAnsi="Times New Roman" w:eastAsia="宋体"/>
                <w:b w:val="0"/>
                <w:color w:val="2A2A2A"/>
                <w:sz w:val="21"/>
              </w:rPr>
              <w:t>功能丰富，性能优异</w:t>
            </w:r>
          </w:p>
        </w:tc>
      </w:tr>
      <w:tr>
        <w:tc>
          <w:tcPr>
            <w:tcW w:type="dxa" w:w="2078"/>
            <w:vAlign w:val="center"/>
          </w:tcPr>
          <w:p>
            <w:pPr>
              <w:jc w:val="left"/>
            </w:pPr>
            <w:r/>
            <w:r>
              <w:rPr>
                <w:rFonts w:ascii="Times New Roman" w:hAnsi="Times New Roman" w:eastAsia="宋体"/>
                <w:b w:val="0"/>
                <w:color w:val="2A2A2A"/>
                <w:sz w:val="21"/>
              </w:rPr>
              <w:t>构建工具</w:t>
            </w:r>
          </w:p>
        </w:tc>
        <w:tc>
          <w:tcPr>
            <w:tcW w:type="dxa" w:w="2078"/>
            <w:vAlign w:val="center"/>
          </w:tcPr>
          <w:p>
            <w:pPr>
              <w:jc w:val="center"/>
            </w:pPr>
            <w:r/>
            <w:r>
              <w:rPr>
                <w:rFonts w:ascii="Times New Roman" w:hAnsi="Times New Roman" w:eastAsia="宋体"/>
                <w:b w:val="0"/>
                <w:color w:val="2A2A2A"/>
                <w:sz w:val="21"/>
              </w:rPr>
              <w:t>Vite</w:t>
            </w:r>
          </w:p>
        </w:tc>
        <w:tc>
          <w:tcPr>
            <w:tcW w:type="dxa" w:w="2078"/>
            <w:vAlign w:val="center"/>
          </w:tcPr>
          <w:p>
            <w:pPr>
              <w:jc w:val="center"/>
            </w:pPr>
            <w:r/>
            <w:r>
              <w:rPr>
                <w:rFonts w:ascii="Times New Roman" w:hAnsi="Times New Roman" w:eastAsia="宋体"/>
                <w:b w:val="0"/>
                <w:color w:val="2A2A2A"/>
                <w:sz w:val="21"/>
              </w:rPr>
              <w:t>5.4</w:t>
            </w:r>
          </w:p>
        </w:tc>
        <w:tc>
          <w:tcPr>
            <w:tcW w:type="dxa" w:w="2078"/>
            <w:vAlign w:val="center"/>
          </w:tcPr>
          <w:p>
            <w:pPr>
              <w:jc w:val="center"/>
            </w:pPr>
            <w:r/>
            <w:r>
              <w:rPr>
                <w:rFonts w:ascii="Times New Roman" w:hAnsi="Times New Roman" w:eastAsia="宋体"/>
                <w:b w:val="0"/>
                <w:color w:val="2A2A2A"/>
                <w:sz w:val="21"/>
              </w:rPr>
              <w:t>极速热更新，开发体验佳</w:t>
            </w:r>
          </w:p>
        </w:tc>
      </w:tr>
      <w:tr>
        <w:tc>
          <w:tcPr>
            <w:tcW w:type="dxa" w:w="2078"/>
            <w:vAlign w:val="center"/>
          </w:tcPr>
          <w:p>
            <w:pPr>
              <w:jc w:val="left"/>
            </w:pPr>
            <w:r/>
            <w:r>
              <w:rPr>
                <w:rFonts w:ascii="Times New Roman" w:hAnsi="Times New Roman" w:eastAsia="宋体"/>
                <w:b w:val="0"/>
                <w:color w:val="2A2A2A"/>
                <w:sz w:val="21"/>
              </w:rPr>
              <w:t>后端框架</w:t>
            </w:r>
          </w:p>
        </w:tc>
        <w:tc>
          <w:tcPr>
            <w:tcW w:type="dxa" w:w="2078"/>
            <w:vAlign w:val="center"/>
          </w:tcPr>
          <w:p>
            <w:pPr>
              <w:jc w:val="center"/>
            </w:pPr>
            <w:r/>
            <w:r>
              <w:rPr>
                <w:rFonts w:ascii="Times New Roman" w:hAnsi="Times New Roman" w:eastAsia="宋体"/>
                <w:b w:val="0"/>
                <w:color w:val="2A2A2A"/>
                <w:sz w:val="21"/>
              </w:rPr>
              <w:t>FastAPI</w:t>
            </w:r>
          </w:p>
        </w:tc>
        <w:tc>
          <w:tcPr>
            <w:tcW w:type="dxa" w:w="2078"/>
            <w:vAlign w:val="center"/>
          </w:tcPr>
          <w:p>
            <w:pPr>
              <w:jc w:val="center"/>
            </w:pPr>
            <w:r/>
            <w:r>
              <w:rPr>
                <w:rFonts w:ascii="Times New Roman" w:hAnsi="Times New Roman" w:eastAsia="宋体"/>
                <w:b w:val="0"/>
                <w:color w:val="2A2A2A"/>
                <w:sz w:val="21"/>
              </w:rPr>
              <w:t>0.111</w:t>
            </w:r>
          </w:p>
        </w:tc>
        <w:tc>
          <w:tcPr>
            <w:tcW w:type="dxa" w:w="2078"/>
            <w:vAlign w:val="center"/>
          </w:tcPr>
          <w:p>
            <w:pPr>
              <w:jc w:val="center"/>
            </w:pPr>
            <w:r/>
            <w:r>
              <w:rPr>
                <w:rFonts w:ascii="Times New Roman" w:hAnsi="Times New Roman" w:eastAsia="宋体"/>
                <w:b w:val="0"/>
                <w:color w:val="2A2A2A"/>
                <w:sz w:val="21"/>
              </w:rPr>
              <w:t>高性能异步，自动生成文档</w:t>
            </w:r>
          </w:p>
        </w:tc>
      </w:tr>
      <w:tr>
        <w:tc>
          <w:tcPr>
            <w:tcW w:type="dxa" w:w="2078"/>
            <w:vAlign w:val="center"/>
          </w:tcPr>
          <w:p>
            <w:pPr>
              <w:jc w:val="left"/>
            </w:pPr>
            <w:r/>
            <w:r>
              <w:rPr>
                <w:rFonts w:ascii="Times New Roman" w:hAnsi="Times New Roman" w:eastAsia="宋体"/>
                <w:b w:val="0"/>
                <w:color w:val="2A2A2A"/>
                <w:sz w:val="21"/>
              </w:rPr>
              <w:t>ORM 框架</w:t>
            </w:r>
          </w:p>
        </w:tc>
        <w:tc>
          <w:tcPr>
            <w:tcW w:type="dxa" w:w="2078"/>
            <w:vAlign w:val="center"/>
          </w:tcPr>
          <w:p>
            <w:pPr>
              <w:jc w:val="center"/>
            </w:pPr>
            <w:r/>
            <w:r>
              <w:rPr>
                <w:rFonts w:ascii="Times New Roman" w:hAnsi="Times New Roman" w:eastAsia="宋体"/>
                <w:b w:val="0"/>
                <w:color w:val="2A2A2A"/>
                <w:sz w:val="21"/>
              </w:rPr>
              <w:t>SQLAlchemy</w:t>
            </w:r>
          </w:p>
        </w:tc>
        <w:tc>
          <w:tcPr>
            <w:tcW w:type="dxa" w:w="2078"/>
            <w:vAlign w:val="center"/>
          </w:tcPr>
          <w:p>
            <w:pPr>
              <w:jc w:val="center"/>
            </w:pPr>
            <w:r/>
            <w:r>
              <w:rPr>
                <w:rFonts w:ascii="Times New Roman" w:hAnsi="Times New Roman" w:eastAsia="宋体"/>
                <w:b w:val="0"/>
                <w:color w:val="2A2A2A"/>
                <w:sz w:val="21"/>
              </w:rPr>
              <w:t>2.0</w:t>
            </w:r>
          </w:p>
        </w:tc>
        <w:tc>
          <w:tcPr>
            <w:tcW w:type="dxa" w:w="2078"/>
            <w:vAlign w:val="center"/>
          </w:tcPr>
          <w:p>
            <w:pPr>
              <w:jc w:val="center"/>
            </w:pPr>
            <w:r/>
            <w:r>
              <w:rPr>
                <w:rFonts w:ascii="Times New Roman" w:hAnsi="Times New Roman" w:eastAsia="宋体"/>
                <w:b w:val="0"/>
                <w:color w:val="2A2A2A"/>
                <w:sz w:val="21"/>
              </w:rPr>
              <w:t>Python 生态成熟 ORM</w:t>
            </w:r>
          </w:p>
        </w:tc>
      </w:tr>
      <w:tr>
        <w:tc>
          <w:tcPr>
            <w:tcW w:type="dxa" w:w="2078"/>
            <w:vAlign w:val="center"/>
          </w:tcPr>
          <w:p>
            <w:pPr>
              <w:jc w:val="left"/>
            </w:pPr>
            <w:r/>
            <w:r>
              <w:rPr>
                <w:rFonts w:ascii="Times New Roman" w:hAnsi="Times New Roman" w:eastAsia="宋体"/>
                <w:b w:val="0"/>
                <w:color w:val="2A2A2A"/>
                <w:sz w:val="21"/>
              </w:rPr>
              <w:t>数据库</w:t>
            </w:r>
          </w:p>
        </w:tc>
        <w:tc>
          <w:tcPr>
            <w:tcW w:type="dxa" w:w="2078"/>
            <w:vAlign w:val="center"/>
          </w:tcPr>
          <w:p>
            <w:pPr>
              <w:jc w:val="center"/>
            </w:pPr>
            <w:r/>
            <w:r>
              <w:rPr>
                <w:rFonts w:ascii="Times New Roman" w:hAnsi="Times New Roman" w:eastAsia="宋体"/>
                <w:b w:val="0"/>
                <w:color w:val="2A2A2A"/>
                <w:sz w:val="21"/>
              </w:rPr>
              <w:t>SQLite → MySQL</w:t>
            </w:r>
          </w:p>
        </w:tc>
        <w:tc>
          <w:tcPr>
            <w:tcW w:type="dxa" w:w="2078"/>
            <w:vAlign w:val="center"/>
          </w:tcPr>
          <w:p>
            <w:pPr>
              <w:jc w:val="center"/>
            </w:pPr>
            <w:r/>
            <w:r>
              <w:rPr>
                <w:rFonts w:ascii="Times New Roman" w:hAnsi="Times New Roman" w:eastAsia="宋体"/>
                <w:b w:val="0"/>
                <w:color w:val="2A2A2A"/>
                <w:sz w:val="21"/>
              </w:rPr>
              <w:t>—</w:t>
            </w:r>
          </w:p>
        </w:tc>
        <w:tc>
          <w:tcPr>
            <w:tcW w:type="dxa" w:w="2078"/>
            <w:vAlign w:val="center"/>
          </w:tcPr>
          <w:p>
            <w:pPr>
              <w:jc w:val="center"/>
            </w:pPr>
            <w:r/>
            <w:r>
              <w:rPr>
                <w:rFonts w:ascii="Times New Roman" w:hAnsi="Times New Roman" w:eastAsia="宋体"/>
                <w:b w:val="0"/>
                <w:color w:val="2A2A2A"/>
                <w:sz w:val="21"/>
              </w:rPr>
              <w:t>开发用 SQLite，生产用 MySQL</w:t>
            </w:r>
          </w:p>
        </w:tc>
      </w:tr>
      <w:tr>
        <w:tc>
          <w:tcPr>
            <w:tcW w:type="dxa" w:w="2078"/>
            <w:vAlign w:val="center"/>
          </w:tcPr>
          <w:p>
            <w:pPr>
              <w:jc w:val="left"/>
            </w:pPr>
            <w:r/>
            <w:r>
              <w:rPr>
                <w:rFonts w:ascii="Times New Roman" w:hAnsi="Times New Roman" w:eastAsia="宋体"/>
                <w:b w:val="0"/>
                <w:color w:val="2A2A2A"/>
                <w:sz w:val="21"/>
              </w:rPr>
              <w:t>身份认证</w:t>
            </w:r>
          </w:p>
        </w:tc>
        <w:tc>
          <w:tcPr>
            <w:tcW w:type="dxa" w:w="2078"/>
            <w:vAlign w:val="center"/>
          </w:tcPr>
          <w:p>
            <w:pPr>
              <w:jc w:val="center"/>
            </w:pPr>
            <w:r/>
            <w:r>
              <w:rPr>
                <w:rFonts w:ascii="Times New Roman" w:hAnsi="Times New Roman" w:eastAsia="宋体"/>
                <w:b w:val="0"/>
                <w:color w:val="2A2A2A"/>
                <w:sz w:val="21"/>
              </w:rPr>
              <w:t>JWT</w:t>
            </w:r>
          </w:p>
        </w:tc>
        <w:tc>
          <w:tcPr>
            <w:tcW w:type="dxa" w:w="2078"/>
            <w:vAlign w:val="center"/>
          </w:tcPr>
          <w:p>
            <w:pPr>
              <w:jc w:val="center"/>
            </w:pPr>
            <w:r/>
            <w:r>
              <w:rPr>
                <w:rFonts w:ascii="Times New Roman" w:hAnsi="Times New Roman" w:eastAsia="宋体"/>
                <w:b w:val="0"/>
                <w:color w:val="2A2A2A"/>
                <w:sz w:val="21"/>
              </w:rPr>
              <w:t>—</w:t>
            </w:r>
          </w:p>
        </w:tc>
        <w:tc>
          <w:tcPr>
            <w:tcW w:type="dxa" w:w="2078"/>
            <w:vAlign w:val="center"/>
          </w:tcPr>
          <w:p>
            <w:pPr>
              <w:jc w:val="center"/>
            </w:pPr>
            <w:r/>
            <w:r>
              <w:rPr>
                <w:rFonts w:ascii="Times New Roman" w:hAnsi="Times New Roman" w:eastAsia="宋体"/>
                <w:b w:val="0"/>
                <w:color w:val="2A2A2A"/>
                <w:sz w:val="21"/>
              </w:rPr>
              <w:t>无状态鉴权，便于水平扩展</w:t>
            </w:r>
          </w:p>
        </w:tc>
      </w:tr>
      <w:tr>
        <w:tc>
          <w:tcPr>
            <w:tcW w:type="dxa" w:w="2078"/>
            <w:vAlign w:val="center"/>
          </w:tcPr>
          <w:p>
            <w:pPr>
              <w:jc w:val="left"/>
            </w:pPr>
            <w:r/>
            <w:r>
              <w:rPr>
                <w:rFonts w:ascii="Times New Roman" w:hAnsi="Times New Roman" w:eastAsia="宋体"/>
                <w:b w:val="0"/>
                <w:color w:val="2A2A2A"/>
                <w:sz w:val="21"/>
              </w:rPr>
              <w:t>AI 引擎</w:t>
            </w:r>
          </w:p>
        </w:tc>
        <w:tc>
          <w:tcPr>
            <w:tcW w:type="dxa" w:w="2078"/>
            <w:vAlign w:val="center"/>
          </w:tcPr>
          <w:p>
            <w:pPr>
              <w:jc w:val="center"/>
            </w:pPr>
            <w:r/>
            <w:r>
              <w:rPr>
                <w:rFonts w:ascii="Times New Roman" w:hAnsi="Times New Roman" w:eastAsia="宋体"/>
                <w:b w:val="0"/>
                <w:color w:val="2A2A2A"/>
                <w:sz w:val="21"/>
              </w:rPr>
              <w:t>DeepSeek API</w:t>
            </w:r>
          </w:p>
        </w:tc>
        <w:tc>
          <w:tcPr>
            <w:tcW w:type="dxa" w:w="2078"/>
            <w:vAlign w:val="center"/>
          </w:tcPr>
          <w:p>
            <w:pPr>
              <w:jc w:val="center"/>
            </w:pPr>
            <w:r/>
            <w:r>
              <w:rPr>
                <w:rFonts w:ascii="Times New Roman" w:hAnsi="Times New Roman" w:eastAsia="宋体"/>
                <w:b w:val="0"/>
                <w:color w:val="2A2A2A"/>
                <w:sz w:val="21"/>
              </w:rPr>
              <w:t>—</w:t>
            </w:r>
          </w:p>
        </w:tc>
        <w:tc>
          <w:tcPr>
            <w:tcW w:type="dxa" w:w="2078"/>
            <w:vAlign w:val="center"/>
          </w:tcPr>
          <w:p>
            <w:pPr>
              <w:jc w:val="center"/>
            </w:pPr>
            <w:r/>
            <w:r>
              <w:rPr>
                <w:rFonts w:ascii="Times New Roman" w:hAnsi="Times New Roman" w:eastAsia="宋体"/>
                <w:b w:val="0"/>
                <w:color w:val="2A2A2A"/>
                <w:sz w:val="21"/>
              </w:rPr>
              <w:t>国产开源大模型，中文表现优异</w:t>
            </w:r>
          </w:p>
        </w:tc>
      </w:tr>
      <w:tr>
        <w:tc>
          <w:tcPr>
            <w:tcW w:type="dxa" w:w="2078"/>
            <w:vAlign w:val="center"/>
            <w:tcBorders>
              <w:bottom w:val="single" w:sz="12" w:color="000000"/>
            </w:tcBorders>
          </w:tcPr>
          <w:p>
            <w:pPr>
              <w:jc w:val="left"/>
            </w:pPr>
            <w:r/>
            <w:r>
              <w:rPr>
                <w:rFonts w:ascii="Times New Roman" w:hAnsi="Times New Roman" w:eastAsia="宋体"/>
                <w:b w:val="0"/>
                <w:color w:val="2A2A2A"/>
                <w:sz w:val="21"/>
              </w:rPr>
              <w:t>PDF 生成</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reportlab</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4.0</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Python 原生 PDF 库</w:t>
            </w:r>
          </w:p>
        </w:tc>
      </w:tr>
    </w:tbl>
    <w:p>
      <w:pPr>
        <w:spacing w:line="360" w:lineRule="auto" w:before="240" w:after="120"/>
        <w:jc w:val="left"/>
      </w:pPr>
      <w:r>
        <w:rPr>
          <w:rFonts w:ascii="Times New Roman" w:hAnsi="Times New Roman" w:eastAsia="黑体"/>
          <w:b/>
          <w:color w:val="0D3B2E"/>
          <w:sz w:val="28"/>
        </w:rPr>
        <w:t>2.4 数据规模</w:t>
      </w:r>
    </w:p>
    <w:p>
      <w:pPr>
        <w:spacing w:line="360" w:lineRule="auto" w:before="0" w:after="0"/>
        <w:ind w:firstLine="480"/>
        <w:jc w:val="both"/>
      </w:pPr>
      <w:r>
        <w:rPr>
          <w:rFonts w:ascii="Times New Roman" w:hAnsi="Times New Roman" w:eastAsia="宋体"/>
          <w:b w:val="0"/>
          <w:sz w:val="24"/>
        </w:rPr>
        <w:t>平台以长江三角洲地区 10 个典型区县为研究样本，覆盖江苏、浙江、安徽、四川四省，时间跨度为 2020—2024 年共 5 年。数据来源于《中国县域统计年鉴》《中国城市统计年鉴》及各地统计公报，经清洗后形成 50 条面板数据记录。数据规模如表 2-2 所示。</w:t>
      </w:r>
    </w:p>
    <w:p>
      <w:pPr>
        <w:spacing w:before="120" w:after="60"/>
        <w:jc w:val="center"/>
      </w:pPr>
      <w:r>
        <w:rPr>
          <w:rFonts w:ascii="Times New Roman" w:hAnsi="Times New Roman" w:eastAsia="黑体"/>
          <w:b/>
          <w:color w:val="0D3B2E"/>
          <w:sz w:val="21"/>
        </w:rPr>
        <w:t>表 2-2 平台数据规模统计表</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71"/>
        <w:gridCol w:w="2771"/>
        <w:gridCol w:w="2771"/>
      </w:tblGrid>
      <w:tr>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维度</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规模</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说明</w:t>
            </w:r>
          </w:p>
        </w:tc>
      </w:tr>
      <w:tr>
        <w:tc>
          <w:tcPr>
            <w:tcW w:type="dxa" w:w="2771"/>
            <w:vAlign w:val="center"/>
          </w:tcPr>
          <w:p>
            <w:pPr>
              <w:jc w:val="left"/>
            </w:pPr>
            <w:r/>
            <w:r>
              <w:rPr>
                <w:rFonts w:ascii="Times New Roman" w:hAnsi="Times New Roman" w:eastAsia="宋体"/>
                <w:b w:val="0"/>
                <w:color w:val="2A2A2A"/>
                <w:sz w:val="21"/>
              </w:rPr>
              <w:t>样本区县数</w:t>
            </w:r>
          </w:p>
        </w:tc>
        <w:tc>
          <w:tcPr>
            <w:tcW w:type="dxa" w:w="2771"/>
            <w:vAlign w:val="center"/>
          </w:tcPr>
          <w:p>
            <w:pPr>
              <w:jc w:val="center"/>
            </w:pPr>
            <w:r/>
            <w:r>
              <w:rPr>
                <w:rFonts w:ascii="Times New Roman" w:hAnsi="Times New Roman" w:eastAsia="宋体"/>
                <w:b w:val="0"/>
                <w:color w:val="2A2A2A"/>
                <w:sz w:val="21"/>
              </w:rPr>
              <w:t>10 个</w:t>
            </w:r>
          </w:p>
        </w:tc>
        <w:tc>
          <w:tcPr>
            <w:tcW w:type="dxa" w:w="2771"/>
            <w:vAlign w:val="center"/>
          </w:tcPr>
          <w:p>
            <w:pPr>
              <w:jc w:val="center"/>
            </w:pPr>
            <w:r/>
            <w:r>
              <w:rPr>
                <w:rFonts w:ascii="Times New Roman" w:hAnsi="Times New Roman" w:eastAsia="宋体"/>
                <w:b w:val="0"/>
                <w:color w:val="2A2A2A"/>
                <w:sz w:val="21"/>
              </w:rPr>
              <w:t>江苏 6、浙江 2、安徽 1、四川 1</w:t>
            </w:r>
          </w:p>
        </w:tc>
      </w:tr>
      <w:tr>
        <w:tc>
          <w:tcPr>
            <w:tcW w:type="dxa" w:w="2771"/>
            <w:vAlign w:val="center"/>
          </w:tcPr>
          <w:p>
            <w:pPr>
              <w:jc w:val="left"/>
            </w:pPr>
            <w:r/>
            <w:r>
              <w:rPr>
                <w:rFonts w:ascii="Times New Roman" w:hAnsi="Times New Roman" w:eastAsia="宋体"/>
                <w:b w:val="0"/>
                <w:color w:val="2A2A2A"/>
                <w:sz w:val="21"/>
              </w:rPr>
              <w:t>时间跨度</w:t>
            </w:r>
          </w:p>
        </w:tc>
        <w:tc>
          <w:tcPr>
            <w:tcW w:type="dxa" w:w="2771"/>
            <w:vAlign w:val="center"/>
          </w:tcPr>
          <w:p>
            <w:pPr>
              <w:jc w:val="center"/>
            </w:pPr>
            <w:r/>
            <w:r>
              <w:rPr>
                <w:rFonts w:ascii="Times New Roman" w:hAnsi="Times New Roman" w:eastAsia="宋体"/>
                <w:b w:val="0"/>
                <w:color w:val="2A2A2A"/>
                <w:sz w:val="21"/>
              </w:rPr>
              <w:t>5 年</w:t>
            </w:r>
          </w:p>
        </w:tc>
        <w:tc>
          <w:tcPr>
            <w:tcW w:type="dxa" w:w="2771"/>
            <w:vAlign w:val="center"/>
          </w:tcPr>
          <w:p>
            <w:pPr>
              <w:jc w:val="center"/>
            </w:pPr>
            <w:r/>
            <w:r>
              <w:rPr>
                <w:rFonts w:ascii="Times New Roman" w:hAnsi="Times New Roman" w:eastAsia="宋体"/>
                <w:b w:val="0"/>
                <w:color w:val="2A2A2A"/>
                <w:sz w:val="21"/>
              </w:rPr>
              <w:t>2020—2024 年面板数据</w:t>
            </w:r>
          </w:p>
        </w:tc>
      </w:tr>
      <w:tr>
        <w:tc>
          <w:tcPr>
            <w:tcW w:type="dxa" w:w="2771"/>
            <w:vAlign w:val="center"/>
          </w:tcPr>
          <w:p>
            <w:pPr>
              <w:jc w:val="left"/>
            </w:pPr>
            <w:r/>
            <w:r>
              <w:rPr>
                <w:rFonts w:ascii="Times New Roman" w:hAnsi="Times New Roman" w:eastAsia="宋体"/>
                <w:b w:val="0"/>
                <w:color w:val="2A2A2A"/>
                <w:sz w:val="21"/>
              </w:rPr>
              <w:t>发展模式数</w:t>
            </w:r>
          </w:p>
        </w:tc>
        <w:tc>
          <w:tcPr>
            <w:tcW w:type="dxa" w:w="2771"/>
            <w:vAlign w:val="center"/>
          </w:tcPr>
          <w:p>
            <w:pPr>
              <w:jc w:val="center"/>
            </w:pPr>
            <w:r/>
            <w:r>
              <w:rPr>
                <w:rFonts w:ascii="Times New Roman" w:hAnsi="Times New Roman" w:eastAsia="宋体"/>
                <w:b w:val="0"/>
                <w:color w:val="2A2A2A"/>
                <w:sz w:val="21"/>
              </w:rPr>
              <w:t>5 种</w:t>
            </w:r>
          </w:p>
        </w:tc>
        <w:tc>
          <w:tcPr>
            <w:tcW w:type="dxa" w:w="2771"/>
            <w:vAlign w:val="center"/>
          </w:tcPr>
          <w:p>
            <w:pPr>
              <w:jc w:val="center"/>
            </w:pPr>
            <w:r/>
            <w:r>
              <w:rPr>
                <w:rFonts w:ascii="Times New Roman" w:hAnsi="Times New Roman" w:eastAsia="宋体"/>
                <w:b w:val="0"/>
                <w:color w:val="2A2A2A"/>
                <w:sz w:val="21"/>
              </w:rPr>
              <w:t>层次聚类分析得出</w:t>
            </w:r>
          </w:p>
        </w:tc>
      </w:tr>
      <w:tr>
        <w:tc>
          <w:tcPr>
            <w:tcW w:type="dxa" w:w="2771"/>
            <w:vAlign w:val="center"/>
          </w:tcPr>
          <w:p>
            <w:pPr>
              <w:jc w:val="left"/>
            </w:pPr>
            <w:r/>
            <w:r>
              <w:rPr>
                <w:rFonts w:ascii="Times New Roman" w:hAnsi="Times New Roman" w:eastAsia="宋体"/>
                <w:b w:val="0"/>
                <w:color w:val="2A2A2A"/>
                <w:sz w:val="21"/>
              </w:rPr>
              <w:t>评估指标数</w:t>
            </w:r>
          </w:p>
        </w:tc>
        <w:tc>
          <w:tcPr>
            <w:tcW w:type="dxa" w:w="2771"/>
            <w:vAlign w:val="center"/>
          </w:tcPr>
          <w:p>
            <w:pPr>
              <w:jc w:val="center"/>
            </w:pPr>
            <w:r/>
            <w:r>
              <w:rPr>
                <w:rFonts w:ascii="Times New Roman" w:hAnsi="Times New Roman" w:eastAsia="宋体"/>
                <w:b w:val="0"/>
                <w:color w:val="2A2A2A"/>
                <w:sz w:val="21"/>
              </w:rPr>
              <w:t>26 项</w:t>
            </w:r>
          </w:p>
        </w:tc>
        <w:tc>
          <w:tcPr>
            <w:tcW w:type="dxa" w:w="2771"/>
            <w:vAlign w:val="center"/>
          </w:tcPr>
          <w:p>
            <w:pPr>
              <w:jc w:val="center"/>
            </w:pPr>
            <w:r/>
            <w:r>
              <w:rPr>
                <w:rFonts w:ascii="Times New Roman" w:hAnsi="Times New Roman" w:eastAsia="宋体"/>
                <w:b w:val="0"/>
                <w:color w:val="2A2A2A"/>
                <w:sz w:val="21"/>
              </w:rPr>
              <w:t>11 项生态 + 15 项振兴</w:t>
            </w:r>
          </w:p>
        </w:tc>
      </w:tr>
      <w:tr>
        <w:tc>
          <w:tcPr>
            <w:tcW w:type="dxa" w:w="2771"/>
            <w:vAlign w:val="center"/>
          </w:tcPr>
          <w:p>
            <w:pPr>
              <w:jc w:val="left"/>
            </w:pPr>
            <w:r/>
            <w:r>
              <w:rPr>
                <w:rFonts w:ascii="Times New Roman" w:hAnsi="Times New Roman" w:eastAsia="宋体"/>
                <w:b w:val="0"/>
                <w:color w:val="2A2A2A"/>
                <w:sz w:val="21"/>
              </w:rPr>
              <w:t>准则层数</w:t>
            </w:r>
          </w:p>
        </w:tc>
        <w:tc>
          <w:tcPr>
            <w:tcW w:type="dxa" w:w="2771"/>
            <w:vAlign w:val="center"/>
          </w:tcPr>
          <w:p>
            <w:pPr>
              <w:jc w:val="center"/>
            </w:pPr>
            <w:r/>
            <w:r>
              <w:rPr>
                <w:rFonts w:ascii="Times New Roman" w:hAnsi="Times New Roman" w:eastAsia="宋体"/>
                <w:b w:val="0"/>
                <w:color w:val="2A2A2A"/>
                <w:sz w:val="21"/>
              </w:rPr>
              <w:t>8 个</w:t>
            </w:r>
          </w:p>
        </w:tc>
        <w:tc>
          <w:tcPr>
            <w:tcW w:type="dxa" w:w="2771"/>
            <w:vAlign w:val="center"/>
          </w:tcPr>
          <w:p>
            <w:pPr>
              <w:jc w:val="center"/>
            </w:pPr>
            <w:r/>
            <w:r>
              <w:rPr>
                <w:rFonts w:ascii="Times New Roman" w:hAnsi="Times New Roman" w:eastAsia="宋体"/>
                <w:b w:val="0"/>
                <w:color w:val="2A2A2A"/>
                <w:sz w:val="21"/>
              </w:rPr>
              <w:t>3 个生态 + 5 个振兴</w:t>
            </w:r>
          </w:p>
        </w:tc>
      </w:tr>
      <w:tr>
        <w:tc>
          <w:tcPr>
            <w:tcW w:type="dxa" w:w="2771"/>
            <w:vAlign w:val="center"/>
          </w:tcPr>
          <w:p>
            <w:pPr>
              <w:jc w:val="left"/>
            </w:pPr>
            <w:r/>
            <w:r>
              <w:rPr>
                <w:rFonts w:ascii="Times New Roman" w:hAnsi="Times New Roman" w:eastAsia="宋体"/>
                <w:b w:val="0"/>
                <w:color w:val="2A2A2A"/>
                <w:sz w:val="21"/>
              </w:rPr>
              <w:t>协调等级数</w:t>
            </w:r>
          </w:p>
        </w:tc>
        <w:tc>
          <w:tcPr>
            <w:tcW w:type="dxa" w:w="2771"/>
            <w:vAlign w:val="center"/>
          </w:tcPr>
          <w:p>
            <w:pPr>
              <w:jc w:val="center"/>
            </w:pPr>
            <w:r/>
            <w:r>
              <w:rPr>
                <w:rFonts w:ascii="Times New Roman" w:hAnsi="Times New Roman" w:eastAsia="宋体"/>
                <w:b w:val="0"/>
                <w:color w:val="2A2A2A"/>
                <w:sz w:val="21"/>
              </w:rPr>
              <w:t>10 级</w:t>
            </w:r>
          </w:p>
        </w:tc>
        <w:tc>
          <w:tcPr>
            <w:tcW w:type="dxa" w:w="2771"/>
            <w:vAlign w:val="center"/>
          </w:tcPr>
          <w:p>
            <w:pPr>
              <w:jc w:val="center"/>
            </w:pPr>
            <w:r/>
            <w:r>
              <w:rPr>
                <w:rFonts w:ascii="Times New Roman" w:hAnsi="Times New Roman" w:eastAsia="宋体"/>
                <w:b w:val="0"/>
                <w:color w:val="2A2A2A"/>
                <w:sz w:val="21"/>
              </w:rPr>
              <w:t>极度失调至优质协调</w:t>
            </w:r>
          </w:p>
        </w:tc>
      </w:tr>
      <w:tr>
        <w:tc>
          <w:tcPr>
            <w:tcW w:type="dxa" w:w="2771"/>
            <w:vAlign w:val="center"/>
          </w:tcPr>
          <w:p>
            <w:pPr>
              <w:jc w:val="left"/>
            </w:pPr>
            <w:r/>
            <w:r>
              <w:rPr>
                <w:rFonts w:ascii="Times New Roman" w:hAnsi="Times New Roman" w:eastAsia="宋体"/>
                <w:b w:val="0"/>
                <w:color w:val="2A2A2A"/>
                <w:sz w:val="21"/>
              </w:rPr>
              <w:t>路径建议数</w:t>
            </w:r>
          </w:p>
        </w:tc>
        <w:tc>
          <w:tcPr>
            <w:tcW w:type="dxa" w:w="2771"/>
            <w:vAlign w:val="center"/>
          </w:tcPr>
          <w:p>
            <w:pPr>
              <w:jc w:val="center"/>
            </w:pPr>
            <w:r/>
            <w:r>
              <w:rPr>
                <w:rFonts w:ascii="Times New Roman" w:hAnsi="Times New Roman" w:eastAsia="宋体"/>
                <w:b w:val="0"/>
                <w:color w:val="2A2A2A"/>
                <w:sz w:val="21"/>
              </w:rPr>
              <w:t>27 条</w:t>
            </w:r>
          </w:p>
        </w:tc>
        <w:tc>
          <w:tcPr>
            <w:tcW w:type="dxa" w:w="2771"/>
            <w:vAlign w:val="center"/>
          </w:tcPr>
          <w:p>
            <w:pPr>
              <w:jc w:val="center"/>
            </w:pPr>
            <w:r/>
            <w:r>
              <w:rPr>
                <w:rFonts w:ascii="Times New Roman" w:hAnsi="Times New Roman" w:eastAsia="宋体"/>
                <w:b w:val="0"/>
                <w:color w:val="2A2A2A"/>
                <w:sz w:val="21"/>
              </w:rPr>
              <w:t>每模式 5—6 条结构化建议</w:t>
            </w:r>
          </w:p>
        </w:tc>
      </w:tr>
      <w:tr>
        <w:tc>
          <w:tcPr>
            <w:tcW w:type="dxa" w:w="2771"/>
            <w:vAlign w:val="center"/>
          </w:tcPr>
          <w:p>
            <w:pPr>
              <w:jc w:val="left"/>
            </w:pPr>
            <w:r/>
            <w:r>
              <w:rPr>
                <w:rFonts w:ascii="Times New Roman" w:hAnsi="Times New Roman" w:eastAsia="宋体"/>
                <w:b w:val="0"/>
                <w:color w:val="2A2A2A"/>
                <w:sz w:val="21"/>
              </w:rPr>
              <w:t>政策数量</w:t>
            </w:r>
          </w:p>
        </w:tc>
        <w:tc>
          <w:tcPr>
            <w:tcW w:type="dxa" w:w="2771"/>
            <w:vAlign w:val="center"/>
          </w:tcPr>
          <w:p>
            <w:pPr>
              <w:jc w:val="center"/>
            </w:pPr>
            <w:r/>
            <w:r>
              <w:rPr>
                <w:rFonts w:ascii="Times New Roman" w:hAnsi="Times New Roman" w:eastAsia="宋体"/>
                <w:b w:val="0"/>
                <w:color w:val="2A2A2A"/>
                <w:sz w:val="21"/>
              </w:rPr>
              <w:t>25+ 条</w:t>
            </w:r>
          </w:p>
        </w:tc>
        <w:tc>
          <w:tcPr>
            <w:tcW w:type="dxa" w:w="2771"/>
            <w:vAlign w:val="center"/>
          </w:tcPr>
          <w:p>
            <w:pPr>
              <w:jc w:val="center"/>
            </w:pPr>
            <w:r/>
            <w:r>
              <w:rPr>
                <w:rFonts w:ascii="Times New Roman" w:hAnsi="Times New Roman" w:eastAsia="宋体"/>
                <w:b w:val="0"/>
                <w:color w:val="2A2A2A"/>
                <w:sz w:val="21"/>
              </w:rPr>
              <w:t>国家、省、地市三级</w:t>
            </w:r>
          </w:p>
        </w:tc>
      </w:tr>
      <w:tr>
        <w:tc>
          <w:tcPr>
            <w:tcW w:type="dxa" w:w="2771"/>
            <w:vAlign w:val="center"/>
            <w:tcBorders>
              <w:bottom w:val="single" w:sz="12" w:color="000000"/>
            </w:tcBorders>
          </w:tcPr>
          <w:p>
            <w:pPr>
              <w:jc w:val="left"/>
            </w:pPr>
            <w:r/>
            <w:r>
              <w:rPr>
                <w:rFonts w:ascii="Times New Roman" w:hAnsi="Times New Roman" w:eastAsia="宋体"/>
                <w:b w:val="0"/>
                <w:color w:val="2A2A2A"/>
                <w:sz w:val="21"/>
              </w:rPr>
              <w:t>典型案例数</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5 个</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每模式 1 个典型案例</w:t>
            </w:r>
          </w:p>
        </w:tc>
      </w:tr>
    </w:tbl>
    <w:p>
      <w:r>
        <w:br w:type="page"/>
      </w:r>
    </w:p>
    <w:p>
      <w:pPr>
        <w:spacing w:line="360" w:lineRule="auto" w:before="0" w:after="360"/>
        <w:jc w:val="center"/>
        <w:pBdr>
          <w:bottom w:val="single" w:sz="12" w:space="4" w:color="0D3B2E"/>
        </w:pBdr>
      </w:pPr>
      <w:r>
        <w:rPr>
          <w:rFonts w:ascii="Times New Roman" w:hAnsi="Times New Roman" w:eastAsia="黑体"/>
          <w:b/>
          <w:color w:val="0D3B2E"/>
          <w:sz w:val="36"/>
        </w:rPr>
        <w:t>第三章 核心算法原理</w:t>
      </w:r>
    </w:p>
    <w:p>
      <w:pPr>
        <w:spacing w:line="360" w:lineRule="auto" w:before="0" w:after="0"/>
        <w:ind w:firstLine="480"/>
        <w:jc w:val="both"/>
      </w:pPr>
      <w:r>
        <w:rPr>
          <w:rFonts w:ascii="Times New Roman" w:hAnsi="Times New Roman" w:eastAsia="宋体"/>
          <w:b w:val="0"/>
          <w:sz w:val="24"/>
        </w:rPr>
        <w:t>平台核心算法层集成五大数学方法：层次分析法（AHP）、耦合协调度模型（CCD）、障碍度模型、DeepSeek AI 智能引擎与层次聚类分析。各算法相互独立又彼此协同，共同支撑从数据到决策的完整闭环。</w:t>
      </w:r>
    </w:p>
    <w:p>
      <w:pPr>
        <w:spacing w:line="360" w:lineRule="auto" w:before="240" w:after="120"/>
        <w:jc w:val="left"/>
      </w:pPr>
      <w:r>
        <w:rPr>
          <w:rFonts w:ascii="Times New Roman" w:hAnsi="Times New Roman" w:eastAsia="黑体"/>
          <w:b/>
          <w:color w:val="0D3B2E"/>
          <w:sz w:val="28"/>
        </w:rPr>
        <w:t>3.1 AHP 层次分析法</w:t>
      </w:r>
    </w:p>
    <w:p>
      <w:pPr>
        <w:spacing w:line="360" w:lineRule="auto" w:before="0" w:after="0"/>
        <w:ind w:firstLine="480"/>
        <w:jc w:val="both"/>
      </w:pPr>
      <w:r>
        <w:rPr>
          <w:rFonts w:ascii="Times New Roman" w:hAnsi="Times New Roman" w:eastAsia="宋体"/>
          <w:b w:val="0"/>
          <w:sz w:val="24"/>
        </w:rPr>
        <w:t>层次分析法（Analytic Hierarchy Process, AHP）由美国运筹学家 Saaty 于 20 世纪 70 年代提出，是一种将复杂决策问题分层结构化、通过专家判断量化各要素相对重要性的多准则决策方法。本平台采用 AHP 构建"目标层—准则层—指标层"三级递阶结构，计算 26 项指标的组合权重。</w:t>
      </w:r>
    </w:p>
    <w:p>
      <w:pPr>
        <w:spacing w:line="360" w:lineRule="auto" w:before="120" w:after="120"/>
        <w:jc w:val="left"/>
      </w:pPr>
      <w:r>
        <w:rPr>
          <w:rFonts w:ascii="Times New Roman" w:hAnsi="Times New Roman" w:eastAsia="黑体"/>
          <w:b/>
          <w:color w:val="2D6A4F"/>
          <w:sz w:val="24"/>
        </w:rPr>
        <w:t>3.1.1 指标体系构建</w:t>
      </w:r>
    </w:p>
    <w:p>
      <w:pPr>
        <w:spacing w:line="360" w:lineRule="auto" w:before="0" w:after="0"/>
        <w:ind w:firstLine="480"/>
        <w:jc w:val="both"/>
      </w:pPr>
      <w:r>
        <w:rPr>
          <w:rFonts w:ascii="Times New Roman" w:hAnsi="Times New Roman" w:eastAsia="宋体"/>
          <w:b w:val="0"/>
          <w:sz w:val="24"/>
        </w:rPr>
        <w:t>生态产品价值实现成效指标体系包含 3 个准则层 11 项指标；乡村振兴水平指标体系包含 5 个准则层 15 项指标。准则层权重通过对专家判断矩阵求解最大特征值对应特征向量得出，并通过一致性检验（CR&lt;0.1）确保结果可靠。</w:t>
      </w:r>
    </w:p>
    <w:p>
      <w:pPr>
        <w:spacing w:line="360" w:lineRule="auto" w:before="120" w:after="120"/>
        <w:jc w:val="left"/>
      </w:pPr>
      <w:r>
        <w:rPr>
          <w:rFonts w:ascii="Times New Roman" w:hAnsi="Times New Roman" w:eastAsia="黑体"/>
          <w:b/>
          <w:color w:val="2D6A4F"/>
          <w:sz w:val="24"/>
        </w:rPr>
        <w:t>3.1.2 组合权重计算</w:t>
      </w:r>
    </w:p>
    <w:p>
      <w:pPr>
        <w:spacing w:line="360" w:lineRule="auto" w:before="0" w:after="0"/>
        <w:ind w:firstLine="480"/>
        <w:jc w:val="both"/>
      </w:pPr>
      <w:r>
        <w:rPr>
          <w:rFonts w:ascii="Times New Roman" w:hAnsi="Times New Roman" w:eastAsia="宋体"/>
          <w:b w:val="0"/>
          <w:sz w:val="24"/>
        </w:rPr>
        <w:t>设准则层 B 对目标层 A 的权重为 w_B，指标层 C 对准则层 B 的权重为 w_{C|B}，则指标 C 对目标层 A 的组合权重为：</w:t>
      </w:r>
    </w:p>
    <w:p>
      <w:pPr>
        <w:spacing w:line="360" w:lineRule="auto" w:before="120" w:after="120"/>
        <w:ind w:left="567" w:right="567"/>
        <w:jc w:val="center"/>
        <w:shd w:val="clear" w:fill="FAF7F0"/>
        <w:pBdr>
          <w:left w:val="single" w:sz="24" w:space="4" w:color="C79A00"/>
        </w:pBdr>
      </w:pPr>
      <w:r>
        <w:rPr>
          <w:rFonts w:ascii="Cambria Math" w:hAnsi="Cambria Math" w:eastAsia="Cambria Math"/>
          <w:b w:val="0"/>
          <w:color w:val="0D3B2E"/>
          <w:sz w:val="22"/>
        </w:rPr>
        <w:t>W_C = w_B × w_{C|B}</w:t>
      </w:r>
      <w:r>
        <w:rPr>
          <w:rFonts w:ascii="Times New Roman" w:hAnsi="Times New Roman" w:eastAsia="Times New Roman"/>
          <w:b w:val="0"/>
          <w:color w:val="5A5A5A"/>
          <w:sz w:val="22"/>
        </w:rPr>
        <w:t xml:space="preserve">    (3-1)</w:t>
      </w:r>
    </w:p>
    <w:p>
      <w:pPr>
        <w:spacing w:line="360" w:lineRule="auto" w:before="0" w:after="0"/>
        <w:ind w:firstLine="480"/>
        <w:jc w:val="both"/>
      </w:pPr>
      <w:r>
        <w:rPr>
          <w:rFonts w:ascii="Times New Roman" w:hAnsi="Times New Roman" w:eastAsia="宋体"/>
          <w:b w:val="0"/>
          <w:sz w:val="24"/>
        </w:rPr>
        <w:t>所有指标组合权重之和为 1。以"地区生产总值"为例，其所属经济效益准则层权重为 0.6392，其在经济效益层内权重为 0.4192，则组合权重为 0.6392 × 0.4192 ≈ 0.2676。</w:t>
      </w:r>
    </w:p>
    <w:p>
      <w:pPr>
        <w:spacing w:line="360" w:lineRule="auto" w:before="240" w:after="120"/>
        <w:jc w:val="left"/>
      </w:pPr>
      <w:r>
        <w:rPr>
          <w:rFonts w:ascii="Times New Roman" w:hAnsi="Times New Roman" w:eastAsia="黑体"/>
          <w:b/>
          <w:color w:val="0D3B2E"/>
          <w:sz w:val="28"/>
        </w:rPr>
        <w:t>3.2 耦合协调度模型</w:t>
      </w:r>
    </w:p>
    <w:p>
      <w:pPr>
        <w:spacing w:line="360" w:lineRule="auto" w:before="0" w:after="0"/>
        <w:ind w:firstLine="480"/>
        <w:jc w:val="both"/>
      </w:pPr>
      <w:r>
        <w:rPr>
          <w:rFonts w:ascii="Times New Roman" w:hAnsi="Times New Roman" w:eastAsia="宋体"/>
          <w:b w:val="0"/>
          <w:sz w:val="24"/>
        </w:rPr>
        <w:t>耦合协调度模型（Coupling Coordination Degree, CCD）用于测算两个或多个系统之间的协调发展水平。本平台运用该模型评估生态产品价值实现系统与乡村振兴系统之间的耦合协调度，判定两大系统是否同步发展。</w:t>
      </w:r>
    </w:p>
    <w:p>
      <w:pPr>
        <w:spacing w:line="360" w:lineRule="auto" w:before="120" w:after="120"/>
        <w:jc w:val="left"/>
      </w:pPr>
      <w:r>
        <w:rPr>
          <w:rFonts w:ascii="Times New Roman" w:hAnsi="Times New Roman" w:eastAsia="黑体"/>
          <w:b/>
          <w:color w:val="2D6A4F"/>
          <w:sz w:val="24"/>
        </w:rPr>
        <w:t>3.2.1 计算公式</w:t>
      </w:r>
    </w:p>
    <w:p>
      <w:pPr>
        <w:spacing w:line="360" w:lineRule="auto" w:before="0" w:after="0"/>
        <w:ind w:firstLine="480"/>
        <w:jc w:val="both"/>
      </w:pPr>
      <w:r>
        <w:rPr>
          <w:rFonts w:ascii="Times New Roman" w:hAnsi="Times New Roman" w:eastAsia="宋体"/>
          <w:b w:val="0"/>
          <w:sz w:val="24"/>
        </w:rPr>
        <w:t>设 U1 为生态产品价值实现综合得分，U2 为乡村振兴综合得分（均归一化至 [0,1] 区间），则：</w:t>
      </w:r>
    </w:p>
    <w:p>
      <w:pPr>
        <w:spacing w:line="360" w:lineRule="auto" w:before="120" w:after="120"/>
        <w:ind w:left="567" w:right="567"/>
        <w:jc w:val="center"/>
        <w:shd w:val="clear" w:fill="FAF7F0"/>
        <w:pBdr>
          <w:left w:val="single" w:sz="24" w:space="4" w:color="C79A00"/>
        </w:pBdr>
      </w:pPr>
      <w:r>
        <w:rPr>
          <w:rFonts w:ascii="Cambria Math" w:hAnsi="Cambria Math" w:eastAsia="Cambria Math"/>
          <w:b w:val="0"/>
          <w:color w:val="0D3B2E"/>
          <w:sz w:val="22"/>
        </w:rPr>
        <w:t>C = 2·√(U1·U2) / (U1 + U2)</w:t>
      </w:r>
      <w:r>
        <w:rPr>
          <w:rFonts w:ascii="Times New Roman" w:hAnsi="Times New Roman" w:eastAsia="Times New Roman"/>
          <w:b w:val="0"/>
          <w:color w:val="5A5A5A"/>
          <w:sz w:val="22"/>
        </w:rPr>
        <w:t xml:space="preserve">    (3-2)</w:t>
      </w:r>
    </w:p>
    <w:p>
      <w:pPr>
        <w:spacing w:line="360" w:lineRule="auto" w:before="120" w:after="120"/>
        <w:ind w:left="567" w:right="567"/>
        <w:jc w:val="center"/>
        <w:shd w:val="clear" w:fill="FAF7F0"/>
        <w:pBdr>
          <w:left w:val="single" w:sz="24" w:space="4" w:color="C79A00"/>
        </w:pBdr>
      </w:pPr>
      <w:r>
        <w:rPr>
          <w:rFonts w:ascii="Cambria Math" w:hAnsi="Cambria Math" w:eastAsia="Cambria Math"/>
          <w:b w:val="0"/>
          <w:color w:val="0D3B2E"/>
          <w:sz w:val="22"/>
        </w:rPr>
        <w:t>T = α·U1 + β·U2</w:t>
      </w:r>
      <w:r>
        <w:rPr>
          <w:rFonts w:ascii="Times New Roman" w:hAnsi="Times New Roman" w:eastAsia="Times New Roman"/>
          <w:b w:val="0"/>
          <w:color w:val="5A5A5A"/>
          <w:sz w:val="22"/>
        </w:rPr>
        <w:t xml:space="preserve">    (3-3)</w:t>
      </w:r>
    </w:p>
    <w:p>
      <w:pPr>
        <w:spacing w:line="360" w:lineRule="auto" w:before="120" w:after="120"/>
        <w:ind w:left="567" w:right="567"/>
        <w:jc w:val="center"/>
        <w:shd w:val="clear" w:fill="FAF7F0"/>
        <w:pBdr>
          <w:left w:val="single" w:sz="24" w:space="4" w:color="C79A00"/>
        </w:pBdr>
      </w:pPr>
      <w:r>
        <w:rPr>
          <w:rFonts w:ascii="Cambria Math" w:hAnsi="Cambria Math" w:eastAsia="Cambria Math"/>
          <w:b w:val="0"/>
          <w:color w:val="0D3B2E"/>
          <w:sz w:val="22"/>
        </w:rPr>
        <w:t>D = √(C·T)</w:t>
      </w:r>
      <w:r>
        <w:rPr>
          <w:rFonts w:ascii="Times New Roman" w:hAnsi="Times New Roman" w:eastAsia="Times New Roman"/>
          <w:b w:val="0"/>
          <w:color w:val="5A5A5A"/>
          <w:sz w:val="22"/>
        </w:rPr>
        <w:t xml:space="preserve">    (3-4)</w:t>
      </w:r>
    </w:p>
    <w:p>
      <w:pPr>
        <w:spacing w:line="360" w:lineRule="auto" w:before="0" w:after="0"/>
        <w:ind w:firstLine="480"/>
        <w:jc w:val="both"/>
      </w:pPr>
      <w:r>
        <w:rPr>
          <w:rFonts w:ascii="Times New Roman" w:hAnsi="Times New Roman" w:eastAsia="宋体"/>
          <w:b w:val="0"/>
          <w:sz w:val="24"/>
        </w:rPr>
        <w:t>其中，C 为耦合度，反映两系统相互作用强度；T 为综合协调指数，α、β 为待定系数，本平台取 α=β=0.5，表示两系统同等重要；D 为耦合协调度，反映两系统协调发展水平，取值范围 [0,1]。</w:t>
      </w:r>
    </w:p>
    <w:p>
      <w:pPr>
        <w:spacing w:line="360" w:lineRule="auto" w:before="120" w:after="120"/>
        <w:jc w:val="left"/>
      </w:pPr>
      <w:r>
        <w:rPr>
          <w:rFonts w:ascii="Times New Roman" w:hAnsi="Times New Roman" w:eastAsia="黑体"/>
          <w:b/>
          <w:color w:val="2D6A4F"/>
          <w:sz w:val="24"/>
        </w:rPr>
        <w:t>3.2.2 等级划分</w:t>
      </w:r>
    </w:p>
    <w:p>
      <w:pPr>
        <w:spacing w:line="360" w:lineRule="auto" w:before="0" w:after="0"/>
        <w:ind w:firstLine="480"/>
        <w:jc w:val="both"/>
      </w:pPr>
      <w:r>
        <w:rPr>
          <w:rFonts w:ascii="Times New Roman" w:hAnsi="Times New Roman" w:eastAsia="宋体"/>
          <w:b w:val="0"/>
          <w:sz w:val="24"/>
        </w:rPr>
        <w:t>依据 D 值大小划分为 10 级协调等级，具体如表 3-1 所示。</w:t>
      </w:r>
    </w:p>
    <w:p>
      <w:pPr>
        <w:spacing w:before="120" w:after="60"/>
        <w:jc w:val="center"/>
      </w:pPr>
      <w:r>
        <w:rPr>
          <w:rFonts w:ascii="Times New Roman" w:hAnsi="Times New Roman" w:eastAsia="黑体"/>
          <w:b/>
          <w:color w:val="0D3B2E"/>
          <w:sz w:val="21"/>
        </w:rPr>
        <w:t>表 3-1 耦合协调度 10 级划分标准</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078"/>
        <w:gridCol w:w="2078"/>
        <w:gridCol w:w="2078"/>
        <w:gridCol w:w="2078"/>
      </w:tblGrid>
      <w:tr>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D 值区间</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等级</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类型</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政策含义</w:t>
            </w:r>
          </w:p>
        </w:tc>
      </w:tr>
      <w:tr>
        <w:tc>
          <w:tcPr>
            <w:tcW w:type="dxa" w:w="2078"/>
            <w:vAlign w:val="center"/>
          </w:tcPr>
          <w:p>
            <w:pPr>
              <w:jc w:val="left"/>
            </w:pPr>
            <w:r/>
            <w:r>
              <w:rPr>
                <w:rFonts w:ascii="Times New Roman" w:hAnsi="Times New Roman" w:eastAsia="宋体"/>
                <w:b w:val="0"/>
                <w:color w:val="2A2A2A"/>
                <w:sz w:val="21"/>
              </w:rPr>
              <w:t>[0.0, 0.1)</w:t>
            </w:r>
          </w:p>
        </w:tc>
        <w:tc>
          <w:tcPr>
            <w:tcW w:type="dxa" w:w="2078"/>
            <w:vAlign w:val="center"/>
          </w:tcPr>
          <w:p>
            <w:pPr>
              <w:jc w:val="center"/>
            </w:pPr>
            <w:r/>
            <w:r>
              <w:rPr>
                <w:rFonts w:ascii="Times New Roman" w:hAnsi="Times New Roman" w:eastAsia="宋体"/>
                <w:b w:val="0"/>
                <w:color w:val="2A2A2A"/>
                <w:sz w:val="21"/>
              </w:rPr>
              <w:t>极度失调</w:t>
            </w:r>
          </w:p>
        </w:tc>
        <w:tc>
          <w:tcPr>
            <w:tcW w:type="dxa" w:w="2078"/>
            <w:vAlign w:val="center"/>
          </w:tcPr>
          <w:p>
            <w:pPr>
              <w:jc w:val="center"/>
            </w:pPr>
            <w:r/>
            <w:r>
              <w:rPr>
                <w:rFonts w:ascii="Times New Roman" w:hAnsi="Times New Roman" w:eastAsia="宋体"/>
                <w:b w:val="0"/>
                <w:color w:val="2A2A2A"/>
                <w:sz w:val="21"/>
              </w:rPr>
              <w:t>失调类</w:t>
            </w:r>
          </w:p>
        </w:tc>
        <w:tc>
          <w:tcPr>
            <w:tcW w:type="dxa" w:w="2078"/>
            <w:vAlign w:val="center"/>
          </w:tcPr>
          <w:p>
            <w:pPr>
              <w:jc w:val="center"/>
            </w:pPr>
            <w:r/>
            <w:r>
              <w:rPr>
                <w:rFonts w:ascii="Times New Roman" w:hAnsi="Times New Roman" w:eastAsia="宋体"/>
                <w:b w:val="0"/>
                <w:color w:val="2A2A2A"/>
                <w:sz w:val="21"/>
              </w:rPr>
              <w:t>系统严重失衡，亟需干预</w:t>
            </w:r>
          </w:p>
        </w:tc>
      </w:tr>
      <w:tr>
        <w:tc>
          <w:tcPr>
            <w:tcW w:type="dxa" w:w="2078"/>
            <w:vAlign w:val="center"/>
          </w:tcPr>
          <w:p>
            <w:pPr>
              <w:jc w:val="left"/>
            </w:pPr>
            <w:r/>
            <w:r>
              <w:rPr>
                <w:rFonts w:ascii="Times New Roman" w:hAnsi="Times New Roman" w:eastAsia="宋体"/>
                <w:b w:val="0"/>
                <w:color w:val="2A2A2A"/>
                <w:sz w:val="21"/>
              </w:rPr>
              <w:t>[0.1, 0.2)</w:t>
            </w:r>
          </w:p>
        </w:tc>
        <w:tc>
          <w:tcPr>
            <w:tcW w:type="dxa" w:w="2078"/>
            <w:vAlign w:val="center"/>
          </w:tcPr>
          <w:p>
            <w:pPr>
              <w:jc w:val="center"/>
            </w:pPr>
            <w:r/>
            <w:r>
              <w:rPr>
                <w:rFonts w:ascii="Times New Roman" w:hAnsi="Times New Roman" w:eastAsia="宋体"/>
                <w:b w:val="0"/>
                <w:color w:val="2A2A2A"/>
                <w:sz w:val="21"/>
              </w:rPr>
              <w:t>严重失调</w:t>
            </w:r>
          </w:p>
        </w:tc>
        <w:tc>
          <w:tcPr>
            <w:tcW w:type="dxa" w:w="2078"/>
            <w:vAlign w:val="center"/>
          </w:tcPr>
          <w:p>
            <w:pPr>
              <w:jc w:val="center"/>
            </w:pPr>
            <w:r/>
            <w:r>
              <w:rPr>
                <w:rFonts w:ascii="Times New Roman" w:hAnsi="Times New Roman" w:eastAsia="宋体"/>
                <w:b w:val="0"/>
                <w:color w:val="2A2A2A"/>
                <w:sz w:val="21"/>
              </w:rPr>
              <w:t>失调类</w:t>
            </w:r>
          </w:p>
        </w:tc>
        <w:tc>
          <w:tcPr>
            <w:tcW w:type="dxa" w:w="2078"/>
            <w:vAlign w:val="center"/>
          </w:tcPr>
          <w:p>
            <w:pPr>
              <w:jc w:val="center"/>
            </w:pPr>
            <w:r/>
            <w:r>
              <w:rPr>
                <w:rFonts w:ascii="Times New Roman" w:hAnsi="Times New Roman" w:eastAsia="宋体"/>
                <w:b w:val="0"/>
                <w:color w:val="2A2A2A"/>
                <w:sz w:val="21"/>
              </w:rPr>
              <w:t>系统失衡明显</w:t>
            </w:r>
          </w:p>
        </w:tc>
      </w:tr>
      <w:tr>
        <w:tc>
          <w:tcPr>
            <w:tcW w:type="dxa" w:w="2078"/>
            <w:vAlign w:val="center"/>
          </w:tcPr>
          <w:p>
            <w:pPr>
              <w:jc w:val="left"/>
            </w:pPr>
            <w:r/>
            <w:r>
              <w:rPr>
                <w:rFonts w:ascii="Times New Roman" w:hAnsi="Times New Roman" w:eastAsia="宋体"/>
                <w:b w:val="0"/>
                <w:color w:val="2A2A2A"/>
                <w:sz w:val="21"/>
              </w:rPr>
              <w:t>[0.2, 0.3)</w:t>
            </w:r>
          </w:p>
        </w:tc>
        <w:tc>
          <w:tcPr>
            <w:tcW w:type="dxa" w:w="2078"/>
            <w:vAlign w:val="center"/>
          </w:tcPr>
          <w:p>
            <w:pPr>
              <w:jc w:val="center"/>
            </w:pPr>
            <w:r/>
            <w:r>
              <w:rPr>
                <w:rFonts w:ascii="Times New Roman" w:hAnsi="Times New Roman" w:eastAsia="宋体"/>
                <w:b w:val="0"/>
                <w:color w:val="2A2A2A"/>
                <w:sz w:val="21"/>
              </w:rPr>
              <w:t>中度失调</w:t>
            </w:r>
          </w:p>
        </w:tc>
        <w:tc>
          <w:tcPr>
            <w:tcW w:type="dxa" w:w="2078"/>
            <w:vAlign w:val="center"/>
          </w:tcPr>
          <w:p>
            <w:pPr>
              <w:jc w:val="center"/>
            </w:pPr>
            <w:r/>
            <w:r>
              <w:rPr>
                <w:rFonts w:ascii="Times New Roman" w:hAnsi="Times New Roman" w:eastAsia="宋体"/>
                <w:b w:val="0"/>
                <w:color w:val="2A2A2A"/>
                <w:sz w:val="21"/>
              </w:rPr>
              <w:t>失调类</w:t>
            </w:r>
          </w:p>
        </w:tc>
        <w:tc>
          <w:tcPr>
            <w:tcW w:type="dxa" w:w="2078"/>
            <w:vAlign w:val="center"/>
          </w:tcPr>
          <w:p>
            <w:pPr>
              <w:jc w:val="center"/>
            </w:pPr>
            <w:r/>
            <w:r>
              <w:rPr>
                <w:rFonts w:ascii="Times New Roman" w:hAnsi="Times New Roman" w:eastAsia="宋体"/>
                <w:b w:val="0"/>
                <w:color w:val="2A2A2A"/>
                <w:sz w:val="21"/>
              </w:rPr>
              <w:t>系统失衡，需重点改进</w:t>
            </w:r>
          </w:p>
        </w:tc>
      </w:tr>
      <w:tr>
        <w:tc>
          <w:tcPr>
            <w:tcW w:type="dxa" w:w="2078"/>
            <w:vAlign w:val="center"/>
          </w:tcPr>
          <w:p>
            <w:pPr>
              <w:jc w:val="left"/>
            </w:pPr>
            <w:r/>
            <w:r>
              <w:rPr>
                <w:rFonts w:ascii="Times New Roman" w:hAnsi="Times New Roman" w:eastAsia="宋体"/>
                <w:b w:val="0"/>
                <w:color w:val="2A2A2A"/>
                <w:sz w:val="21"/>
              </w:rPr>
              <w:t>[0.3, 0.4)</w:t>
            </w:r>
          </w:p>
        </w:tc>
        <w:tc>
          <w:tcPr>
            <w:tcW w:type="dxa" w:w="2078"/>
            <w:vAlign w:val="center"/>
          </w:tcPr>
          <w:p>
            <w:pPr>
              <w:jc w:val="center"/>
            </w:pPr>
            <w:r/>
            <w:r>
              <w:rPr>
                <w:rFonts w:ascii="Times New Roman" w:hAnsi="Times New Roman" w:eastAsia="宋体"/>
                <w:b w:val="0"/>
                <w:color w:val="2A2A2A"/>
                <w:sz w:val="21"/>
              </w:rPr>
              <w:t>轻度失调</w:t>
            </w:r>
          </w:p>
        </w:tc>
        <w:tc>
          <w:tcPr>
            <w:tcW w:type="dxa" w:w="2078"/>
            <w:vAlign w:val="center"/>
          </w:tcPr>
          <w:p>
            <w:pPr>
              <w:jc w:val="center"/>
            </w:pPr>
            <w:r/>
            <w:r>
              <w:rPr>
                <w:rFonts w:ascii="Times New Roman" w:hAnsi="Times New Roman" w:eastAsia="宋体"/>
                <w:b w:val="0"/>
                <w:color w:val="2A2A2A"/>
                <w:sz w:val="21"/>
              </w:rPr>
              <w:t>失调类</w:t>
            </w:r>
          </w:p>
        </w:tc>
        <w:tc>
          <w:tcPr>
            <w:tcW w:type="dxa" w:w="2078"/>
            <w:vAlign w:val="center"/>
          </w:tcPr>
          <w:p>
            <w:pPr>
              <w:jc w:val="center"/>
            </w:pPr>
            <w:r/>
            <w:r>
              <w:rPr>
                <w:rFonts w:ascii="Times New Roman" w:hAnsi="Times New Roman" w:eastAsia="宋体"/>
                <w:b w:val="0"/>
                <w:color w:val="2A2A2A"/>
                <w:sz w:val="21"/>
              </w:rPr>
              <w:t>系统轻度失衡</w:t>
            </w:r>
          </w:p>
        </w:tc>
      </w:tr>
      <w:tr>
        <w:tc>
          <w:tcPr>
            <w:tcW w:type="dxa" w:w="2078"/>
            <w:vAlign w:val="center"/>
          </w:tcPr>
          <w:p>
            <w:pPr>
              <w:jc w:val="left"/>
            </w:pPr>
            <w:r/>
            <w:r>
              <w:rPr>
                <w:rFonts w:ascii="Times New Roman" w:hAnsi="Times New Roman" w:eastAsia="宋体"/>
                <w:b w:val="0"/>
                <w:color w:val="2A2A2A"/>
                <w:sz w:val="21"/>
              </w:rPr>
              <w:t>[0.4, 0.5)</w:t>
            </w:r>
          </w:p>
        </w:tc>
        <w:tc>
          <w:tcPr>
            <w:tcW w:type="dxa" w:w="2078"/>
            <w:vAlign w:val="center"/>
          </w:tcPr>
          <w:p>
            <w:pPr>
              <w:jc w:val="center"/>
            </w:pPr>
            <w:r/>
            <w:r>
              <w:rPr>
                <w:rFonts w:ascii="Times New Roman" w:hAnsi="Times New Roman" w:eastAsia="宋体"/>
                <w:b w:val="0"/>
                <w:color w:val="2A2A2A"/>
                <w:sz w:val="21"/>
              </w:rPr>
              <w:t>濒临失调</w:t>
            </w:r>
          </w:p>
        </w:tc>
        <w:tc>
          <w:tcPr>
            <w:tcW w:type="dxa" w:w="2078"/>
            <w:vAlign w:val="center"/>
          </w:tcPr>
          <w:p>
            <w:pPr>
              <w:jc w:val="center"/>
            </w:pPr>
            <w:r/>
            <w:r>
              <w:rPr>
                <w:rFonts w:ascii="Times New Roman" w:hAnsi="Times New Roman" w:eastAsia="宋体"/>
                <w:b w:val="0"/>
                <w:color w:val="2A2A2A"/>
                <w:sz w:val="21"/>
              </w:rPr>
              <w:t>过渡类</w:t>
            </w:r>
          </w:p>
        </w:tc>
        <w:tc>
          <w:tcPr>
            <w:tcW w:type="dxa" w:w="2078"/>
            <w:vAlign w:val="center"/>
          </w:tcPr>
          <w:p>
            <w:pPr>
              <w:jc w:val="center"/>
            </w:pPr>
            <w:r/>
            <w:r>
              <w:rPr>
                <w:rFonts w:ascii="Times New Roman" w:hAnsi="Times New Roman" w:eastAsia="宋体"/>
                <w:b w:val="0"/>
                <w:color w:val="2A2A2A"/>
                <w:sz w:val="21"/>
              </w:rPr>
              <w:t>接近失调边缘</w:t>
            </w:r>
          </w:p>
        </w:tc>
      </w:tr>
      <w:tr>
        <w:tc>
          <w:tcPr>
            <w:tcW w:type="dxa" w:w="2078"/>
            <w:vAlign w:val="center"/>
          </w:tcPr>
          <w:p>
            <w:pPr>
              <w:jc w:val="left"/>
            </w:pPr>
            <w:r/>
            <w:r>
              <w:rPr>
                <w:rFonts w:ascii="Times New Roman" w:hAnsi="Times New Roman" w:eastAsia="宋体"/>
                <w:b w:val="0"/>
                <w:color w:val="2A2A2A"/>
                <w:sz w:val="21"/>
              </w:rPr>
              <w:t>[0.5, 0.6)</w:t>
            </w:r>
          </w:p>
        </w:tc>
        <w:tc>
          <w:tcPr>
            <w:tcW w:type="dxa" w:w="2078"/>
            <w:vAlign w:val="center"/>
          </w:tcPr>
          <w:p>
            <w:pPr>
              <w:jc w:val="center"/>
            </w:pPr>
            <w:r/>
            <w:r>
              <w:rPr>
                <w:rFonts w:ascii="Times New Roman" w:hAnsi="Times New Roman" w:eastAsia="宋体"/>
                <w:b w:val="0"/>
                <w:color w:val="2A2A2A"/>
                <w:sz w:val="21"/>
              </w:rPr>
              <w:t>勉强协调</w:t>
            </w:r>
          </w:p>
        </w:tc>
        <w:tc>
          <w:tcPr>
            <w:tcW w:type="dxa" w:w="2078"/>
            <w:vAlign w:val="center"/>
          </w:tcPr>
          <w:p>
            <w:pPr>
              <w:jc w:val="center"/>
            </w:pPr>
            <w:r/>
            <w:r>
              <w:rPr>
                <w:rFonts w:ascii="Times New Roman" w:hAnsi="Times New Roman" w:eastAsia="宋体"/>
                <w:b w:val="0"/>
                <w:color w:val="2A2A2A"/>
                <w:sz w:val="21"/>
              </w:rPr>
              <w:t>过渡类</w:t>
            </w:r>
          </w:p>
        </w:tc>
        <w:tc>
          <w:tcPr>
            <w:tcW w:type="dxa" w:w="2078"/>
            <w:vAlign w:val="center"/>
          </w:tcPr>
          <w:p>
            <w:pPr>
              <w:jc w:val="center"/>
            </w:pPr>
            <w:r/>
            <w:r>
              <w:rPr>
                <w:rFonts w:ascii="Times New Roman" w:hAnsi="Times New Roman" w:eastAsia="宋体"/>
                <w:b w:val="0"/>
                <w:color w:val="2A2A2A"/>
                <w:sz w:val="21"/>
              </w:rPr>
              <w:t>初步协调，基础薄弱</w:t>
            </w:r>
          </w:p>
        </w:tc>
      </w:tr>
      <w:tr>
        <w:tc>
          <w:tcPr>
            <w:tcW w:type="dxa" w:w="2078"/>
            <w:vAlign w:val="center"/>
          </w:tcPr>
          <w:p>
            <w:pPr>
              <w:jc w:val="left"/>
            </w:pPr>
            <w:r/>
            <w:r>
              <w:rPr>
                <w:rFonts w:ascii="Times New Roman" w:hAnsi="Times New Roman" w:eastAsia="宋体"/>
                <w:b w:val="0"/>
                <w:color w:val="2A2A2A"/>
                <w:sz w:val="21"/>
              </w:rPr>
              <w:t>[0.6, 0.7)</w:t>
            </w:r>
          </w:p>
        </w:tc>
        <w:tc>
          <w:tcPr>
            <w:tcW w:type="dxa" w:w="2078"/>
            <w:vAlign w:val="center"/>
          </w:tcPr>
          <w:p>
            <w:pPr>
              <w:jc w:val="center"/>
            </w:pPr>
            <w:r/>
            <w:r>
              <w:rPr>
                <w:rFonts w:ascii="Times New Roman" w:hAnsi="Times New Roman" w:eastAsia="宋体"/>
                <w:b w:val="0"/>
                <w:color w:val="2A2A2A"/>
                <w:sz w:val="21"/>
              </w:rPr>
              <w:t>初级协调</w:t>
            </w:r>
          </w:p>
        </w:tc>
        <w:tc>
          <w:tcPr>
            <w:tcW w:type="dxa" w:w="2078"/>
            <w:vAlign w:val="center"/>
          </w:tcPr>
          <w:p>
            <w:pPr>
              <w:jc w:val="center"/>
            </w:pPr>
            <w:r/>
            <w:r>
              <w:rPr>
                <w:rFonts w:ascii="Times New Roman" w:hAnsi="Times New Roman" w:eastAsia="宋体"/>
                <w:b w:val="0"/>
                <w:color w:val="2A2A2A"/>
                <w:sz w:val="21"/>
              </w:rPr>
              <w:t>协调类</w:t>
            </w:r>
          </w:p>
        </w:tc>
        <w:tc>
          <w:tcPr>
            <w:tcW w:type="dxa" w:w="2078"/>
            <w:vAlign w:val="center"/>
          </w:tcPr>
          <w:p>
            <w:pPr>
              <w:jc w:val="center"/>
            </w:pPr>
            <w:r/>
            <w:r>
              <w:rPr>
                <w:rFonts w:ascii="Times New Roman" w:hAnsi="Times New Roman" w:eastAsia="宋体"/>
                <w:b w:val="0"/>
                <w:color w:val="2A2A2A"/>
                <w:sz w:val="21"/>
              </w:rPr>
              <w:t>协调水平较低</w:t>
            </w:r>
          </w:p>
        </w:tc>
      </w:tr>
      <w:tr>
        <w:tc>
          <w:tcPr>
            <w:tcW w:type="dxa" w:w="2078"/>
            <w:vAlign w:val="center"/>
          </w:tcPr>
          <w:p>
            <w:pPr>
              <w:jc w:val="left"/>
            </w:pPr>
            <w:r/>
            <w:r>
              <w:rPr>
                <w:rFonts w:ascii="Times New Roman" w:hAnsi="Times New Roman" w:eastAsia="宋体"/>
                <w:b w:val="0"/>
                <w:color w:val="2A2A2A"/>
                <w:sz w:val="21"/>
              </w:rPr>
              <w:t>[0.7, 0.8)</w:t>
            </w:r>
          </w:p>
        </w:tc>
        <w:tc>
          <w:tcPr>
            <w:tcW w:type="dxa" w:w="2078"/>
            <w:vAlign w:val="center"/>
          </w:tcPr>
          <w:p>
            <w:pPr>
              <w:jc w:val="center"/>
            </w:pPr>
            <w:r/>
            <w:r>
              <w:rPr>
                <w:rFonts w:ascii="Times New Roman" w:hAnsi="Times New Roman" w:eastAsia="宋体"/>
                <w:b w:val="0"/>
                <w:color w:val="2A2A2A"/>
                <w:sz w:val="21"/>
              </w:rPr>
              <w:t>中级协调</w:t>
            </w:r>
          </w:p>
        </w:tc>
        <w:tc>
          <w:tcPr>
            <w:tcW w:type="dxa" w:w="2078"/>
            <w:vAlign w:val="center"/>
          </w:tcPr>
          <w:p>
            <w:pPr>
              <w:jc w:val="center"/>
            </w:pPr>
            <w:r/>
            <w:r>
              <w:rPr>
                <w:rFonts w:ascii="Times New Roman" w:hAnsi="Times New Roman" w:eastAsia="宋体"/>
                <w:b w:val="0"/>
                <w:color w:val="2A2A2A"/>
                <w:sz w:val="21"/>
              </w:rPr>
              <w:t>协调类</w:t>
            </w:r>
          </w:p>
        </w:tc>
        <w:tc>
          <w:tcPr>
            <w:tcW w:type="dxa" w:w="2078"/>
            <w:vAlign w:val="center"/>
          </w:tcPr>
          <w:p>
            <w:pPr>
              <w:jc w:val="center"/>
            </w:pPr>
            <w:r/>
            <w:r>
              <w:rPr>
                <w:rFonts w:ascii="Times New Roman" w:hAnsi="Times New Roman" w:eastAsia="宋体"/>
                <w:b w:val="0"/>
                <w:color w:val="2A2A2A"/>
                <w:sz w:val="21"/>
              </w:rPr>
              <w:t>协调水平中等</w:t>
            </w:r>
          </w:p>
        </w:tc>
      </w:tr>
      <w:tr>
        <w:tc>
          <w:tcPr>
            <w:tcW w:type="dxa" w:w="2078"/>
            <w:vAlign w:val="center"/>
          </w:tcPr>
          <w:p>
            <w:pPr>
              <w:jc w:val="left"/>
            </w:pPr>
            <w:r/>
            <w:r>
              <w:rPr>
                <w:rFonts w:ascii="Times New Roman" w:hAnsi="Times New Roman" w:eastAsia="宋体"/>
                <w:b w:val="0"/>
                <w:color w:val="2A2A2A"/>
                <w:sz w:val="21"/>
              </w:rPr>
              <w:t>[0.8, 0.9)</w:t>
            </w:r>
          </w:p>
        </w:tc>
        <w:tc>
          <w:tcPr>
            <w:tcW w:type="dxa" w:w="2078"/>
            <w:vAlign w:val="center"/>
          </w:tcPr>
          <w:p>
            <w:pPr>
              <w:jc w:val="center"/>
            </w:pPr>
            <w:r/>
            <w:r>
              <w:rPr>
                <w:rFonts w:ascii="Times New Roman" w:hAnsi="Times New Roman" w:eastAsia="宋体"/>
                <w:b w:val="0"/>
                <w:color w:val="2A2A2A"/>
                <w:sz w:val="21"/>
              </w:rPr>
              <w:t>良好协调</w:t>
            </w:r>
          </w:p>
        </w:tc>
        <w:tc>
          <w:tcPr>
            <w:tcW w:type="dxa" w:w="2078"/>
            <w:vAlign w:val="center"/>
          </w:tcPr>
          <w:p>
            <w:pPr>
              <w:jc w:val="center"/>
            </w:pPr>
            <w:r/>
            <w:r>
              <w:rPr>
                <w:rFonts w:ascii="Times New Roman" w:hAnsi="Times New Roman" w:eastAsia="宋体"/>
                <w:b w:val="0"/>
                <w:color w:val="2A2A2A"/>
                <w:sz w:val="21"/>
              </w:rPr>
              <w:t>协调类</w:t>
            </w:r>
          </w:p>
        </w:tc>
        <w:tc>
          <w:tcPr>
            <w:tcW w:type="dxa" w:w="2078"/>
            <w:vAlign w:val="center"/>
          </w:tcPr>
          <w:p>
            <w:pPr>
              <w:jc w:val="center"/>
            </w:pPr>
            <w:r/>
            <w:r>
              <w:rPr>
                <w:rFonts w:ascii="Times New Roman" w:hAnsi="Times New Roman" w:eastAsia="宋体"/>
                <w:b w:val="0"/>
                <w:color w:val="2A2A2A"/>
                <w:sz w:val="21"/>
              </w:rPr>
              <w:t>协调水平较好</w:t>
            </w:r>
          </w:p>
        </w:tc>
      </w:tr>
      <w:tr>
        <w:tc>
          <w:tcPr>
            <w:tcW w:type="dxa" w:w="2078"/>
            <w:vAlign w:val="center"/>
            <w:tcBorders>
              <w:bottom w:val="single" w:sz="12" w:color="000000"/>
            </w:tcBorders>
          </w:tcPr>
          <w:p>
            <w:pPr>
              <w:jc w:val="left"/>
            </w:pPr>
            <w:r/>
            <w:r>
              <w:rPr>
                <w:rFonts w:ascii="Times New Roman" w:hAnsi="Times New Roman" w:eastAsia="宋体"/>
                <w:b w:val="0"/>
                <w:color w:val="2A2A2A"/>
                <w:sz w:val="21"/>
              </w:rPr>
              <w:t>[0.9, 1.0]</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优质协调</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协调类</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系统高度协同发展</w:t>
            </w:r>
          </w:p>
        </w:tc>
      </w:tr>
    </w:tbl>
    <w:p>
      <w:pPr>
        <w:spacing w:line="360" w:lineRule="auto" w:before="240" w:after="120"/>
        <w:jc w:val="left"/>
      </w:pPr>
      <w:r>
        <w:rPr>
          <w:rFonts w:ascii="Times New Roman" w:hAnsi="Times New Roman" w:eastAsia="黑体"/>
          <w:b/>
          <w:color w:val="0D3B2E"/>
          <w:sz w:val="28"/>
        </w:rPr>
        <w:t>3.3 障碍度模型</w:t>
      </w:r>
    </w:p>
    <w:p>
      <w:pPr>
        <w:spacing w:line="360" w:lineRule="auto" w:before="0" w:after="0"/>
        <w:ind w:firstLine="480"/>
        <w:jc w:val="both"/>
      </w:pPr>
      <w:r>
        <w:rPr>
          <w:rFonts w:ascii="Times New Roman" w:hAnsi="Times New Roman" w:eastAsia="宋体"/>
          <w:b w:val="0"/>
          <w:sz w:val="24"/>
        </w:rPr>
        <w:t>障碍度模型用于识别制约系统协同发展的关键障碍因子，为精准施策提供依据。本平台基于指标偏离度与权重计算各指标的障碍度，按降序排列取前 N 项作为主要障碍因子。</w:t>
      </w:r>
    </w:p>
    <w:p>
      <w:pPr>
        <w:spacing w:line="360" w:lineRule="auto" w:before="120" w:after="120"/>
        <w:jc w:val="left"/>
      </w:pPr>
      <w:r>
        <w:rPr>
          <w:rFonts w:ascii="Times New Roman" w:hAnsi="Times New Roman" w:eastAsia="黑体"/>
          <w:b/>
          <w:color w:val="2D6A4F"/>
          <w:sz w:val="24"/>
        </w:rPr>
        <w:t>3.3.1 计算步骤</w:t>
      </w:r>
    </w:p>
    <w:p>
      <w:pPr>
        <w:spacing w:line="360" w:lineRule="auto" w:before="0" w:after="0"/>
        <w:ind w:firstLine="480"/>
        <w:jc w:val="both"/>
      </w:pPr>
      <w:r>
        <w:rPr>
          <w:rFonts w:ascii="Times New Roman" w:hAnsi="Times New Roman" w:eastAsia="宋体"/>
          <w:b w:val="0"/>
          <w:sz w:val="24"/>
        </w:rPr>
        <w:t>步骤 1：对指标原始值进行 min-max 归一化处理。</w:t>
      </w:r>
    </w:p>
    <w:p>
      <w:pPr>
        <w:spacing w:line="360" w:lineRule="auto" w:before="120" w:after="120"/>
        <w:ind w:left="567" w:right="567"/>
        <w:jc w:val="center"/>
        <w:shd w:val="clear" w:fill="FAF7F0"/>
        <w:pBdr>
          <w:left w:val="single" w:sz="24" w:space="4" w:color="C79A00"/>
        </w:pBdr>
      </w:pPr>
      <w:r>
        <w:rPr>
          <w:rFonts w:ascii="Cambria Math" w:hAnsi="Cambria Math" w:eastAsia="Cambria Math"/>
          <w:b w:val="0"/>
          <w:color w:val="0D3B2E"/>
          <w:sz w:val="22"/>
        </w:rPr>
        <w:t>X_norm = (X - X_min) / (X_max - X_min)</w:t>
      </w:r>
      <w:r>
        <w:rPr>
          <w:rFonts w:ascii="Times New Roman" w:hAnsi="Times New Roman" w:eastAsia="Times New Roman"/>
          <w:b w:val="0"/>
          <w:color w:val="5A5A5A"/>
          <w:sz w:val="22"/>
        </w:rPr>
        <w:t xml:space="preserve">    (3-5)</w:t>
      </w:r>
    </w:p>
    <w:p>
      <w:pPr>
        <w:spacing w:line="360" w:lineRule="auto" w:before="0" w:after="0"/>
        <w:ind w:firstLine="480"/>
        <w:jc w:val="both"/>
      </w:pPr>
      <w:r>
        <w:rPr>
          <w:rFonts w:ascii="Times New Roman" w:hAnsi="Times New Roman" w:eastAsia="宋体"/>
          <w:b w:val="0"/>
          <w:sz w:val="24"/>
        </w:rPr>
        <w:t>步骤 2：计算指标偏离度，即指标距离目标值 1 的差距。</w:t>
      </w:r>
    </w:p>
    <w:p>
      <w:pPr>
        <w:spacing w:line="360" w:lineRule="auto" w:before="120" w:after="120"/>
        <w:ind w:left="567" w:right="567"/>
        <w:jc w:val="center"/>
        <w:shd w:val="clear" w:fill="FAF7F0"/>
        <w:pBdr>
          <w:left w:val="single" w:sz="24" w:space="4" w:color="C79A00"/>
        </w:pBdr>
      </w:pPr>
      <w:r>
        <w:rPr>
          <w:rFonts w:ascii="Cambria Math" w:hAnsi="Cambria Math" w:eastAsia="Cambria Math"/>
          <w:b w:val="0"/>
          <w:color w:val="0D3B2E"/>
          <w:sz w:val="22"/>
        </w:rPr>
        <w:t>Deviation = 1 - X_norm</w:t>
      </w:r>
      <w:r>
        <w:rPr>
          <w:rFonts w:ascii="Times New Roman" w:hAnsi="Times New Roman" w:eastAsia="Times New Roman"/>
          <w:b w:val="0"/>
          <w:color w:val="5A5A5A"/>
          <w:sz w:val="22"/>
        </w:rPr>
        <w:t xml:space="preserve">    (3-6)</w:t>
      </w:r>
    </w:p>
    <w:p>
      <w:pPr>
        <w:spacing w:line="360" w:lineRule="auto" w:before="0" w:after="0"/>
        <w:ind w:firstLine="480"/>
        <w:jc w:val="both"/>
      </w:pPr>
      <w:r>
        <w:rPr>
          <w:rFonts w:ascii="Times New Roman" w:hAnsi="Times New Roman" w:eastAsia="宋体"/>
          <w:b w:val="0"/>
          <w:sz w:val="24"/>
        </w:rPr>
        <w:t>步骤 3：计算指标障碍度。</w:t>
      </w:r>
    </w:p>
    <w:p>
      <w:pPr>
        <w:spacing w:line="360" w:lineRule="auto" w:before="120" w:after="120"/>
        <w:ind w:left="567" w:right="567"/>
        <w:jc w:val="center"/>
        <w:shd w:val="clear" w:fill="FAF7F0"/>
        <w:pBdr>
          <w:left w:val="single" w:sz="24" w:space="4" w:color="C79A00"/>
        </w:pBdr>
      </w:pPr>
      <w:r>
        <w:rPr>
          <w:rFonts w:ascii="Cambria Math" w:hAnsi="Cambria Math" w:eastAsia="Cambria Math"/>
          <w:b w:val="0"/>
          <w:color w:val="0D3B2E"/>
          <w:sz w:val="22"/>
        </w:rPr>
        <w:t>O_i = Deviation_i × W_i</w:t>
      </w:r>
      <w:r>
        <w:rPr>
          <w:rFonts w:ascii="Times New Roman" w:hAnsi="Times New Roman" w:eastAsia="Times New Roman"/>
          <w:b w:val="0"/>
          <w:color w:val="5A5A5A"/>
          <w:sz w:val="22"/>
        </w:rPr>
        <w:t xml:space="preserve">    (3-7)</w:t>
      </w:r>
    </w:p>
    <w:p>
      <w:pPr>
        <w:spacing w:line="360" w:lineRule="auto" w:before="0" w:after="0"/>
        <w:ind w:firstLine="480"/>
        <w:jc w:val="both"/>
      </w:pPr>
      <w:r>
        <w:rPr>
          <w:rFonts w:ascii="Times New Roman" w:hAnsi="Times New Roman" w:eastAsia="宋体"/>
          <w:b w:val="0"/>
          <w:sz w:val="24"/>
        </w:rPr>
        <w:t>步骤 4：按障碍度降序排列，取前 N 项作为主要障碍因子。本平台默认取 Top 5。</w:t>
      </w:r>
    </w:p>
    <w:p>
      <w:pPr>
        <w:spacing w:line="360" w:lineRule="auto" w:before="240" w:after="120"/>
        <w:jc w:val="left"/>
      </w:pPr>
      <w:r>
        <w:rPr>
          <w:rFonts w:ascii="Times New Roman" w:hAnsi="Times New Roman" w:eastAsia="黑体"/>
          <w:b/>
          <w:color w:val="0D3B2E"/>
          <w:sz w:val="28"/>
        </w:rPr>
        <w:t>3.4 DeepSeek AI 智能引擎</w:t>
      </w:r>
    </w:p>
    <w:p>
      <w:pPr>
        <w:spacing w:line="360" w:lineRule="auto" w:before="0" w:after="0"/>
        <w:ind w:firstLine="480"/>
        <w:jc w:val="both"/>
      </w:pPr>
      <w:r>
        <w:rPr>
          <w:rFonts w:ascii="Times New Roman" w:hAnsi="Times New Roman" w:eastAsia="宋体"/>
          <w:b w:val="0"/>
          <w:sz w:val="24"/>
        </w:rPr>
        <w:t>DeepSeek 是一款国产开源大语言模型，支持中英双语，在中文语境下具备优异的领域理解与生成能力。本平台通过 OpenAI 兼容接口调用 DeepSeek-V3 模型，基于评估结果与模式判定生成差异化路径优化建议。</w:t>
      </w:r>
    </w:p>
    <w:p>
      <w:pPr>
        <w:spacing w:line="360" w:lineRule="auto" w:before="120" w:after="120"/>
        <w:jc w:val="left"/>
      </w:pPr>
      <w:r>
        <w:rPr>
          <w:rFonts w:ascii="Times New Roman" w:hAnsi="Times New Roman" w:eastAsia="黑体"/>
          <w:b/>
          <w:color w:val="2D6A4F"/>
          <w:sz w:val="24"/>
        </w:rPr>
        <w:t>3.4.1 输入设计</w:t>
      </w:r>
    </w:p>
    <w:p>
      <w:pPr>
        <w:spacing w:line="360" w:lineRule="auto" w:before="0" w:after="0"/>
        <w:ind w:firstLine="480"/>
        <w:jc w:val="both"/>
      </w:pPr>
      <w:r>
        <w:rPr>
          <w:rFonts w:ascii="Times New Roman" w:hAnsi="Times New Roman" w:eastAsia="宋体"/>
          <w:b w:val="0"/>
          <w:sz w:val="24"/>
        </w:rPr>
        <w:t>AI 引擎输入采用结构化 prompt，包含以下要素：</w:t>
      </w:r>
    </w:p>
    <w:p>
      <w:pPr>
        <w:spacing w:line="360" w:lineRule="auto" w:before="0" w:after="0"/>
        <w:ind w:firstLine="480"/>
        <w:jc w:val="both"/>
      </w:pPr>
      <w:r>
        <w:rPr>
          <w:rFonts w:ascii="Times New Roman" w:hAnsi="Times New Roman" w:eastAsia="宋体"/>
          <w:b w:val="0"/>
          <w:sz w:val="24"/>
        </w:rPr>
        <w:t>· 地区名称与评估年份</w:t>
      </w:r>
    </w:p>
    <w:p>
      <w:pPr>
        <w:spacing w:line="360" w:lineRule="auto" w:before="0" w:after="0"/>
        <w:ind w:firstLine="480"/>
        <w:jc w:val="both"/>
      </w:pPr>
      <w:r>
        <w:rPr>
          <w:rFonts w:ascii="Times New Roman" w:hAnsi="Times New Roman" w:eastAsia="宋体"/>
          <w:b w:val="0"/>
          <w:sz w:val="24"/>
        </w:rPr>
        <w:t>· 26 项指标原始数据</w:t>
      </w:r>
    </w:p>
    <w:p>
      <w:pPr>
        <w:spacing w:line="360" w:lineRule="auto" w:before="0" w:after="0"/>
        <w:ind w:firstLine="480"/>
        <w:jc w:val="both"/>
      </w:pPr>
      <w:r>
        <w:rPr>
          <w:rFonts w:ascii="Times New Roman" w:hAnsi="Times New Roman" w:eastAsia="宋体"/>
          <w:b w:val="0"/>
          <w:sz w:val="24"/>
        </w:rPr>
        <w:t>· 生态得分、乡村振兴得分、D 值</w:t>
      </w:r>
    </w:p>
    <w:p>
      <w:pPr>
        <w:spacing w:line="360" w:lineRule="auto" w:before="0" w:after="0"/>
        <w:ind w:firstLine="480"/>
        <w:jc w:val="both"/>
      </w:pPr>
      <w:r>
        <w:rPr>
          <w:rFonts w:ascii="Times New Roman" w:hAnsi="Times New Roman" w:eastAsia="宋体"/>
          <w:b w:val="0"/>
          <w:sz w:val="24"/>
        </w:rPr>
        <w:t>· 判定模式与识别理由</w:t>
      </w:r>
    </w:p>
    <w:p>
      <w:pPr>
        <w:spacing w:line="360" w:lineRule="auto" w:before="0" w:after="0"/>
        <w:ind w:firstLine="480"/>
        <w:jc w:val="both"/>
      </w:pPr>
      <w:r>
        <w:rPr>
          <w:rFonts w:ascii="Times New Roman" w:hAnsi="Times New Roman" w:eastAsia="宋体"/>
          <w:b w:val="0"/>
          <w:sz w:val="24"/>
        </w:rPr>
        <w:t>· Top 5 障碍因子</w:t>
      </w:r>
    </w:p>
    <w:p>
      <w:pPr>
        <w:spacing w:line="360" w:lineRule="auto" w:before="120" w:after="120"/>
        <w:jc w:val="left"/>
      </w:pPr>
      <w:r>
        <w:rPr>
          <w:rFonts w:ascii="Times New Roman" w:hAnsi="Times New Roman" w:eastAsia="黑体"/>
          <w:b/>
          <w:color w:val="2D6A4F"/>
          <w:sz w:val="24"/>
        </w:rPr>
        <w:t>3.4.2 输出规范</w:t>
      </w:r>
    </w:p>
    <w:p>
      <w:pPr>
        <w:spacing w:line="360" w:lineRule="auto" w:before="0" w:after="0"/>
        <w:ind w:firstLine="480"/>
        <w:jc w:val="both"/>
      </w:pPr>
      <w:r>
        <w:rPr>
          <w:rFonts w:ascii="Times New Roman" w:hAnsi="Times New Roman" w:eastAsia="宋体"/>
          <w:b w:val="0"/>
          <w:sz w:val="24"/>
        </w:rPr>
        <w:t>AI 引擎输出 500—800 字结构化建议，涵盖产业发展、生态保护、社会治理、人才振兴等多维度，语言风格贴近政府决策报告。为保障稳定性，平台配置规则版兜底逻辑：当 API 不可用时，自动调用预置的 27 条结构化建议，确保功能完整。</w:t>
      </w:r>
    </w:p>
    <w:p>
      <w:pPr>
        <w:spacing w:line="360" w:lineRule="auto" w:before="240" w:after="120"/>
        <w:jc w:val="left"/>
      </w:pPr>
      <w:r>
        <w:rPr>
          <w:rFonts w:ascii="Times New Roman" w:hAnsi="Times New Roman" w:eastAsia="黑体"/>
          <w:b/>
          <w:color w:val="0D3B2E"/>
          <w:sz w:val="28"/>
        </w:rPr>
        <w:t>3.5 层次聚类分析</w:t>
      </w:r>
    </w:p>
    <w:p>
      <w:pPr>
        <w:spacing w:line="360" w:lineRule="auto" w:before="0" w:after="0"/>
        <w:ind w:firstLine="480"/>
        <w:jc w:val="both"/>
      </w:pPr>
      <w:r>
        <w:rPr>
          <w:rFonts w:ascii="Times New Roman" w:hAnsi="Times New Roman" w:eastAsia="宋体"/>
          <w:b w:val="0"/>
          <w:sz w:val="24"/>
        </w:rPr>
        <w:t>层次聚类分析（Hierarchical Cluster Analysis）用于将 10 个样本区县按特征相似度划分为若干类别，提取典型发展模式。本平台采用 Ward 最小方差法进行层次聚类，并通过主成分分析（PCA）将多维指标降维至二维平面，便于可视化展示。</w:t>
      </w:r>
    </w:p>
    <w:p>
      <w:pPr>
        <w:spacing w:line="360" w:lineRule="auto" w:before="120" w:after="120"/>
        <w:jc w:val="left"/>
      </w:pPr>
      <w:r>
        <w:rPr>
          <w:rFonts w:ascii="Times New Roman" w:hAnsi="Times New Roman" w:eastAsia="黑体"/>
          <w:b/>
          <w:color w:val="2D6A4F"/>
          <w:sz w:val="24"/>
        </w:rPr>
        <w:t>3.5.1 聚类步骤</w:t>
      </w:r>
    </w:p>
    <w:p>
      <w:pPr>
        <w:spacing w:line="360" w:lineRule="auto" w:before="0" w:after="0"/>
        <w:ind w:firstLine="480"/>
        <w:jc w:val="both"/>
      </w:pPr>
      <w:r>
        <w:rPr>
          <w:rFonts w:ascii="Times New Roman" w:hAnsi="Times New Roman" w:eastAsia="宋体"/>
          <w:b w:val="0"/>
          <w:sz w:val="24"/>
        </w:rPr>
        <w:t>1. 对 26 项指标数据进行标准化处理（Z-score 标准化）。</w:t>
      </w:r>
    </w:p>
    <w:p>
      <w:pPr>
        <w:spacing w:line="360" w:lineRule="auto" w:before="0" w:after="0"/>
        <w:ind w:firstLine="480"/>
        <w:jc w:val="both"/>
      </w:pPr>
      <w:r>
        <w:rPr>
          <w:rFonts w:ascii="Times New Roman" w:hAnsi="Times New Roman" w:eastAsia="宋体"/>
          <w:b w:val="0"/>
          <w:sz w:val="24"/>
        </w:rPr>
        <w:t>2. 计算样本间欧氏距离矩阵。</w:t>
      </w:r>
    </w:p>
    <w:p>
      <w:pPr>
        <w:spacing w:line="360" w:lineRule="auto" w:before="0" w:after="0"/>
        <w:ind w:firstLine="480"/>
        <w:jc w:val="both"/>
      </w:pPr>
      <w:r>
        <w:rPr>
          <w:rFonts w:ascii="Times New Roman" w:hAnsi="Times New Roman" w:eastAsia="宋体"/>
          <w:b w:val="0"/>
          <w:sz w:val="24"/>
        </w:rPr>
        <w:t>3. 采用 Ward 法进行层次聚类，合并类内方差最小的簇。</w:t>
      </w:r>
    </w:p>
    <w:p>
      <w:pPr>
        <w:spacing w:line="360" w:lineRule="auto" w:before="0" w:after="0"/>
        <w:ind w:firstLine="480"/>
        <w:jc w:val="both"/>
      </w:pPr>
      <w:r>
        <w:rPr>
          <w:rFonts w:ascii="Times New Roman" w:hAnsi="Times New Roman" w:eastAsia="宋体"/>
          <w:b w:val="0"/>
          <w:sz w:val="24"/>
        </w:rPr>
        <w:t>4. 通过肘部法则与轮廓系数确定最佳聚类数为 5。</w:t>
      </w:r>
    </w:p>
    <w:p>
      <w:pPr>
        <w:spacing w:line="360" w:lineRule="auto" w:before="0" w:after="0"/>
        <w:ind w:firstLine="480"/>
        <w:jc w:val="both"/>
      </w:pPr>
      <w:r>
        <w:rPr>
          <w:rFonts w:ascii="Times New Roman" w:hAnsi="Times New Roman" w:eastAsia="宋体"/>
          <w:b w:val="0"/>
          <w:sz w:val="24"/>
        </w:rPr>
        <w:t>5. 对标准化数据进行 PCA 降维，提取 PC1、PC2 两个主成分用于散点图可视化。</w:t>
      </w:r>
    </w:p>
    <w:p>
      <w:pPr>
        <w:spacing w:line="360" w:lineRule="auto" w:before="0" w:after="0"/>
        <w:ind w:firstLine="480"/>
        <w:jc w:val="both"/>
      </w:pPr>
      <w:r>
        <w:rPr>
          <w:rFonts w:ascii="Times New Roman" w:hAnsi="Times New Roman" w:eastAsia="宋体"/>
          <w:b w:val="0"/>
          <w:sz w:val="24"/>
        </w:rPr>
        <w:t>聚类结果将 10 个区县划分为 5 种模式，每种模式具有显著差异化的指标特征，详见第五章。</w:t>
      </w:r>
    </w:p>
    <w:p>
      <w:r>
        <w:br w:type="page"/>
      </w:r>
    </w:p>
    <w:p>
      <w:pPr>
        <w:spacing w:line="360" w:lineRule="auto" w:before="0" w:after="360"/>
        <w:jc w:val="center"/>
        <w:pBdr>
          <w:bottom w:val="single" w:sz="12" w:space="4" w:color="0D3B2E"/>
        </w:pBdr>
      </w:pPr>
      <w:r>
        <w:rPr>
          <w:rFonts w:ascii="Times New Roman" w:hAnsi="Times New Roman" w:eastAsia="黑体"/>
          <w:b/>
          <w:color w:val="0D3B2E"/>
          <w:sz w:val="36"/>
        </w:rPr>
        <w:t>第四章 功能模块设计</w:t>
      </w:r>
    </w:p>
    <w:p>
      <w:pPr>
        <w:spacing w:line="360" w:lineRule="auto" w:before="0" w:after="0"/>
        <w:ind w:firstLine="480"/>
        <w:jc w:val="both"/>
      </w:pPr>
      <w:r>
        <w:rPr>
          <w:rFonts w:ascii="Times New Roman" w:hAnsi="Times New Roman" w:eastAsia="宋体"/>
          <w:b w:val="0"/>
          <w:sz w:val="24"/>
        </w:rPr>
        <w:t>平台前端共设计 7 个功能模块，覆盖政策检索、智能评估、数据可视化、农产品交易、案例学习与用户管理等场景。各模块通过 Vue Router 统一路由管理，通过 Pinia 进行状态共享。</w:t>
      </w:r>
    </w:p>
    <w:p>
      <w:pPr>
        <w:spacing w:line="360" w:lineRule="auto" w:before="240" w:after="120"/>
        <w:jc w:val="left"/>
      </w:pPr>
      <w:r>
        <w:rPr>
          <w:rFonts w:ascii="Times New Roman" w:hAnsi="Times New Roman" w:eastAsia="黑体"/>
          <w:b/>
          <w:color w:val="0D3B2E"/>
          <w:sz w:val="28"/>
        </w:rPr>
        <w:t>4.1 首页门户</w:t>
      </w:r>
    </w:p>
    <w:p>
      <w:pPr>
        <w:spacing w:line="360" w:lineRule="auto" w:before="0" w:after="0"/>
        <w:ind w:firstLine="480"/>
        <w:jc w:val="both"/>
      </w:pPr>
      <w:r>
        <w:rPr>
          <w:rFonts w:ascii="Times New Roman" w:hAnsi="Times New Roman" w:eastAsia="宋体"/>
          <w:b w:val="0"/>
          <w:sz w:val="24"/>
        </w:rPr>
        <w:t>首页（HomeView）作为平台门户，承担品牌展示与功能导航职责，主要包含以下区块：</w:t>
      </w:r>
    </w:p>
    <w:p>
      <w:pPr>
        <w:spacing w:line="360" w:lineRule="auto" w:before="0" w:after="0"/>
        <w:ind w:firstLine="480"/>
        <w:jc w:val="both"/>
      </w:pPr>
      <w:r>
        <w:rPr>
          <w:rFonts w:ascii="Times New Roman" w:hAnsi="Times New Roman" w:eastAsia="宋体"/>
          <w:b w:val="0"/>
          <w:sz w:val="24"/>
        </w:rPr>
        <w:t>· Hero 区：展示品牌标识、参赛信息与核心数据（5 模式/4 模型/27 指标/AI）。</w:t>
      </w:r>
    </w:p>
    <w:p>
      <w:pPr>
        <w:spacing w:line="360" w:lineRule="auto" w:before="0" w:after="0"/>
        <w:ind w:firstLine="480"/>
        <w:jc w:val="both"/>
      </w:pPr>
      <w:r>
        <w:rPr>
          <w:rFonts w:ascii="Times New Roman" w:hAnsi="Times New Roman" w:eastAsia="宋体"/>
          <w:b w:val="0"/>
          <w:sz w:val="24"/>
        </w:rPr>
        <w:t>· 核心方法论：以卡片形式展示 AHP、熵权法、耦合协调度、障碍度四大模型简介。</w:t>
      </w:r>
    </w:p>
    <w:p>
      <w:pPr>
        <w:spacing w:line="360" w:lineRule="auto" w:before="0" w:after="0"/>
        <w:ind w:firstLine="480"/>
        <w:jc w:val="both"/>
      </w:pPr>
      <w:r>
        <w:rPr>
          <w:rFonts w:ascii="Times New Roman" w:hAnsi="Times New Roman" w:eastAsia="宋体"/>
          <w:b w:val="0"/>
          <w:sz w:val="24"/>
        </w:rPr>
        <w:t>· 四大功能：政策中心、智能分析、农产品商城、案例中心的入口卡片。</w:t>
      </w:r>
    </w:p>
    <w:p>
      <w:pPr>
        <w:spacing w:line="360" w:lineRule="auto" w:before="0" w:after="0"/>
        <w:ind w:firstLine="480"/>
        <w:jc w:val="both"/>
      </w:pPr>
      <w:r>
        <w:rPr>
          <w:rFonts w:ascii="Times New Roman" w:hAnsi="Times New Roman" w:eastAsia="宋体"/>
          <w:b w:val="0"/>
          <w:sz w:val="24"/>
        </w:rPr>
        <w:t>· 五种模式：5 种发展模式的横向展示卡，含模式名称、识别阈值与路径方向。</w:t>
      </w:r>
    </w:p>
    <w:p>
      <w:pPr>
        <w:spacing w:line="360" w:lineRule="auto" w:before="0" w:after="0"/>
        <w:ind w:firstLine="480"/>
        <w:jc w:val="both"/>
      </w:pPr>
      <w:r>
        <w:rPr>
          <w:rFonts w:ascii="Times New Roman" w:hAnsi="Times New Roman" w:eastAsia="宋体"/>
          <w:b w:val="0"/>
          <w:sz w:val="24"/>
        </w:rPr>
        <w:t>· 评估流程：上传数据 → 模型评估 → AI 识别 → 路径优化 → PDF 报告五步流程图。</w:t>
      </w:r>
    </w:p>
    <w:p>
      <w:pPr>
        <w:spacing w:line="360" w:lineRule="auto" w:before="240" w:after="120"/>
        <w:jc w:val="left"/>
      </w:pPr>
      <w:r>
        <w:rPr>
          <w:rFonts w:ascii="Times New Roman" w:hAnsi="Times New Roman" w:eastAsia="黑体"/>
          <w:b/>
          <w:color w:val="0D3B2E"/>
          <w:sz w:val="28"/>
        </w:rPr>
        <w:t>4.2 政策中心</w:t>
      </w:r>
    </w:p>
    <w:p>
      <w:pPr>
        <w:spacing w:line="360" w:lineRule="auto" w:before="0" w:after="0"/>
        <w:ind w:firstLine="480"/>
        <w:jc w:val="both"/>
      </w:pPr>
      <w:r>
        <w:rPr>
          <w:rFonts w:ascii="Times New Roman" w:hAnsi="Times New Roman" w:eastAsia="宋体"/>
          <w:b w:val="0"/>
          <w:sz w:val="24"/>
        </w:rPr>
        <w:t>政策中心（PolicyView）汇集国家级、省级、地市级乡村振兴与生态产品价值实现相关政策，为地方政府决策提供政策依据。功能要点如下：</w:t>
      </w:r>
    </w:p>
    <w:p>
      <w:pPr>
        <w:spacing w:line="360" w:lineRule="auto" w:before="0" w:after="0"/>
        <w:ind w:firstLine="480"/>
        <w:jc w:val="both"/>
      </w:pPr>
      <w:r>
        <w:rPr>
          <w:rFonts w:ascii="Times New Roman" w:hAnsi="Times New Roman" w:eastAsia="宋体"/>
          <w:b w:val="0"/>
          <w:sz w:val="24"/>
        </w:rPr>
        <w:t>· 多维检索：支持主题分类（生态补偿、产业发展、人才振兴等）、政策级别、关键词组合检索。</w:t>
      </w:r>
    </w:p>
    <w:p>
      <w:pPr>
        <w:spacing w:line="360" w:lineRule="auto" w:before="0" w:after="0"/>
        <w:ind w:firstLine="480"/>
        <w:jc w:val="both"/>
      </w:pPr>
      <w:r>
        <w:rPr>
          <w:rFonts w:ascii="Times New Roman" w:hAnsi="Times New Roman" w:eastAsia="宋体"/>
          <w:b w:val="0"/>
          <w:sz w:val="24"/>
        </w:rPr>
        <w:t>· 统计概览：展示政策总数、国家级、省级、地市级数量统计卡。</w:t>
      </w:r>
    </w:p>
    <w:p>
      <w:pPr>
        <w:spacing w:line="360" w:lineRule="auto" w:before="0" w:after="0"/>
        <w:ind w:firstLine="480"/>
        <w:jc w:val="both"/>
      </w:pPr>
      <w:r>
        <w:rPr>
          <w:rFonts w:ascii="Times New Roman" w:hAnsi="Times New Roman" w:eastAsia="宋体"/>
          <w:b w:val="0"/>
          <w:sz w:val="24"/>
        </w:rPr>
        <w:t>· 杂志式列表：每条政策以卡片形式展示序号、分类标签、级别标签、发布地区、发布日期与政策摘要。</w:t>
      </w:r>
    </w:p>
    <w:p>
      <w:pPr>
        <w:spacing w:line="360" w:lineRule="auto" w:before="0" w:after="0"/>
        <w:ind w:firstLine="480"/>
        <w:jc w:val="both"/>
      </w:pPr>
      <w:r>
        <w:rPr>
          <w:rFonts w:ascii="Times New Roman" w:hAnsi="Times New Roman" w:eastAsia="宋体"/>
          <w:b w:val="0"/>
          <w:sz w:val="24"/>
        </w:rPr>
        <w:t>· 分页加载：支持翻页浏览大量政策，单页默认 10 条。</w:t>
      </w:r>
    </w:p>
    <w:p>
      <w:pPr>
        <w:spacing w:line="360" w:lineRule="auto" w:before="240" w:after="120"/>
        <w:jc w:val="left"/>
      </w:pPr>
      <w:r>
        <w:rPr>
          <w:rFonts w:ascii="Times New Roman" w:hAnsi="Times New Roman" w:eastAsia="黑体"/>
          <w:b/>
          <w:color w:val="0D3B2E"/>
          <w:sz w:val="28"/>
        </w:rPr>
        <w:t>4.3 智能分析中心</w:t>
      </w:r>
    </w:p>
    <w:p>
      <w:pPr>
        <w:spacing w:line="360" w:lineRule="auto" w:before="0" w:after="0"/>
        <w:ind w:firstLine="480"/>
        <w:jc w:val="both"/>
      </w:pPr>
      <w:r>
        <w:rPr>
          <w:rFonts w:ascii="Times New Roman" w:hAnsi="Times New Roman" w:eastAsia="宋体"/>
          <w:b w:val="0"/>
          <w:sz w:val="24"/>
        </w:rPr>
        <w:t>智能分析中心（AnalysisView）是平台核心模块，采用 3 标签页架构，覆盖完整评估闭环。</w:t>
      </w:r>
    </w:p>
    <w:p>
      <w:pPr>
        <w:spacing w:line="360" w:lineRule="auto" w:before="120" w:after="120"/>
        <w:jc w:val="left"/>
      </w:pPr>
      <w:r>
        <w:rPr>
          <w:rFonts w:ascii="Times New Roman" w:hAnsi="Times New Roman" w:eastAsia="黑体"/>
          <w:b/>
          <w:color w:val="2D6A4F"/>
          <w:sz w:val="24"/>
        </w:rPr>
        <w:t>4.3.1 Tab 1：综合评估</w:t>
      </w:r>
    </w:p>
    <w:p>
      <w:pPr>
        <w:spacing w:line="360" w:lineRule="auto" w:before="0" w:after="0"/>
        <w:ind w:firstLine="480"/>
        <w:jc w:val="both"/>
      </w:pPr>
      <w:r>
        <w:rPr>
          <w:rFonts w:ascii="Times New Roman" w:hAnsi="Times New Roman" w:eastAsia="宋体"/>
          <w:b w:val="0"/>
          <w:sz w:val="24"/>
        </w:rPr>
        <w:t>该标签页实现完整的智能评估工作流，采用左右双栏布局。左侧为数据录入区，右侧为结果展示区。</w:t>
      </w:r>
    </w:p>
    <w:p>
      <w:pPr>
        <w:spacing w:line="360" w:lineRule="auto" w:before="0" w:after="0"/>
        <w:ind w:firstLine="480"/>
        <w:jc w:val="both"/>
      </w:pPr>
      <w:r>
        <w:rPr>
          <w:rFonts w:ascii="Times New Roman" w:hAnsi="Times New Roman" w:eastAsia="宋体"/>
          <w:b w:val="0"/>
          <w:sz w:val="24"/>
        </w:rPr>
        <w:t>输入区包含：地区名称、评估年份、11 项生态产品价值实现指标、15 项乡村振兴水平指标，并提供"加载模板"按钮一键填充指标结构。</w:t>
      </w:r>
    </w:p>
    <w:p>
      <w:pPr>
        <w:spacing w:line="360" w:lineRule="auto" w:before="0" w:after="0"/>
        <w:ind w:firstLine="480"/>
        <w:jc w:val="both"/>
      </w:pPr>
      <w:r>
        <w:rPr>
          <w:rFonts w:ascii="Times New Roman" w:hAnsi="Times New Roman" w:eastAsia="宋体"/>
          <w:b w:val="0"/>
          <w:sz w:val="24"/>
        </w:rPr>
        <w:t>结果展示区包含以下卡片，如表 4-1 所示。</w:t>
      </w:r>
    </w:p>
    <w:p>
      <w:pPr>
        <w:spacing w:before="120" w:after="60"/>
        <w:jc w:val="center"/>
      </w:pPr>
      <w:r>
        <w:rPr>
          <w:rFonts w:ascii="Times New Roman" w:hAnsi="Times New Roman" w:eastAsia="黑体"/>
          <w:b/>
          <w:color w:val="0D3B2E"/>
          <w:sz w:val="21"/>
        </w:rPr>
        <w:t>表 4-1 综合评估结果展示内容</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56"/>
        <w:gridCol w:w="4156"/>
      </w:tblGrid>
      <w:tr>
        <w:tc>
          <w:tcPr>
            <w:tcW w:type="dxa" w:w="4156"/>
            <w:vAlign w:val="center"/>
            <w:tcBorders>
              <w:top w:val="single" w:sz="12" w:color="000000"/>
              <w:bottom w:val="single" w:sz="6" w:color="000000"/>
            </w:tcBorders>
          </w:tcPr>
          <w:p>
            <w:pPr>
              <w:jc w:val="center"/>
            </w:pPr>
            <w:r/>
            <w:r>
              <w:rPr>
                <w:rFonts w:ascii="Times New Roman" w:hAnsi="Times New Roman" w:eastAsia="黑体"/>
                <w:b/>
                <w:color w:val="0D3B2E"/>
                <w:sz w:val="21"/>
              </w:rPr>
              <w:t>卡片</w:t>
            </w:r>
          </w:p>
        </w:tc>
        <w:tc>
          <w:tcPr>
            <w:tcW w:type="dxa" w:w="4156"/>
            <w:vAlign w:val="center"/>
            <w:tcBorders>
              <w:top w:val="single" w:sz="12" w:color="000000"/>
              <w:bottom w:val="single" w:sz="6" w:color="000000"/>
            </w:tcBorders>
          </w:tcPr>
          <w:p>
            <w:pPr>
              <w:jc w:val="center"/>
            </w:pPr>
            <w:r/>
            <w:r>
              <w:rPr>
                <w:rFonts w:ascii="Times New Roman" w:hAnsi="Times New Roman" w:eastAsia="黑体"/>
                <w:b/>
                <w:color w:val="0D3B2E"/>
                <w:sz w:val="21"/>
              </w:rPr>
              <w:t>展示内容</w:t>
            </w:r>
          </w:p>
        </w:tc>
      </w:tr>
      <w:tr>
        <w:tc>
          <w:tcPr>
            <w:tcW w:type="dxa" w:w="4156"/>
            <w:vAlign w:val="center"/>
          </w:tcPr>
          <w:p>
            <w:pPr>
              <w:jc w:val="left"/>
            </w:pPr>
            <w:r/>
            <w:r>
              <w:rPr>
                <w:rFonts w:ascii="Times New Roman" w:hAnsi="Times New Roman" w:eastAsia="宋体"/>
                <w:b w:val="0"/>
                <w:color w:val="2A2A2A"/>
                <w:sz w:val="21"/>
              </w:rPr>
              <w:t>综合得分卡</w:t>
            </w:r>
          </w:p>
        </w:tc>
        <w:tc>
          <w:tcPr>
            <w:tcW w:type="dxa" w:w="4156"/>
            <w:vAlign w:val="center"/>
          </w:tcPr>
          <w:p>
            <w:pPr>
              <w:jc w:val="center"/>
            </w:pPr>
            <w:r/>
            <w:r>
              <w:rPr>
                <w:rFonts w:ascii="Times New Roman" w:hAnsi="Times New Roman" w:eastAsia="宋体"/>
                <w:b w:val="0"/>
                <w:color w:val="2A2A2A"/>
                <w:sz w:val="21"/>
              </w:rPr>
              <w:t>生态产品得分 / 乡村振兴得分（0—100）+ 进度条</w:t>
            </w:r>
          </w:p>
        </w:tc>
      </w:tr>
      <w:tr>
        <w:tc>
          <w:tcPr>
            <w:tcW w:type="dxa" w:w="4156"/>
            <w:vAlign w:val="center"/>
          </w:tcPr>
          <w:p>
            <w:pPr>
              <w:jc w:val="left"/>
            </w:pPr>
            <w:r/>
            <w:r>
              <w:rPr>
                <w:rFonts w:ascii="Times New Roman" w:hAnsi="Times New Roman" w:eastAsia="宋体"/>
                <w:b w:val="0"/>
                <w:color w:val="2A2A2A"/>
                <w:sz w:val="21"/>
              </w:rPr>
              <w:t>耦合协调度</w:t>
            </w:r>
          </w:p>
        </w:tc>
        <w:tc>
          <w:tcPr>
            <w:tcW w:type="dxa" w:w="4156"/>
            <w:vAlign w:val="center"/>
          </w:tcPr>
          <w:p>
            <w:pPr>
              <w:jc w:val="center"/>
            </w:pPr>
            <w:r/>
            <w:r>
              <w:rPr>
                <w:rFonts w:ascii="Times New Roman" w:hAnsi="Times New Roman" w:eastAsia="宋体"/>
                <w:b w:val="0"/>
                <w:color w:val="2A2A2A"/>
                <w:sz w:val="21"/>
              </w:rPr>
              <w:t>D 值（0—1）+ 10 级协调等级标签</w:t>
            </w:r>
          </w:p>
        </w:tc>
      </w:tr>
      <w:tr>
        <w:tc>
          <w:tcPr>
            <w:tcW w:type="dxa" w:w="4156"/>
            <w:vAlign w:val="center"/>
          </w:tcPr>
          <w:p>
            <w:pPr>
              <w:jc w:val="left"/>
            </w:pPr>
            <w:r/>
            <w:r>
              <w:rPr>
                <w:rFonts w:ascii="Times New Roman" w:hAnsi="Times New Roman" w:eastAsia="宋体"/>
                <w:b w:val="0"/>
                <w:color w:val="2A2A2A"/>
                <w:sz w:val="21"/>
              </w:rPr>
              <w:t>AI 模式识别</w:t>
            </w:r>
          </w:p>
        </w:tc>
        <w:tc>
          <w:tcPr>
            <w:tcW w:type="dxa" w:w="4156"/>
            <w:vAlign w:val="center"/>
          </w:tcPr>
          <w:p>
            <w:pPr>
              <w:jc w:val="center"/>
            </w:pPr>
            <w:r/>
            <w:r>
              <w:rPr>
                <w:rFonts w:ascii="Times New Roman" w:hAnsi="Times New Roman" w:eastAsia="宋体"/>
                <w:b w:val="0"/>
                <w:color w:val="2A2A2A"/>
                <w:sz w:val="21"/>
              </w:rPr>
              <w:t>模式名称 + 识别理由 + AI 印章</w:t>
            </w:r>
          </w:p>
        </w:tc>
      </w:tr>
      <w:tr>
        <w:tc>
          <w:tcPr>
            <w:tcW w:type="dxa" w:w="4156"/>
            <w:vAlign w:val="center"/>
          </w:tcPr>
          <w:p>
            <w:pPr>
              <w:jc w:val="left"/>
            </w:pPr>
            <w:r/>
            <w:r>
              <w:rPr>
                <w:rFonts w:ascii="Times New Roman" w:hAnsi="Times New Roman" w:eastAsia="宋体"/>
                <w:b w:val="0"/>
                <w:color w:val="2A2A2A"/>
                <w:sz w:val="21"/>
              </w:rPr>
              <w:t>模式识别标准</w:t>
            </w:r>
          </w:p>
        </w:tc>
        <w:tc>
          <w:tcPr>
            <w:tcW w:type="dxa" w:w="4156"/>
            <w:vAlign w:val="center"/>
          </w:tcPr>
          <w:p>
            <w:pPr>
              <w:jc w:val="center"/>
            </w:pPr>
            <w:r/>
            <w:r>
              <w:rPr>
                <w:rFonts w:ascii="Times New Roman" w:hAnsi="Times New Roman" w:eastAsia="宋体"/>
                <w:b w:val="0"/>
                <w:color w:val="2A2A2A"/>
                <w:sz w:val="21"/>
              </w:rPr>
              <w:t>模式特征标签 + 核心要素列表 + 量化阈值表</w:t>
            </w:r>
          </w:p>
        </w:tc>
      </w:tr>
      <w:tr>
        <w:tc>
          <w:tcPr>
            <w:tcW w:type="dxa" w:w="4156"/>
            <w:vAlign w:val="center"/>
          </w:tcPr>
          <w:p>
            <w:pPr>
              <w:jc w:val="left"/>
            </w:pPr>
            <w:r/>
            <w:r>
              <w:rPr>
                <w:rFonts w:ascii="Times New Roman" w:hAnsi="Times New Roman" w:eastAsia="宋体"/>
                <w:b w:val="0"/>
                <w:color w:val="2A2A2A"/>
                <w:sz w:val="21"/>
              </w:rPr>
              <w:t>维度雷达图</w:t>
            </w:r>
          </w:p>
        </w:tc>
        <w:tc>
          <w:tcPr>
            <w:tcW w:type="dxa" w:w="4156"/>
            <w:vAlign w:val="center"/>
          </w:tcPr>
          <w:p>
            <w:pPr>
              <w:jc w:val="center"/>
            </w:pPr>
            <w:r/>
            <w:r>
              <w:rPr>
                <w:rFonts w:ascii="Times New Roman" w:hAnsi="Times New Roman" w:eastAsia="宋体"/>
                <w:b w:val="0"/>
                <w:color w:val="2A2A2A"/>
                <w:sz w:val="21"/>
              </w:rPr>
              <w:t>8 维度双系统对比</w:t>
            </w:r>
          </w:p>
        </w:tc>
      </w:tr>
      <w:tr>
        <w:tc>
          <w:tcPr>
            <w:tcW w:type="dxa" w:w="4156"/>
            <w:vAlign w:val="center"/>
          </w:tcPr>
          <w:p>
            <w:pPr>
              <w:jc w:val="left"/>
            </w:pPr>
            <w:r/>
            <w:r>
              <w:rPr>
                <w:rFonts w:ascii="Times New Roman" w:hAnsi="Times New Roman" w:eastAsia="宋体"/>
                <w:b w:val="0"/>
                <w:color w:val="2A2A2A"/>
                <w:sz w:val="21"/>
              </w:rPr>
              <w:t>障碍因子图</w:t>
            </w:r>
          </w:p>
        </w:tc>
        <w:tc>
          <w:tcPr>
            <w:tcW w:type="dxa" w:w="4156"/>
            <w:vAlign w:val="center"/>
          </w:tcPr>
          <w:p>
            <w:pPr>
              <w:jc w:val="center"/>
            </w:pPr>
            <w:r/>
            <w:r>
              <w:rPr>
                <w:rFonts w:ascii="Times New Roman" w:hAnsi="Times New Roman" w:eastAsia="宋体"/>
                <w:b w:val="0"/>
                <w:color w:val="2A2A2A"/>
                <w:sz w:val="21"/>
              </w:rPr>
              <w:t>Top 5 障碍因子横向条形图</w:t>
            </w:r>
          </w:p>
        </w:tc>
      </w:tr>
      <w:tr>
        <w:tc>
          <w:tcPr>
            <w:tcW w:type="dxa" w:w="4156"/>
            <w:vAlign w:val="center"/>
          </w:tcPr>
          <w:p>
            <w:pPr>
              <w:jc w:val="left"/>
            </w:pPr>
            <w:r/>
            <w:r>
              <w:rPr>
                <w:rFonts w:ascii="Times New Roman" w:hAnsi="Times New Roman" w:eastAsia="宋体"/>
                <w:b w:val="0"/>
                <w:color w:val="2A2A2A"/>
                <w:sz w:val="21"/>
              </w:rPr>
              <w:t>结构化建议</w:t>
            </w:r>
          </w:p>
        </w:tc>
        <w:tc>
          <w:tcPr>
            <w:tcW w:type="dxa" w:w="4156"/>
            <w:vAlign w:val="center"/>
          </w:tcPr>
          <w:p>
            <w:pPr>
              <w:jc w:val="center"/>
            </w:pPr>
            <w:r/>
            <w:r>
              <w:rPr>
                <w:rFonts w:ascii="Times New Roman" w:hAnsi="Times New Roman" w:eastAsia="宋体"/>
                <w:b w:val="0"/>
                <w:color w:val="2A2A2A"/>
                <w:sz w:val="21"/>
              </w:rPr>
              <w:t>27 条差异化路径优化建议</w:t>
            </w:r>
          </w:p>
        </w:tc>
      </w:tr>
      <w:tr>
        <w:tc>
          <w:tcPr>
            <w:tcW w:type="dxa" w:w="4156"/>
            <w:vAlign w:val="center"/>
          </w:tcPr>
          <w:p>
            <w:pPr>
              <w:jc w:val="left"/>
            </w:pPr>
            <w:r/>
            <w:r>
              <w:rPr>
                <w:rFonts w:ascii="Times New Roman" w:hAnsi="Times New Roman" w:eastAsia="宋体"/>
                <w:b w:val="0"/>
                <w:color w:val="2A2A2A"/>
                <w:sz w:val="21"/>
              </w:rPr>
              <w:t>AI 综合建议</w:t>
            </w:r>
          </w:p>
        </w:tc>
        <w:tc>
          <w:tcPr>
            <w:tcW w:type="dxa" w:w="4156"/>
            <w:vAlign w:val="center"/>
          </w:tcPr>
          <w:p>
            <w:pPr>
              <w:jc w:val="center"/>
            </w:pPr>
            <w:r/>
            <w:r>
              <w:rPr>
                <w:rFonts w:ascii="Times New Roman" w:hAnsi="Times New Roman" w:eastAsia="宋体"/>
                <w:b w:val="0"/>
                <w:color w:val="2A2A2A"/>
                <w:sz w:val="21"/>
              </w:rPr>
              <w:t>DeepSeek 生成的 500—800 字综合建议</w:t>
            </w:r>
          </w:p>
        </w:tc>
      </w:tr>
      <w:tr>
        <w:tc>
          <w:tcPr>
            <w:tcW w:type="dxa" w:w="4156"/>
            <w:vAlign w:val="center"/>
            <w:tcBorders>
              <w:bottom w:val="single" w:sz="12" w:color="000000"/>
            </w:tcBorders>
          </w:tcPr>
          <w:p>
            <w:pPr>
              <w:jc w:val="left"/>
            </w:pPr>
            <w:r/>
            <w:r>
              <w:rPr>
                <w:rFonts w:ascii="Times New Roman" w:hAnsi="Times New Roman" w:eastAsia="宋体"/>
                <w:b w:val="0"/>
                <w:color w:val="2A2A2A"/>
                <w:sz w:val="21"/>
              </w:rPr>
              <w:t>PDF 导出</w:t>
            </w:r>
          </w:p>
        </w:tc>
        <w:tc>
          <w:tcPr>
            <w:tcW w:type="dxa" w:w="4156"/>
            <w:vAlign w:val="center"/>
            <w:tcBorders>
              <w:bottom w:val="single" w:sz="12" w:color="000000"/>
            </w:tcBorders>
          </w:tcPr>
          <w:p>
            <w:pPr>
              <w:jc w:val="center"/>
            </w:pPr>
            <w:r/>
            <w:r>
              <w:rPr>
                <w:rFonts w:ascii="Times New Roman" w:hAnsi="Times New Roman" w:eastAsia="宋体"/>
                <w:b w:val="0"/>
                <w:color w:val="2A2A2A"/>
                <w:sz w:val="21"/>
              </w:rPr>
              <w:t>一键下载专业评估报告</w:t>
            </w:r>
          </w:p>
        </w:tc>
      </w:tr>
    </w:tbl>
    <w:p>
      <w:pPr>
        <w:spacing w:line="360" w:lineRule="auto" w:before="120" w:after="120"/>
        <w:jc w:val="left"/>
      </w:pPr>
      <w:r>
        <w:rPr>
          <w:rFonts w:ascii="Times New Roman" w:hAnsi="Times New Roman" w:eastAsia="黑体"/>
          <w:b/>
          <w:color w:val="2D6A4F"/>
          <w:sz w:val="24"/>
        </w:rPr>
        <w:t>4.3.2 Tab 2：模式识别标准</w:t>
      </w:r>
    </w:p>
    <w:p>
      <w:pPr>
        <w:spacing w:line="360" w:lineRule="auto" w:before="0" w:after="0"/>
        <w:ind w:firstLine="480"/>
        <w:jc w:val="both"/>
      </w:pPr>
      <w:r>
        <w:rPr>
          <w:rFonts w:ascii="Times New Roman" w:hAnsi="Times New Roman" w:eastAsia="宋体"/>
          <w:b w:val="0"/>
          <w:sz w:val="24"/>
        </w:rPr>
        <w:t>该标签页以手风琴折叠面板形式展示 5 种生态产品价值实现模式的量化识别标准，每种模式包含：代表区县、模式定义、模式特点、核心要素、识别阈值表（指标 / 运算符 / 阈值 / 单位 / 是否必需）。</w:t>
      </w:r>
    </w:p>
    <w:p>
      <w:pPr>
        <w:spacing w:line="360" w:lineRule="auto" w:before="120" w:after="120"/>
        <w:jc w:val="left"/>
      </w:pPr>
      <w:r>
        <w:rPr>
          <w:rFonts w:ascii="Times New Roman" w:hAnsi="Times New Roman" w:eastAsia="黑体"/>
          <w:b/>
          <w:color w:val="2D6A4F"/>
          <w:sz w:val="24"/>
        </w:rPr>
        <w:t>4.3.3 Tab 3：耦合协调度工具</w:t>
      </w:r>
    </w:p>
    <w:p>
      <w:pPr>
        <w:spacing w:line="360" w:lineRule="auto" w:before="0" w:after="0"/>
        <w:ind w:firstLine="480"/>
        <w:jc w:val="both"/>
      </w:pPr>
      <w:r>
        <w:rPr>
          <w:rFonts w:ascii="Times New Roman" w:hAnsi="Times New Roman" w:eastAsia="宋体"/>
          <w:b w:val="0"/>
          <w:sz w:val="24"/>
        </w:rPr>
        <w:t>该标签页提供独立的耦合协调度计算器，无需上传完整数据即可快速测算。用户输入 U1（生态得分，0—100）与 U2（乡村振兴得分，0—100），系统实时计算 C、T、D 三个值并输出等级标签，通过 ECharts gauge 仪表盘动态展示 D 值落点，并展示 10 级划分标准网格，当前等级高亮显示。</w:t>
      </w:r>
    </w:p>
    <w:p>
      <w:pPr>
        <w:spacing w:line="360" w:lineRule="auto" w:before="240" w:after="120"/>
        <w:jc w:val="left"/>
      </w:pPr>
      <w:r>
        <w:rPr>
          <w:rFonts w:ascii="Times New Roman" w:hAnsi="Times New Roman" w:eastAsia="黑体"/>
          <w:b/>
          <w:color w:val="0D3B2E"/>
          <w:sz w:val="28"/>
        </w:rPr>
        <w:t>4.4 数据大屏</w:t>
      </w:r>
    </w:p>
    <w:p>
      <w:pPr>
        <w:spacing w:line="360" w:lineRule="auto" w:before="0" w:after="0"/>
        <w:ind w:firstLine="480"/>
        <w:jc w:val="both"/>
      </w:pPr>
      <w:r>
        <w:rPr>
          <w:rFonts w:ascii="Times New Roman" w:hAnsi="Times New Roman" w:eastAsia="宋体"/>
          <w:b w:val="0"/>
          <w:sz w:val="24"/>
        </w:rPr>
        <w:t>数据大屏（DashboardView）基于 10 区县 5 年面板数据，构建多维可视化分析界面。控制面板支持对比指标切换（生态得分/乡村振兴/D值/森林覆盖率/农村收入/GDP）与年份切换（2020—2024）。</w:t>
      </w:r>
    </w:p>
    <w:p>
      <w:pPr>
        <w:spacing w:line="360" w:lineRule="auto" w:before="0" w:after="0"/>
        <w:ind w:firstLine="480"/>
        <w:jc w:val="both"/>
      </w:pPr>
      <w:r>
        <w:rPr>
          <w:rFonts w:ascii="Times New Roman" w:hAnsi="Times New Roman" w:eastAsia="宋体"/>
          <w:b w:val="0"/>
          <w:sz w:val="24"/>
        </w:rPr>
        <w:t>统计卡展示样本区县数、观察年份、聚类模式数与当年最高指标值及对应区县名。可视化图表包含以下六类，如表 4-2 所示。</w:t>
      </w:r>
    </w:p>
    <w:p>
      <w:pPr>
        <w:spacing w:before="120" w:after="60"/>
        <w:jc w:val="center"/>
      </w:pPr>
      <w:r>
        <w:rPr>
          <w:rFonts w:ascii="Times New Roman" w:hAnsi="Times New Roman" w:eastAsia="黑体"/>
          <w:b/>
          <w:color w:val="0D3B2E"/>
          <w:sz w:val="21"/>
        </w:rPr>
        <w:t>表 4-2 数据大屏图表清单</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71"/>
        <w:gridCol w:w="2771"/>
        <w:gridCol w:w="2771"/>
      </w:tblGrid>
      <w:tr>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图表名称</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类型</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说明</w:t>
            </w:r>
          </w:p>
        </w:tc>
      </w:tr>
      <w:tr>
        <w:tc>
          <w:tcPr>
            <w:tcW w:type="dxa" w:w="2771"/>
            <w:vAlign w:val="center"/>
          </w:tcPr>
          <w:p>
            <w:pPr>
              <w:jc w:val="left"/>
            </w:pPr>
            <w:r/>
            <w:r>
              <w:rPr>
                <w:rFonts w:ascii="Times New Roman" w:hAnsi="Times New Roman" w:eastAsia="宋体"/>
                <w:b w:val="0"/>
                <w:color w:val="2A2A2A"/>
                <w:sz w:val="21"/>
              </w:rPr>
              <w:t>横向对比</w:t>
            </w:r>
          </w:p>
        </w:tc>
        <w:tc>
          <w:tcPr>
            <w:tcW w:type="dxa" w:w="2771"/>
            <w:vAlign w:val="center"/>
          </w:tcPr>
          <w:p>
            <w:pPr>
              <w:jc w:val="center"/>
            </w:pPr>
            <w:r/>
            <w:r>
              <w:rPr>
                <w:rFonts w:ascii="Times New Roman" w:hAnsi="Times New Roman" w:eastAsia="宋体"/>
                <w:b w:val="0"/>
                <w:color w:val="2A2A2A"/>
                <w:sz w:val="21"/>
              </w:rPr>
              <w:t>柱状图</w:t>
            </w:r>
          </w:p>
        </w:tc>
        <w:tc>
          <w:tcPr>
            <w:tcW w:type="dxa" w:w="2771"/>
            <w:vAlign w:val="center"/>
          </w:tcPr>
          <w:p>
            <w:pPr>
              <w:jc w:val="center"/>
            </w:pPr>
            <w:r/>
            <w:r>
              <w:rPr>
                <w:rFonts w:ascii="Times New Roman" w:hAnsi="Times New Roman" w:eastAsia="宋体"/>
                <w:b w:val="0"/>
                <w:color w:val="2A2A2A"/>
                <w:sz w:val="21"/>
              </w:rPr>
              <w:t>当年 10 区县按指标降序，按模式分色</w:t>
            </w:r>
          </w:p>
        </w:tc>
      </w:tr>
      <w:tr>
        <w:tc>
          <w:tcPr>
            <w:tcW w:type="dxa" w:w="2771"/>
            <w:vAlign w:val="center"/>
          </w:tcPr>
          <w:p>
            <w:pPr>
              <w:jc w:val="left"/>
            </w:pPr>
            <w:r/>
            <w:r>
              <w:rPr>
                <w:rFonts w:ascii="Times New Roman" w:hAnsi="Times New Roman" w:eastAsia="宋体"/>
                <w:b w:val="0"/>
                <w:color w:val="2A2A2A"/>
                <w:sz w:val="21"/>
              </w:rPr>
              <w:t>时间演化</w:t>
            </w:r>
          </w:p>
        </w:tc>
        <w:tc>
          <w:tcPr>
            <w:tcW w:type="dxa" w:w="2771"/>
            <w:vAlign w:val="center"/>
          </w:tcPr>
          <w:p>
            <w:pPr>
              <w:jc w:val="center"/>
            </w:pPr>
            <w:r/>
            <w:r>
              <w:rPr>
                <w:rFonts w:ascii="Times New Roman" w:hAnsi="Times New Roman" w:eastAsia="宋体"/>
                <w:b w:val="0"/>
                <w:color w:val="2A2A2A"/>
                <w:sz w:val="21"/>
              </w:rPr>
              <w:t>折线图</w:t>
            </w:r>
          </w:p>
        </w:tc>
        <w:tc>
          <w:tcPr>
            <w:tcW w:type="dxa" w:w="2771"/>
            <w:vAlign w:val="center"/>
          </w:tcPr>
          <w:p>
            <w:pPr>
              <w:jc w:val="center"/>
            </w:pPr>
            <w:r/>
            <w:r>
              <w:rPr>
                <w:rFonts w:ascii="Times New Roman" w:hAnsi="Times New Roman" w:eastAsia="宋体"/>
                <w:b w:val="0"/>
                <w:color w:val="2A2A2A"/>
                <w:sz w:val="21"/>
              </w:rPr>
              <w:t>5 年趋势，按模式分色</w:t>
            </w:r>
          </w:p>
        </w:tc>
      </w:tr>
      <w:tr>
        <w:tc>
          <w:tcPr>
            <w:tcW w:type="dxa" w:w="2771"/>
            <w:vAlign w:val="center"/>
          </w:tcPr>
          <w:p>
            <w:pPr>
              <w:jc w:val="left"/>
            </w:pPr>
            <w:r/>
            <w:r>
              <w:rPr>
                <w:rFonts w:ascii="Times New Roman" w:hAnsi="Times New Roman" w:eastAsia="宋体"/>
                <w:b w:val="0"/>
                <w:color w:val="2A2A2A"/>
                <w:sz w:val="21"/>
              </w:rPr>
              <w:t>模式雷达</w:t>
            </w:r>
          </w:p>
        </w:tc>
        <w:tc>
          <w:tcPr>
            <w:tcW w:type="dxa" w:w="2771"/>
            <w:vAlign w:val="center"/>
          </w:tcPr>
          <w:p>
            <w:pPr>
              <w:jc w:val="center"/>
            </w:pPr>
            <w:r/>
            <w:r>
              <w:rPr>
                <w:rFonts w:ascii="Times New Roman" w:hAnsi="Times New Roman" w:eastAsia="宋体"/>
                <w:b w:val="0"/>
                <w:color w:val="2A2A2A"/>
                <w:sz w:val="21"/>
              </w:rPr>
              <w:t>雷达图</w:t>
            </w:r>
          </w:p>
        </w:tc>
        <w:tc>
          <w:tcPr>
            <w:tcW w:type="dxa" w:w="2771"/>
            <w:vAlign w:val="center"/>
          </w:tcPr>
          <w:p>
            <w:pPr>
              <w:jc w:val="center"/>
            </w:pPr>
            <w:r/>
            <w:r>
              <w:rPr>
                <w:rFonts w:ascii="Times New Roman" w:hAnsi="Times New Roman" w:eastAsia="宋体"/>
                <w:b w:val="0"/>
                <w:color w:val="2A2A2A"/>
                <w:sz w:val="21"/>
              </w:rPr>
              <w:t>5 模式代表区县五维得分对比</w:t>
            </w:r>
          </w:p>
        </w:tc>
      </w:tr>
      <w:tr>
        <w:tc>
          <w:tcPr>
            <w:tcW w:type="dxa" w:w="2771"/>
            <w:vAlign w:val="center"/>
          </w:tcPr>
          <w:p>
            <w:pPr>
              <w:jc w:val="left"/>
            </w:pPr>
            <w:r/>
            <w:r>
              <w:rPr>
                <w:rFonts w:ascii="Times New Roman" w:hAnsi="Times New Roman" w:eastAsia="宋体"/>
                <w:b w:val="0"/>
                <w:color w:val="2A2A2A"/>
                <w:sz w:val="21"/>
              </w:rPr>
              <w:t>耦合散点</w:t>
            </w:r>
          </w:p>
        </w:tc>
        <w:tc>
          <w:tcPr>
            <w:tcW w:type="dxa" w:w="2771"/>
            <w:vAlign w:val="center"/>
          </w:tcPr>
          <w:p>
            <w:pPr>
              <w:jc w:val="center"/>
            </w:pPr>
            <w:r/>
            <w:r>
              <w:rPr>
                <w:rFonts w:ascii="Times New Roman" w:hAnsi="Times New Roman" w:eastAsia="宋体"/>
                <w:b w:val="0"/>
                <w:color w:val="2A2A2A"/>
                <w:sz w:val="21"/>
              </w:rPr>
              <w:t>散点图</w:t>
            </w:r>
          </w:p>
        </w:tc>
        <w:tc>
          <w:tcPr>
            <w:tcW w:type="dxa" w:w="2771"/>
            <w:vAlign w:val="center"/>
          </w:tcPr>
          <w:p>
            <w:pPr>
              <w:jc w:val="center"/>
            </w:pPr>
            <w:r/>
            <w:r>
              <w:rPr>
                <w:rFonts w:ascii="Times New Roman" w:hAnsi="Times New Roman" w:eastAsia="宋体"/>
                <w:b w:val="0"/>
                <w:color w:val="2A2A2A"/>
                <w:sz w:val="21"/>
              </w:rPr>
              <w:t>生态得分 vs 振兴得分，对角线为 D=1</w:t>
            </w:r>
          </w:p>
        </w:tc>
      </w:tr>
      <w:tr>
        <w:tc>
          <w:tcPr>
            <w:tcW w:type="dxa" w:w="2771"/>
            <w:vAlign w:val="center"/>
          </w:tcPr>
          <w:p>
            <w:pPr>
              <w:jc w:val="left"/>
            </w:pPr>
            <w:r/>
            <w:r>
              <w:rPr>
                <w:rFonts w:ascii="Times New Roman" w:hAnsi="Times New Roman" w:eastAsia="宋体"/>
                <w:b w:val="0"/>
                <w:color w:val="2A2A2A"/>
                <w:sz w:val="21"/>
              </w:rPr>
              <w:t>AHP 权重</w:t>
            </w:r>
          </w:p>
        </w:tc>
        <w:tc>
          <w:tcPr>
            <w:tcW w:type="dxa" w:w="2771"/>
            <w:vAlign w:val="center"/>
          </w:tcPr>
          <w:p>
            <w:pPr>
              <w:jc w:val="center"/>
            </w:pPr>
            <w:r/>
            <w:r>
              <w:rPr>
                <w:rFonts w:ascii="Times New Roman" w:hAnsi="Times New Roman" w:eastAsia="宋体"/>
                <w:b w:val="0"/>
                <w:color w:val="2A2A2A"/>
                <w:sz w:val="21"/>
              </w:rPr>
              <w:t>横向条形图</w:t>
            </w:r>
          </w:p>
        </w:tc>
        <w:tc>
          <w:tcPr>
            <w:tcW w:type="dxa" w:w="2771"/>
            <w:vAlign w:val="center"/>
          </w:tcPr>
          <w:p>
            <w:pPr>
              <w:jc w:val="center"/>
            </w:pPr>
            <w:r/>
            <w:r>
              <w:rPr>
                <w:rFonts w:ascii="Times New Roman" w:hAnsi="Times New Roman" w:eastAsia="宋体"/>
                <w:b w:val="0"/>
                <w:color w:val="2A2A2A"/>
                <w:sz w:val="21"/>
              </w:rPr>
              <w:t>26 项指标组合权重可视化</w:t>
            </w:r>
          </w:p>
        </w:tc>
      </w:tr>
      <w:tr>
        <w:tc>
          <w:tcPr>
            <w:tcW w:type="dxa" w:w="2771"/>
            <w:vAlign w:val="center"/>
            <w:tcBorders>
              <w:bottom w:val="single" w:sz="12" w:color="000000"/>
            </w:tcBorders>
          </w:tcPr>
          <w:p>
            <w:pPr>
              <w:jc w:val="left"/>
            </w:pPr>
            <w:r/>
            <w:r>
              <w:rPr>
                <w:rFonts w:ascii="Times New Roman" w:hAnsi="Times New Roman" w:eastAsia="宋体"/>
                <w:b w:val="0"/>
                <w:color w:val="2A2A2A"/>
                <w:sz w:val="21"/>
              </w:rPr>
              <w:t>聚类散点</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散点图</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10 区县 PC1/PC2 主成分降维坐标</w:t>
            </w:r>
          </w:p>
        </w:tc>
      </w:tr>
    </w:tbl>
    <w:p>
      <w:pPr>
        <w:spacing w:line="360" w:lineRule="auto" w:before="240" w:after="120"/>
        <w:jc w:val="left"/>
      </w:pPr>
      <w:r>
        <w:rPr>
          <w:rFonts w:ascii="Times New Roman" w:hAnsi="Times New Roman" w:eastAsia="黑体"/>
          <w:b/>
          <w:color w:val="0D3B2E"/>
          <w:sz w:val="28"/>
        </w:rPr>
        <w:t>4.5 农产品商城</w:t>
      </w:r>
    </w:p>
    <w:p>
      <w:pPr>
        <w:spacing w:line="360" w:lineRule="auto" w:before="0" w:after="0"/>
        <w:ind w:firstLine="480"/>
        <w:jc w:val="both"/>
      </w:pPr>
      <w:r>
        <w:rPr>
          <w:rFonts w:ascii="Times New Roman" w:hAnsi="Times New Roman" w:eastAsia="宋体"/>
          <w:b w:val="0"/>
          <w:sz w:val="24"/>
        </w:rPr>
        <w:t>农产品商城（MallView）面向农户与合作社，提供生态农产品展示与交易功能。主要特性包括：分类筛选（茶叶、水果、水产、农副等品类）、关键词搜索、商品卡片（图片、生态认证标签、产地、价格、库存）、抽屉式购物车（数量调整、单品删除、合计结算）、商家角色可上架自有商品（含图片、价格、库存）。</w:t>
      </w:r>
    </w:p>
    <w:p>
      <w:pPr>
        <w:spacing w:line="360" w:lineRule="auto" w:before="240" w:after="120"/>
        <w:jc w:val="left"/>
      </w:pPr>
      <w:r>
        <w:rPr>
          <w:rFonts w:ascii="Times New Roman" w:hAnsi="Times New Roman" w:eastAsia="黑体"/>
          <w:b/>
          <w:color w:val="0D3B2E"/>
          <w:sz w:val="28"/>
        </w:rPr>
        <w:t>4.6 案例中心</w:t>
      </w:r>
    </w:p>
    <w:p>
      <w:pPr>
        <w:spacing w:line="360" w:lineRule="auto" w:before="0" w:after="0"/>
        <w:ind w:firstLine="480"/>
        <w:jc w:val="both"/>
      </w:pPr>
      <w:r>
        <w:rPr>
          <w:rFonts w:ascii="Times New Roman" w:hAnsi="Times New Roman" w:eastAsia="宋体"/>
          <w:b w:val="0"/>
          <w:sz w:val="24"/>
        </w:rPr>
        <w:t>案例中心（CaseView）展示 5 种模式的典型案例，便于用户借鉴成功经验。支持模式标签筛选，点击卡片弹出 3 标签页详情弹窗：案例详情、模式识别标准（该案例所属模式的量化识别标准）、路径优化建议（27 条差异化建议按模式匹配）。</w:t>
      </w:r>
    </w:p>
    <w:p>
      <w:pPr>
        <w:spacing w:line="360" w:lineRule="auto" w:before="240" w:after="120"/>
        <w:jc w:val="left"/>
      </w:pPr>
      <w:r>
        <w:rPr>
          <w:rFonts w:ascii="Times New Roman" w:hAnsi="Times New Roman" w:eastAsia="黑体"/>
          <w:b/>
          <w:color w:val="0D3B2E"/>
          <w:sz w:val="28"/>
        </w:rPr>
        <w:t>4.7 用户中心</w:t>
      </w:r>
    </w:p>
    <w:p>
      <w:pPr>
        <w:spacing w:line="360" w:lineRule="auto" w:before="0" w:after="0"/>
        <w:ind w:firstLine="480"/>
        <w:jc w:val="both"/>
      </w:pPr>
      <w:r>
        <w:rPr>
          <w:rFonts w:ascii="Times New Roman" w:hAnsi="Times New Roman" w:eastAsia="宋体"/>
          <w:b w:val="0"/>
          <w:sz w:val="24"/>
        </w:rPr>
        <w:t>用户中心（UserView）提供注册、登录与个人面板功能。支持普通用户与商家两种角色注册，采用 JWT 无状态鉴权机制。个人面板展示评估历史记录、政策收藏与订单管理。</w:t>
      </w:r>
    </w:p>
    <w:p>
      <w:r>
        <w:br w:type="page"/>
      </w:r>
    </w:p>
    <w:p>
      <w:pPr>
        <w:spacing w:line="360" w:lineRule="auto" w:before="0" w:after="360"/>
        <w:jc w:val="center"/>
        <w:pBdr>
          <w:bottom w:val="single" w:sz="12" w:space="4" w:color="0D3B2E"/>
        </w:pBdr>
      </w:pPr>
      <w:r>
        <w:rPr>
          <w:rFonts w:ascii="Times New Roman" w:hAnsi="Times New Roman" w:eastAsia="黑体"/>
          <w:b/>
          <w:color w:val="0D3B2E"/>
          <w:sz w:val="36"/>
        </w:rPr>
        <w:t>第五章 五种发展模式</w:t>
      </w:r>
    </w:p>
    <w:p>
      <w:pPr>
        <w:spacing w:line="360" w:lineRule="auto" w:before="240" w:after="120"/>
        <w:jc w:val="left"/>
      </w:pPr>
      <w:r>
        <w:rPr>
          <w:rFonts w:ascii="Times New Roman" w:hAnsi="Times New Roman" w:eastAsia="黑体"/>
          <w:b/>
          <w:color w:val="0D3B2E"/>
          <w:sz w:val="28"/>
        </w:rPr>
        <w:t>5.1 模式提取方法</w:t>
      </w:r>
    </w:p>
    <w:p>
      <w:pPr>
        <w:spacing w:line="360" w:lineRule="auto" w:before="0" w:after="0"/>
        <w:ind w:firstLine="480"/>
        <w:jc w:val="both"/>
      </w:pPr>
      <w:r>
        <w:rPr>
          <w:rFonts w:ascii="Times New Roman" w:hAnsi="Times New Roman" w:eastAsia="宋体"/>
          <w:b w:val="0"/>
          <w:sz w:val="24"/>
        </w:rPr>
        <w:t>平台以 10 个样本区县 26 项指标数据为基础，通过层次聚类分析（Ward 法）提取 5 种典型发展模式。提取流程为：10 个区县面板数据 → Z-score 标准化处理 → Ward 层次聚类 → PCA 主成分降维 → 5 种发展模式。</w:t>
      </w:r>
    </w:p>
    <w:p>
      <w:pPr>
        <w:spacing w:line="360" w:lineRule="auto" w:before="240" w:after="120"/>
        <w:jc w:val="left"/>
      </w:pPr>
      <w:r>
        <w:rPr>
          <w:rFonts w:ascii="Times New Roman" w:hAnsi="Times New Roman" w:eastAsia="黑体"/>
          <w:b/>
          <w:color w:val="0D3B2E"/>
          <w:sz w:val="28"/>
        </w:rPr>
        <w:t>5.2 模式详细说明</w:t>
      </w:r>
    </w:p>
    <w:p>
      <w:pPr>
        <w:spacing w:line="360" w:lineRule="auto" w:before="0" w:after="0"/>
        <w:ind w:firstLine="480"/>
        <w:jc w:val="both"/>
      </w:pPr>
      <w:r>
        <w:rPr>
          <w:rFonts w:ascii="Times New Roman" w:hAnsi="Times New Roman" w:eastAsia="宋体"/>
          <w:b w:val="0"/>
          <w:sz w:val="24"/>
        </w:rPr>
        <w:t>5 种发展模式在资源禀赋、产业特征、区位条件等方面呈现显著差异，具体如表 5-1 所示。</w:t>
      </w:r>
    </w:p>
    <w:p>
      <w:pPr>
        <w:spacing w:before="120" w:after="60"/>
        <w:jc w:val="center"/>
      </w:pPr>
      <w:r>
        <w:rPr>
          <w:rFonts w:ascii="Times New Roman" w:hAnsi="Times New Roman" w:eastAsia="黑体"/>
          <w:b/>
          <w:color w:val="0D3B2E"/>
          <w:sz w:val="21"/>
        </w:rPr>
        <w:t>表 5-1 五种发展模式特征对比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078"/>
        <w:gridCol w:w="2078"/>
        <w:gridCol w:w="2078"/>
        <w:gridCol w:w="2078"/>
      </w:tblGrid>
      <w:tr>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模式</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代表区县</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核心识别阈值</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路径优化方向</w:t>
            </w:r>
          </w:p>
        </w:tc>
      </w:tr>
      <w:tr>
        <w:tc>
          <w:tcPr>
            <w:tcW w:type="dxa" w:w="2078"/>
            <w:vAlign w:val="center"/>
          </w:tcPr>
          <w:p>
            <w:pPr>
              <w:jc w:val="left"/>
            </w:pPr>
            <w:r/>
            <w:r>
              <w:rPr>
                <w:rFonts w:ascii="Times New Roman" w:hAnsi="Times New Roman" w:eastAsia="宋体"/>
                <w:b w:val="0"/>
                <w:color w:val="2A2A2A"/>
                <w:sz w:val="21"/>
              </w:rPr>
              <w:t>生态康养型</w:t>
            </w:r>
          </w:p>
        </w:tc>
        <w:tc>
          <w:tcPr>
            <w:tcW w:type="dxa" w:w="2078"/>
            <w:vAlign w:val="center"/>
          </w:tcPr>
          <w:p>
            <w:pPr>
              <w:jc w:val="center"/>
            </w:pPr>
            <w:r/>
            <w:r>
              <w:rPr>
                <w:rFonts w:ascii="Times New Roman" w:hAnsi="Times New Roman" w:eastAsia="宋体"/>
                <w:b w:val="0"/>
                <w:color w:val="2A2A2A"/>
                <w:sz w:val="21"/>
              </w:rPr>
              <w:t>黟县、蒲江</w:t>
            </w:r>
          </w:p>
        </w:tc>
        <w:tc>
          <w:tcPr>
            <w:tcW w:type="dxa" w:w="2078"/>
            <w:vAlign w:val="center"/>
          </w:tcPr>
          <w:p>
            <w:pPr>
              <w:jc w:val="center"/>
            </w:pPr>
            <w:r/>
            <w:r>
              <w:rPr>
                <w:rFonts w:ascii="Times New Roman" w:hAnsi="Times New Roman" w:eastAsia="宋体"/>
                <w:b w:val="0"/>
                <w:color w:val="2A2A2A"/>
                <w:sz w:val="21"/>
              </w:rPr>
              <w:t>森林覆盖率≥65%、城镇化率≤55%、空气优良率≥80%</w:t>
            </w:r>
          </w:p>
        </w:tc>
        <w:tc>
          <w:tcPr>
            <w:tcW w:type="dxa" w:w="2078"/>
            <w:vAlign w:val="center"/>
          </w:tcPr>
          <w:p>
            <w:pPr>
              <w:jc w:val="center"/>
            </w:pPr>
            <w:r/>
            <w:r>
              <w:rPr>
                <w:rFonts w:ascii="Times New Roman" w:hAnsi="Times New Roman" w:eastAsia="宋体"/>
                <w:b w:val="0"/>
                <w:color w:val="2A2A2A"/>
                <w:sz w:val="21"/>
              </w:rPr>
              <w:t>森林康养基地、气候疗养产品、康养小镇品牌</w:t>
            </w:r>
          </w:p>
        </w:tc>
      </w:tr>
      <w:tr>
        <w:tc>
          <w:tcPr>
            <w:tcW w:type="dxa" w:w="2078"/>
            <w:vAlign w:val="center"/>
          </w:tcPr>
          <w:p>
            <w:pPr>
              <w:jc w:val="left"/>
            </w:pPr>
            <w:r/>
            <w:r>
              <w:rPr>
                <w:rFonts w:ascii="Times New Roman" w:hAnsi="Times New Roman" w:eastAsia="宋体"/>
                <w:b w:val="0"/>
                <w:color w:val="2A2A2A"/>
                <w:sz w:val="21"/>
              </w:rPr>
              <w:t>湿地水域型</w:t>
            </w:r>
          </w:p>
        </w:tc>
        <w:tc>
          <w:tcPr>
            <w:tcW w:type="dxa" w:w="2078"/>
            <w:vAlign w:val="center"/>
          </w:tcPr>
          <w:p>
            <w:pPr>
              <w:jc w:val="center"/>
            </w:pPr>
            <w:r/>
            <w:r>
              <w:rPr>
                <w:rFonts w:ascii="Times New Roman" w:hAnsi="Times New Roman" w:eastAsia="宋体"/>
                <w:b w:val="0"/>
                <w:color w:val="2A2A2A"/>
                <w:sz w:val="21"/>
              </w:rPr>
              <w:t>合肥、雄安</w:t>
            </w:r>
          </w:p>
        </w:tc>
        <w:tc>
          <w:tcPr>
            <w:tcW w:type="dxa" w:w="2078"/>
            <w:vAlign w:val="center"/>
          </w:tcPr>
          <w:p>
            <w:pPr>
              <w:jc w:val="center"/>
            </w:pPr>
            <w:r/>
            <w:r>
              <w:rPr>
                <w:rFonts w:ascii="Times New Roman" w:hAnsi="Times New Roman" w:eastAsia="宋体"/>
                <w:b w:val="0"/>
                <w:color w:val="2A2A2A"/>
                <w:sz w:val="21"/>
              </w:rPr>
              <w:t>水质达标率≥95%、重要生态保护区面积突出</w:t>
            </w:r>
          </w:p>
        </w:tc>
        <w:tc>
          <w:tcPr>
            <w:tcW w:type="dxa" w:w="2078"/>
            <w:vAlign w:val="center"/>
          </w:tcPr>
          <w:p>
            <w:pPr>
              <w:jc w:val="center"/>
            </w:pPr>
            <w:r/>
            <w:r>
              <w:rPr>
                <w:rFonts w:ascii="Times New Roman" w:hAnsi="Times New Roman" w:eastAsia="宋体"/>
                <w:b w:val="0"/>
                <w:color w:val="2A2A2A"/>
                <w:sz w:val="21"/>
              </w:rPr>
              <w:t>湿地公园、保水渔业、水权交易、碳汇交易</w:t>
            </w:r>
          </w:p>
        </w:tc>
      </w:tr>
      <w:tr>
        <w:tc>
          <w:tcPr>
            <w:tcW w:type="dxa" w:w="2078"/>
            <w:vAlign w:val="center"/>
          </w:tcPr>
          <w:p>
            <w:pPr>
              <w:jc w:val="left"/>
            </w:pPr>
            <w:r/>
            <w:r>
              <w:rPr>
                <w:rFonts w:ascii="Times New Roman" w:hAnsi="Times New Roman" w:eastAsia="宋体"/>
                <w:b w:val="0"/>
                <w:color w:val="2A2A2A"/>
                <w:sz w:val="21"/>
              </w:rPr>
              <w:t>农业品牌型</w:t>
            </w:r>
          </w:p>
        </w:tc>
        <w:tc>
          <w:tcPr>
            <w:tcW w:type="dxa" w:w="2078"/>
            <w:vAlign w:val="center"/>
          </w:tcPr>
          <w:p>
            <w:pPr>
              <w:jc w:val="center"/>
            </w:pPr>
            <w:r/>
            <w:r>
              <w:rPr>
                <w:rFonts w:ascii="Times New Roman" w:hAnsi="Times New Roman" w:eastAsia="宋体"/>
                <w:b w:val="0"/>
                <w:color w:val="2A2A2A"/>
                <w:sz w:val="21"/>
              </w:rPr>
              <w:t>盱眙、兴化</w:t>
            </w:r>
          </w:p>
        </w:tc>
        <w:tc>
          <w:tcPr>
            <w:tcW w:type="dxa" w:w="2078"/>
            <w:vAlign w:val="center"/>
          </w:tcPr>
          <w:p>
            <w:pPr>
              <w:jc w:val="center"/>
            </w:pPr>
            <w:r/>
            <w:r>
              <w:rPr>
                <w:rFonts w:ascii="Times New Roman" w:hAnsi="Times New Roman" w:eastAsia="宋体"/>
                <w:b w:val="0"/>
                <w:color w:val="2A2A2A"/>
                <w:sz w:val="21"/>
              </w:rPr>
              <w:t>粮食播种面积≥10万公顷、农产品产出≥90万吨</w:t>
            </w:r>
          </w:p>
        </w:tc>
        <w:tc>
          <w:tcPr>
            <w:tcW w:type="dxa" w:w="2078"/>
            <w:vAlign w:val="center"/>
          </w:tcPr>
          <w:p>
            <w:pPr>
              <w:jc w:val="center"/>
            </w:pPr>
            <w:r/>
            <w:r>
              <w:rPr>
                <w:rFonts w:ascii="Times New Roman" w:hAnsi="Times New Roman" w:eastAsia="宋体"/>
                <w:b w:val="0"/>
                <w:color w:val="2A2A2A"/>
                <w:sz w:val="21"/>
              </w:rPr>
              <w:t>区域公用品牌、三品一标、精深加工产业链</w:t>
            </w:r>
          </w:p>
        </w:tc>
      </w:tr>
      <w:tr>
        <w:tc>
          <w:tcPr>
            <w:tcW w:type="dxa" w:w="2078"/>
            <w:vAlign w:val="center"/>
          </w:tcPr>
          <w:p>
            <w:pPr>
              <w:jc w:val="left"/>
            </w:pPr>
            <w:r/>
            <w:r>
              <w:rPr>
                <w:rFonts w:ascii="Times New Roman" w:hAnsi="Times New Roman" w:eastAsia="宋体"/>
                <w:b w:val="0"/>
                <w:color w:val="2A2A2A"/>
                <w:sz w:val="21"/>
              </w:rPr>
              <w:t>农文旅融合型</w:t>
            </w:r>
          </w:p>
        </w:tc>
        <w:tc>
          <w:tcPr>
            <w:tcW w:type="dxa" w:w="2078"/>
            <w:vAlign w:val="center"/>
          </w:tcPr>
          <w:p>
            <w:pPr>
              <w:jc w:val="center"/>
            </w:pPr>
            <w:r/>
            <w:r>
              <w:rPr>
                <w:rFonts w:ascii="Times New Roman" w:hAnsi="Times New Roman" w:eastAsia="宋体"/>
                <w:b w:val="0"/>
                <w:color w:val="2A2A2A"/>
                <w:sz w:val="21"/>
              </w:rPr>
              <w:t>五指山、嘉定</w:t>
            </w:r>
          </w:p>
        </w:tc>
        <w:tc>
          <w:tcPr>
            <w:tcW w:type="dxa" w:w="2078"/>
            <w:vAlign w:val="center"/>
          </w:tcPr>
          <w:p>
            <w:pPr>
              <w:jc w:val="center"/>
            </w:pPr>
            <w:r/>
            <w:r>
              <w:rPr>
                <w:rFonts w:ascii="Times New Roman" w:hAnsi="Times New Roman" w:eastAsia="宋体"/>
                <w:b w:val="0"/>
                <w:color w:val="2A2A2A"/>
                <w:sz w:val="21"/>
              </w:rPr>
              <w:t>森林覆盖率≥15%、空气优良率≥80%、文化资源丰富</w:t>
            </w:r>
          </w:p>
        </w:tc>
        <w:tc>
          <w:tcPr>
            <w:tcW w:type="dxa" w:w="2078"/>
            <w:vAlign w:val="center"/>
          </w:tcPr>
          <w:p>
            <w:pPr>
              <w:jc w:val="center"/>
            </w:pPr>
            <w:r/>
            <w:r>
              <w:rPr>
                <w:rFonts w:ascii="Times New Roman" w:hAnsi="Times New Roman" w:eastAsia="宋体"/>
                <w:b w:val="0"/>
                <w:color w:val="2A2A2A"/>
                <w:sz w:val="21"/>
              </w:rPr>
              <w:t>研学线路、文创工坊、乡村节庆、特色民宿</w:t>
            </w:r>
          </w:p>
        </w:tc>
      </w:tr>
      <w:tr>
        <w:tc>
          <w:tcPr>
            <w:tcW w:type="dxa" w:w="2078"/>
            <w:vAlign w:val="center"/>
            <w:tcBorders>
              <w:bottom w:val="single" w:sz="12" w:color="000000"/>
            </w:tcBorders>
          </w:tcPr>
          <w:p>
            <w:pPr>
              <w:jc w:val="left"/>
            </w:pPr>
            <w:r/>
            <w:r>
              <w:rPr>
                <w:rFonts w:ascii="Times New Roman" w:hAnsi="Times New Roman" w:eastAsia="宋体"/>
                <w:b w:val="0"/>
                <w:color w:val="2A2A2A"/>
                <w:sz w:val="21"/>
              </w:rPr>
              <w:t>城郊消费型</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高淳、溧水</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城镇化率≥70%、GDP≥1000亿、农村人均收入≥4万元</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都市农园、采摘体验、城郊综合体、周末经济</w:t>
            </w:r>
          </w:p>
        </w:tc>
      </w:tr>
    </w:tbl>
    <w:p>
      <w:pPr>
        <w:spacing w:line="360" w:lineRule="auto" w:before="240" w:after="120"/>
        <w:jc w:val="left"/>
      </w:pPr>
      <w:r>
        <w:rPr>
          <w:rFonts w:ascii="Times New Roman" w:hAnsi="Times New Roman" w:eastAsia="黑体"/>
          <w:b/>
          <w:color w:val="0D3B2E"/>
          <w:sz w:val="28"/>
        </w:rPr>
        <w:t>5.3 路径优化建议矩阵</w:t>
      </w:r>
    </w:p>
    <w:p>
      <w:pPr>
        <w:spacing w:line="360" w:lineRule="auto" w:before="0" w:after="0"/>
        <w:ind w:firstLine="480"/>
        <w:jc w:val="both"/>
      </w:pPr>
      <w:r>
        <w:rPr>
          <w:rFonts w:ascii="Times New Roman" w:hAnsi="Times New Roman" w:eastAsia="宋体"/>
          <w:b w:val="0"/>
          <w:sz w:val="24"/>
        </w:rPr>
        <w:t>每种模式配备 5—6 条结构化路径优化建议，合计 27 条。每条建议包含建议编号、建议标题与建议详情三部分。路径优化建议矩阵如表 5-2 所示。</w:t>
      </w:r>
    </w:p>
    <w:p>
      <w:pPr>
        <w:spacing w:before="120" w:after="60"/>
        <w:jc w:val="center"/>
      </w:pPr>
      <w:r>
        <w:rPr>
          <w:rFonts w:ascii="Times New Roman" w:hAnsi="Times New Roman" w:eastAsia="黑体"/>
          <w:b/>
          <w:color w:val="0D3B2E"/>
          <w:sz w:val="21"/>
        </w:rPr>
        <w:t>表 5-2 路径优化建议矩阵</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71"/>
        <w:gridCol w:w="2771"/>
        <w:gridCol w:w="2771"/>
      </w:tblGrid>
      <w:tr>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模式</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建议数</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重点方向示例</w:t>
            </w:r>
          </w:p>
        </w:tc>
      </w:tr>
      <w:tr>
        <w:tc>
          <w:tcPr>
            <w:tcW w:type="dxa" w:w="2771"/>
            <w:vAlign w:val="center"/>
          </w:tcPr>
          <w:p>
            <w:pPr>
              <w:jc w:val="left"/>
            </w:pPr>
            <w:r/>
            <w:r>
              <w:rPr>
                <w:rFonts w:ascii="Times New Roman" w:hAnsi="Times New Roman" w:eastAsia="宋体"/>
                <w:b w:val="0"/>
                <w:color w:val="2A2A2A"/>
                <w:sz w:val="21"/>
              </w:rPr>
              <w:t>生态康养型</w:t>
            </w:r>
          </w:p>
        </w:tc>
        <w:tc>
          <w:tcPr>
            <w:tcW w:type="dxa" w:w="2771"/>
            <w:vAlign w:val="center"/>
          </w:tcPr>
          <w:p>
            <w:pPr>
              <w:jc w:val="center"/>
            </w:pPr>
            <w:r/>
            <w:r>
              <w:rPr>
                <w:rFonts w:ascii="Times New Roman" w:hAnsi="Times New Roman" w:eastAsia="宋体"/>
                <w:b w:val="0"/>
                <w:color w:val="2A2A2A"/>
                <w:sz w:val="21"/>
              </w:rPr>
              <w:t>6 条</w:t>
            </w:r>
          </w:p>
        </w:tc>
        <w:tc>
          <w:tcPr>
            <w:tcW w:type="dxa" w:w="2771"/>
            <w:vAlign w:val="center"/>
          </w:tcPr>
          <w:p>
            <w:pPr>
              <w:jc w:val="center"/>
            </w:pPr>
            <w:r/>
            <w:r>
              <w:rPr>
                <w:rFonts w:ascii="Times New Roman" w:hAnsi="Times New Roman" w:eastAsia="宋体"/>
                <w:b w:val="0"/>
                <w:color w:val="2A2A2A"/>
                <w:sz w:val="21"/>
              </w:rPr>
              <w:t>森林康养基地、气候疗养产品、康养小镇品牌、康养旅居产品</w:t>
            </w:r>
          </w:p>
        </w:tc>
      </w:tr>
      <w:tr>
        <w:tc>
          <w:tcPr>
            <w:tcW w:type="dxa" w:w="2771"/>
            <w:vAlign w:val="center"/>
          </w:tcPr>
          <w:p>
            <w:pPr>
              <w:jc w:val="left"/>
            </w:pPr>
            <w:r/>
            <w:r>
              <w:rPr>
                <w:rFonts w:ascii="Times New Roman" w:hAnsi="Times New Roman" w:eastAsia="宋体"/>
                <w:b w:val="0"/>
                <w:color w:val="2A2A2A"/>
                <w:sz w:val="21"/>
              </w:rPr>
              <w:t>湿地水域型</w:t>
            </w:r>
          </w:p>
        </w:tc>
        <w:tc>
          <w:tcPr>
            <w:tcW w:type="dxa" w:w="2771"/>
            <w:vAlign w:val="center"/>
          </w:tcPr>
          <w:p>
            <w:pPr>
              <w:jc w:val="center"/>
            </w:pPr>
            <w:r/>
            <w:r>
              <w:rPr>
                <w:rFonts w:ascii="Times New Roman" w:hAnsi="Times New Roman" w:eastAsia="宋体"/>
                <w:b w:val="0"/>
                <w:color w:val="2A2A2A"/>
                <w:sz w:val="21"/>
              </w:rPr>
              <w:t>5 条</w:t>
            </w:r>
          </w:p>
        </w:tc>
        <w:tc>
          <w:tcPr>
            <w:tcW w:type="dxa" w:w="2771"/>
            <w:vAlign w:val="center"/>
          </w:tcPr>
          <w:p>
            <w:pPr>
              <w:jc w:val="center"/>
            </w:pPr>
            <w:r/>
            <w:r>
              <w:rPr>
                <w:rFonts w:ascii="Times New Roman" w:hAnsi="Times New Roman" w:eastAsia="宋体"/>
                <w:b w:val="0"/>
                <w:color w:val="2A2A2A"/>
                <w:sz w:val="21"/>
              </w:rPr>
              <w:t>湿地公园、保水渔业、水权交易、碳汇交易、生态补偿</w:t>
            </w:r>
          </w:p>
        </w:tc>
      </w:tr>
      <w:tr>
        <w:tc>
          <w:tcPr>
            <w:tcW w:type="dxa" w:w="2771"/>
            <w:vAlign w:val="center"/>
          </w:tcPr>
          <w:p>
            <w:pPr>
              <w:jc w:val="left"/>
            </w:pPr>
            <w:r/>
            <w:r>
              <w:rPr>
                <w:rFonts w:ascii="Times New Roman" w:hAnsi="Times New Roman" w:eastAsia="宋体"/>
                <w:b w:val="0"/>
                <w:color w:val="2A2A2A"/>
                <w:sz w:val="21"/>
              </w:rPr>
              <w:t>农业品牌型</w:t>
            </w:r>
          </w:p>
        </w:tc>
        <w:tc>
          <w:tcPr>
            <w:tcW w:type="dxa" w:w="2771"/>
            <w:vAlign w:val="center"/>
          </w:tcPr>
          <w:p>
            <w:pPr>
              <w:jc w:val="center"/>
            </w:pPr>
            <w:r/>
            <w:r>
              <w:rPr>
                <w:rFonts w:ascii="Times New Roman" w:hAnsi="Times New Roman" w:eastAsia="宋体"/>
                <w:b w:val="0"/>
                <w:color w:val="2A2A2A"/>
                <w:sz w:val="21"/>
              </w:rPr>
              <w:t>6 条</w:t>
            </w:r>
          </w:p>
        </w:tc>
        <w:tc>
          <w:tcPr>
            <w:tcW w:type="dxa" w:w="2771"/>
            <w:vAlign w:val="center"/>
          </w:tcPr>
          <w:p>
            <w:pPr>
              <w:jc w:val="center"/>
            </w:pPr>
            <w:r/>
            <w:r>
              <w:rPr>
                <w:rFonts w:ascii="Times New Roman" w:hAnsi="Times New Roman" w:eastAsia="宋体"/>
                <w:b w:val="0"/>
                <w:color w:val="2A2A2A"/>
                <w:sz w:val="21"/>
              </w:rPr>
              <w:t>区域公用品牌、三品一标、精深加工、电商直播、冷链物流</w:t>
            </w:r>
          </w:p>
        </w:tc>
      </w:tr>
      <w:tr>
        <w:tc>
          <w:tcPr>
            <w:tcW w:type="dxa" w:w="2771"/>
            <w:vAlign w:val="center"/>
          </w:tcPr>
          <w:p>
            <w:pPr>
              <w:jc w:val="left"/>
            </w:pPr>
            <w:r/>
            <w:r>
              <w:rPr>
                <w:rFonts w:ascii="Times New Roman" w:hAnsi="Times New Roman" w:eastAsia="宋体"/>
                <w:b w:val="0"/>
                <w:color w:val="2A2A2A"/>
                <w:sz w:val="21"/>
              </w:rPr>
              <w:t>农文旅融合型</w:t>
            </w:r>
          </w:p>
        </w:tc>
        <w:tc>
          <w:tcPr>
            <w:tcW w:type="dxa" w:w="2771"/>
            <w:vAlign w:val="center"/>
          </w:tcPr>
          <w:p>
            <w:pPr>
              <w:jc w:val="center"/>
            </w:pPr>
            <w:r/>
            <w:r>
              <w:rPr>
                <w:rFonts w:ascii="Times New Roman" w:hAnsi="Times New Roman" w:eastAsia="宋体"/>
                <w:b w:val="0"/>
                <w:color w:val="2A2A2A"/>
                <w:sz w:val="21"/>
              </w:rPr>
              <w:t>5 条</w:t>
            </w:r>
          </w:p>
        </w:tc>
        <w:tc>
          <w:tcPr>
            <w:tcW w:type="dxa" w:w="2771"/>
            <w:vAlign w:val="center"/>
          </w:tcPr>
          <w:p>
            <w:pPr>
              <w:jc w:val="center"/>
            </w:pPr>
            <w:r/>
            <w:r>
              <w:rPr>
                <w:rFonts w:ascii="Times New Roman" w:hAnsi="Times New Roman" w:eastAsia="宋体"/>
                <w:b w:val="0"/>
                <w:color w:val="2A2A2A"/>
                <w:sz w:val="21"/>
              </w:rPr>
              <w:t>研学线路、文创工坊、乡村节庆、特色民宿、文化 IP 打造</w:t>
            </w:r>
          </w:p>
        </w:tc>
      </w:tr>
      <w:tr>
        <w:tc>
          <w:tcPr>
            <w:tcW w:type="dxa" w:w="2771"/>
            <w:vAlign w:val="center"/>
            <w:tcBorders>
              <w:bottom w:val="single" w:sz="12" w:color="000000"/>
            </w:tcBorders>
          </w:tcPr>
          <w:p>
            <w:pPr>
              <w:jc w:val="left"/>
            </w:pPr>
            <w:r/>
            <w:r>
              <w:rPr>
                <w:rFonts w:ascii="Times New Roman" w:hAnsi="Times New Roman" w:eastAsia="宋体"/>
                <w:b w:val="0"/>
                <w:color w:val="2A2A2A"/>
                <w:sz w:val="21"/>
              </w:rPr>
              <w:t>城郊消费型</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5 条</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都市农园、采摘体验、城郊综合体、周末经济、社区团购</w:t>
            </w:r>
          </w:p>
        </w:tc>
      </w:tr>
    </w:tbl>
    <w:p>
      <w:r>
        <w:br w:type="page"/>
      </w:r>
    </w:p>
    <w:p>
      <w:pPr>
        <w:spacing w:line="360" w:lineRule="auto" w:before="0" w:after="360"/>
        <w:jc w:val="center"/>
        <w:pBdr>
          <w:bottom w:val="single" w:sz="12" w:space="4" w:color="0D3B2E"/>
        </w:pBdr>
      </w:pPr>
      <w:r>
        <w:rPr>
          <w:rFonts w:ascii="Times New Roman" w:hAnsi="Times New Roman" w:eastAsia="黑体"/>
          <w:b/>
          <w:color w:val="0D3B2E"/>
          <w:sz w:val="36"/>
        </w:rPr>
        <w:t>第六章 关键流程实现</w:t>
      </w:r>
    </w:p>
    <w:p>
      <w:pPr>
        <w:spacing w:line="360" w:lineRule="auto" w:before="240" w:after="120"/>
        <w:jc w:val="left"/>
      </w:pPr>
      <w:r>
        <w:rPr>
          <w:rFonts w:ascii="Times New Roman" w:hAnsi="Times New Roman" w:eastAsia="黑体"/>
          <w:b/>
          <w:color w:val="0D3B2E"/>
          <w:sz w:val="28"/>
        </w:rPr>
        <w:t>6.1 智能评估流程</w:t>
      </w:r>
    </w:p>
    <w:p>
      <w:pPr>
        <w:spacing w:line="360" w:lineRule="auto" w:before="0" w:after="0"/>
        <w:ind w:firstLine="480"/>
        <w:jc w:val="both"/>
      </w:pPr>
      <w:r>
        <w:rPr>
          <w:rFonts w:ascii="Times New Roman" w:hAnsi="Times New Roman" w:eastAsia="宋体"/>
          <w:b w:val="0"/>
          <w:sz w:val="24"/>
        </w:rPr>
        <w:t>智能评估是平台核心流程，涵盖从用户数据录入到 PDF 报告生成的完整闭环。流程涉及四个角色：用户、前端、后端、DeepSeek AI，共九步交互。</w:t>
      </w:r>
    </w:p>
    <w:p>
      <w:pPr>
        <w:spacing w:line="360" w:lineRule="auto" w:before="0" w:after="0"/>
        <w:ind w:firstLine="480"/>
        <w:jc w:val="both"/>
      </w:pPr>
      <w:r>
        <w:rPr>
          <w:rFonts w:ascii="Times New Roman" w:hAnsi="Times New Roman" w:eastAsia="宋体"/>
          <w:b w:val="0"/>
          <w:sz w:val="24"/>
        </w:rPr>
        <w:t>具体步骤说明如下：</w:t>
      </w:r>
    </w:p>
    <w:p>
      <w:pPr>
        <w:spacing w:line="360" w:lineRule="auto" w:before="0" w:after="0"/>
        <w:ind w:firstLine="480"/>
        <w:jc w:val="both"/>
      </w:pPr>
      <w:r>
        <w:rPr>
          <w:rFonts w:ascii="Times New Roman" w:hAnsi="Times New Roman" w:eastAsia="宋体"/>
          <w:b w:val="0"/>
          <w:sz w:val="24"/>
        </w:rPr>
        <w:t>1. 数据录入：用户在 AnalysisView Tab 1 录入地区名称、评估年份及 26 项指标数据。</w:t>
      </w:r>
    </w:p>
    <w:p>
      <w:pPr>
        <w:spacing w:line="360" w:lineRule="auto" w:before="0" w:after="0"/>
        <w:ind w:firstLine="480"/>
        <w:jc w:val="both"/>
      </w:pPr>
      <w:r>
        <w:rPr>
          <w:rFonts w:ascii="Times New Roman" w:hAnsi="Times New Roman" w:eastAsia="宋体"/>
          <w:b w:val="0"/>
          <w:sz w:val="24"/>
        </w:rPr>
        <w:t>2. 请求提交：前端通过 POST /analysis/assess 接口提交数据，请求体为 JSON 格式。</w:t>
      </w:r>
    </w:p>
    <w:p>
      <w:pPr>
        <w:spacing w:line="360" w:lineRule="auto" w:before="0" w:after="0"/>
        <w:ind w:firstLine="480"/>
        <w:jc w:val="both"/>
      </w:pPr>
      <w:r>
        <w:rPr>
          <w:rFonts w:ascii="Times New Roman" w:hAnsi="Times New Roman" w:eastAsia="宋体"/>
          <w:b w:val="0"/>
          <w:sz w:val="24"/>
        </w:rPr>
        <w:t>3. 模型计算：后端依次执行 AHP 加权综合评分、耦合协调度计算、障碍度模型识别 Top 5 因子。</w:t>
      </w:r>
    </w:p>
    <w:p>
      <w:pPr>
        <w:spacing w:line="360" w:lineRule="auto" w:before="0" w:after="0"/>
        <w:ind w:firstLine="480"/>
        <w:jc w:val="both"/>
      </w:pPr>
      <w:r>
        <w:rPr>
          <w:rFonts w:ascii="Times New Roman" w:hAnsi="Times New Roman" w:eastAsia="宋体"/>
          <w:b w:val="0"/>
          <w:sz w:val="24"/>
        </w:rPr>
        <w:t>4. AI 调用：后端调用 DeepSeek API，传入评估结果与模式判定信息，请求生成路径建议。</w:t>
      </w:r>
    </w:p>
    <w:p>
      <w:pPr>
        <w:spacing w:line="360" w:lineRule="auto" w:before="0" w:after="0"/>
        <w:ind w:firstLine="480"/>
        <w:jc w:val="both"/>
      </w:pPr>
      <w:r>
        <w:rPr>
          <w:rFonts w:ascii="Times New Roman" w:hAnsi="Times New Roman" w:eastAsia="宋体"/>
          <w:b w:val="0"/>
          <w:sz w:val="24"/>
        </w:rPr>
        <w:t>5. AI 响应：DeepSeek 返回 500—800 字结构化建议，后端进行格式校验与兜底处理。</w:t>
      </w:r>
    </w:p>
    <w:p>
      <w:pPr>
        <w:spacing w:line="360" w:lineRule="auto" w:before="0" w:after="0"/>
        <w:ind w:firstLine="480"/>
        <w:jc w:val="both"/>
      </w:pPr>
      <w:r>
        <w:rPr>
          <w:rFonts w:ascii="Times New Roman" w:hAnsi="Times New Roman" w:eastAsia="宋体"/>
          <w:b w:val="0"/>
          <w:sz w:val="24"/>
        </w:rPr>
        <w:t>6. 结果返回：后端将完整评估结果（含得分、D 值、模式、建议等）以 JSON 格式返回前端。</w:t>
      </w:r>
    </w:p>
    <w:p>
      <w:pPr>
        <w:spacing w:line="360" w:lineRule="auto" w:before="0" w:after="0"/>
        <w:ind w:firstLine="480"/>
        <w:jc w:val="both"/>
      </w:pPr>
      <w:r>
        <w:rPr>
          <w:rFonts w:ascii="Times New Roman" w:hAnsi="Times New Roman" w:eastAsia="宋体"/>
          <w:b w:val="0"/>
          <w:sz w:val="24"/>
        </w:rPr>
        <w:t>7. 结果展示：前端渲染得分卡、雷达图、障碍图、建议卡片等组件。</w:t>
      </w:r>
    </w:p>
    <w:p>
      <w:pPr>
        <w:spacing w:line="360" w:lineRule="auto" w:before="0" w:after="0"/>
        <w:ind w:firstLine="480"/>
        <w:jc w:val="both"/>
      </w:pPr>
      <w:r>
        <w:rPr>
          <w:rFonts w:ascii="Times New Roman" w:hAnsi="Times New Roman" w:eastAsia="宋体"/>
          <w:b w:val="0"/>
          <w:sz w:val="24"/>
        </w:rPr>
        <w:t>8. PDF 请求：用户点击"下载 PDF"按钮，前端发起 GET /analysis/{id}/report 请求。</w:t>
      </w:r>
    </w:p>
    <w:p>
      <w:pPr>
        <w:spacing w:line="360" w:lineRule="auto" w:before="0" w:after="0"/>
        <w:ind w:firstLine="480"/>
        <w:jc w:val="both"/>
      </w:pPr>
      <w:r>
        <w:rPr>
          <w:rFonts w:ascii="Times New Roman" w:hAnsi="Times New Roman" w:eastAsia="宋体"/>
          <w:b w:val="0"/>
          <w:sz w:val="24"/>
        </w:rPr>
        <w:t>9. PDF 生成：后端调用 reportlab 库生成 PDF 报告，含综合得分、图表与建议，返回文件流。</w:t>
      </w:r>
    </w:p>
    <w:p>
      <w:pPr>
        <w:spacing w:line="360" w:lineRule="auto" w:before="240" w:after="120"/>
        <w:jc w:val="left"/>
      </w:pPr>
      <w:r>
        <w:rPr>
          <w:rFonts w:ascii="Times New Roman" w:hAnsi="Times New Roman" w:eastAsia="黑体"/>
          <w:b/>
          <w:color w:val="0D3B2E"/>
          <w:sz w:val="28"/>
        </w:rPr>
        <w:t>6.2 商城交易流程</w:t>
      </w:r>
    </w:p>
    <w:p>
      <w:pPr>
        <w:spacing w:line="360" w:lineRule="auto" w:before="0" w:after="0"/>
        <w:ind w:firstLine="480"/>
        <w:jc w:val="both"/>
      </w:pPr>
      <w:r>
        <w:rPr>
          <w:rFonts w:ascii="Times New Roman" w:hAnsi="Times New Roman" w:eastAsia="宋体"/>
          <w:b w:val="0"/>
          <w:sz w:val="24"/>
        </w:rPr>
        <w:t>商城交易流程涵盖用户浏览商品、加入购物车、提交订单的完整链路，涉及用户、前端、后端三个角色。商城模块采用前后端分离架构，购物车状态由前端 Pinia 管理，提交订单时统一与后端交互。后端在创建订单时进行库存校验与扣减，保证数据一致性。</w:t>
      </w:r>
    </w:p>
    <w:p>
      <w:pPr>
        <w:spacing w:line="360" w:lineRule="auto" w:before="0" w:after="0"/>
        <w:ind w:firstLine="480"/>
        <w:jc w:val="both"/>
      </w:pPr>
      <w:r>
        <w:rPr>
          <w:rFonts w:ascii="Times New Roman" w:hAnsi="Times New Roman" w:eastAsia="宋体"/>
          <w:b w:val="0"/>
          <w:sz w:val="24"/>
        </w:rPr>
        <w:t>1. 浏览商品：用户访问 /mall 页面，前端展示商品列表。</w:t>
      </w:r>
    </w:p>
    <w:p>
      <w:pPr>
        <w:spacing w:line="360" w:lineRule="auto" w:before="0" w:after="0"/>
        <w:ind w:firstLine="480"/>
        <w:jc w:val="both"/>
      </w:pPr>
      <w:r>
        <w:rPr>
          <w:rFonts w:ascii="Times New Roman" w:hAnsi="Times New Roman" w:eastAsia="宋体"/>
          <w:b w:val="0"/>
          <w:sz w:val="24"/>
        </w:rPr>
        <w:t>2. 获取列表：前端调用 GET /mall/products 获取商品数据。</w:t>
      </w:r>
    </w:p>
    <w:p>
      <w:pPr>
        <w:spacing w:line="360" w:lineRule="auto" w:before="0" w:after="0"/>
        <w:ind w:firstLine="480"/>
        <w:jc w:val="both"/>
      </w:pPr>
      <w:r>
        <w:rPr>
          <w:rFonts w:ascii="Times New Roman" w:hAnsi="Times New Roman" w:eastAsia="宋体"/>
          <w:b w:val="0"/>
          <w:sz w:val="24"/>
        </w:rPr>
        <w:t>3. 加入购物车：用户点击"加入购物车"，前端更新本地购物车状态。</w:t>
      </w:r>
    </w:p>
    <w:p>
      <w:pPr>
        <w:spacing w:line="360" w:lineRule="auto" w:before="0" w:after="0"/>
        <w:ind w:firstLine="480"/>
        <w:jc w:val="both"/>
      </w:pPr>
      <w:r>
        <w:rPr>
          <w:rFonts w:ascii="Times New Roman" w:hAnsi="Times New Roman" w:eastAsia="宋体"/>
          <w:b w:val="0"/>
          <w:sz w:val="24"/>
        </w:rPr>
        <w:t>4. 提交订单：用户点击"结算"，前端调用 POST /mall/orders 提交订单。</w:t>
      </w:r>
    </w:p>
    <w:p>
      <w:pPr>
        <w:spacing w:line="360" w:lineRule="auto" w:before="0" w:after="0"/>
        <w:ind w:firstLine="480"/>
        <w:jc w:val="both"/>
      </w:pPr>
      <w:r>
        <w:rPr>
          <w:rFonts w:ascii="Times New Roman" w:hAnsi="Times New Roman" w:eastAsia="宋体"/>
          <w:b w:val="0"/>
          <w:sz w:val="24"/>
        </w:rPr>
        <w:t>5. 库存校验：后端校验商品库存，库存不足则返回错误。</w:t>
      </w:r>
    </w:p>
    <w:p>
      <w:pPr>
        <w:spacing w:line="360" w:lineRule="auto" w:before="0" w:after="0"/>
        <w:ind w:firstLine="480"/>
        <w:jc w:val="both"/>
      </w:pPr>
      <w:r>
        <w:rPr>
          <w:rFonts w:ascii="Times New Roman" w:hAnsi="Times New Roman" w:eastAsia="宋体"/>
          <w:b w:val="0"/>
          <w:sz w:val="24"/>
        </w:rPr>
        <w:t>6. 创建订单：后端扣减库存、创建订单记录，返回订单号。</w:t>
      </w:r>
    </w:p>
    <w:p>
      <w:r>
        <w:br w:type="page"/>
      </w:r>
    </w:p>
    <w:p>
      <w:pPr>
        <w:spacing w:line="360" w:lineRule="auto" w:before="0" w:after="360"/>
        <w:jc w:val="center"/>
        <w:pBdr>
          <w:bottom w:val="single" w:sz="12" w:space="4" w:color="0D3B2E"/>
        </w:pBdr>
      </w:pPr>
      <w:r>
        <w:rPr>
          <w:rFonts w:ascii="Times New Roman" w:hAnsi="Times New Roman" w:eastAsia="黑体"/>
          <w:b/>
          <w:color w:val="0D3B2E"/>
          <w:sz w:val="36"/>
        </w:rPr>
        <w:t>第七章 API 接口规范</w:t>
      </w:r>
    </w:p>
    <w:p>
      <w:pPr>
        <w:spacing w:line="360" w:lineRule="auto" w:before="0" w:after="0"/>
        <w:ind w:firstLine="480"/>
        <w:jc w:val="both"/>
      </w:pPr>
      <w:r>
        <w:rPr>
          <w:rFonts w:ascii="Times New Roman" w:hAnsi="Times New Roman" w:eastAsia="宋体"/>
          <w:b w:val="0"/>
          <w:sz w:val="24"/>
        </w:rPr>
        <w:t>平台后端基于 FastAPI 框架开发，所有接口遵循 RESTful 规范，支持 JSON 格式请求与响应。启动后可通过 /docs 访问 Swagger UI 自动文档，通过 /redoc 访问 ReDoc 文档。本章列出全部 API 端点规范。</w:t>
      </w:r>
    </w:p>
    <w:p>
      <w:pPr>
        <w:spacing w:line="360" w:lineRule="auto" w:before="240" w:after="120"/>
        <w:jc w:val="left"/>
      </w:pPr>
      <w:r>
        <w:rPr>
          <w:rFonts w:ascii="Times New Roman" w:hAnsi="Times New Roman" w:eastAsia="黑体"/>
          <w:b/>
          <w:color w:val="0D3B2E"/>
          <w:sz w:val="28"/>
        </w:rPr>
        <w:t>7.1 鉴权 API（auth.py）</w:t>
      </w:r>
    </w:p>
    <w:p>
      <w:pPr>
        <w:spacing w:before="120" w:after="60"/>
        <w:jc w:val="center"/>
      </w:pPr>
      <w:r>
        <w:rPr>
          <w:rFonts w:ascii="Times New Roman" w:hAnsi="Times New Roman" w:eastAsia="黑体"/>
          <w:b/>
          <w:color w:val="0D3B2E"/>
          <w:sz w:val="21"/>
        </w:rPr>
        <w:t>表 7-1 鉴权 API 端点</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078"/>
        <w:gridCol w:w="2078"/>
        <w:gridCol w:w="2078"/>
        <w:gridCol w:w="2078"/>
      </w:tblGrid>
      <w:tr>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端点</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方法</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说明</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鉴权</w:t>
            </w:r>
          </w:p>
        </w:tc>
      </w:tr>
      <w:tr>
        <w:tc>
          <w:tcPr>
            <w:tcW w:type="dxa" w:w="2078"/>
            <w:vAlign w:val="center"/>
          </w:tcPr>
          <w:p>
            <w:pPr>
              <w:jc w:val="left"/>
            </w:pPr>
            <w:r/>
            <w:r>
              <w:rPr>
                <w:rFonts w:ascii="Times New Roman" w:hAnsi="Times New Roman" w:eastAsia="宋体"/>
                <w:b w:val="0"/>
                <w:color w:val="2A2A2A"/>
                <w:sz w:val="21"/>
              </w:rPr>
              <w:t>/auth/register</w:t>
            </w:r>
          </w:p>
        </w:tc>
        <w:tc>
          <w:tcPr>
            <w:tcW w:type="dxa" w:w="2078"/>
            <w:vAlign w:val="center"/>
          </w:tcPr>
          <w:p>
            <w:pPr>
              <w:jc w:val="center"/>
            </w:pPr>
            <w:r/>
            <w:r>
              <w:rPr>
                <w:rFonts w:ascii="Times New Roman" w:hAnsi="Times New Roman" w:eastAsia="宋体"/>
                <w:b w:val="0"/>
                <w:color w:val="2A2A2A"/>
                <w:sz w:val="21"/>
              </w:rPr>
              <w:t>POST</w:t>
            </w:r>
          </w:p>
        </w:tc>
        <w:tc>
          <w:tcPr>
            <w:tcW w:type="dxa" w:w="2078"/>
            <w:vAlign w:val="center"/>
          </w:tcPr>
          <w:p>
            <w:pPr>
              <w:jc w:val="center"/>
            </w:pPr>
            <w:r/>
            <w:r>
              <w:rPr>
                <w:rFonts w:ascii="Times New Roman" w:hAnsi="Times New Roman" w:eastAsia="宋体"/>
                <w:b w:val="0"/>
                <w:color w:val="2A2A2A"/>
                <w:sz w:val="21"/>
              </w:rPr>
              <w:t>用户注册（用户名/邮箱/密码/角色）</w:t>
            </w:r>
          </w:p>
        </w:tc>
        <w:tc>
          <w:tcPr>
            <w:tcW w:type="dxa" w:w="2078"/>
            <w:vAlign w:val="center"/>
          </w:tcPr>
          <w:p>
            <w:pPr>
              <w:jc w:val="center"/>
            </w:pPr>
            <w:r/>
            <w:r>
              <w:rPr>
                <w:rFonts w:ascii="Times New Roman" w:hAnsi="Times New Roman" w:eastAsia="宋体"/>
                <w:b w:val="0"/>
                <w:color w:val="2A2A2A"/>
                <w:sz w:val="21"/>
              </w:rPr>
              <w:t>否</w:t>
            </w:r>
          </w:p>
        </w:tc>
      </w:tr>
      <w:tr>
        <w:tc>
          <w:tcPr>
            <w:tcW w:type="dxa" w:w="2078"/>
            <w:vAlign w:val="center"/>
          </w:tcPr>
          <w:p>
            <w:pPr>
              <w:jc w:val="left"/>
            </w:pPr>
            <w:r/>
            <w:r>
              <w:rPr>
                <w:rFonts w:ascii="Times New Roman" w:hAnsi="Times New Roman" w:eastAsia="宋体"/>
                <w:b w:val="0"/>
                <w:color w:val="2A2A2A"/>
                <w:sz w:val="21"/>
              </w:rPr>
              <w:t>/auth/login</w:t>
            </w:r>
          </w:p>
        </w:tc>
        <w:tc>
          <w:tcPr>
            <w:tcW w:type="dxa" w:w="2078"/>
            <w:vAlign w:val="center"/>
          </w:tcPr>
          <w:p>
            <w:pPr>
              <w:jc w:val="center"/>
            </w:pPr>
            <w:r/>
            <w:r>
              <w:rPr>
                <w:rFonts w:ascii="Times New Roman" w:hAnsi="Times New Roman" w:eastAsia="宋体"/>
                <w:b w:val="0"/>
                <w:color w:val="2A2A2A"/>
                <w:sz w:val="21"/>
              </w:rPr>
              <w:t>POST</w:t>
            </w:r>
          </w:p>
        </w:tc>
        <w:tc>
          <w:tcPr>
            <w:tcW w:type="dxa" w:w="2078"/>
            <w:vAlign w:val="center"/>
          </w:tcPr>
          <w:p>
            <w:pPr>
              <w:jc w:val="center"/>
            </w:pPr>
            <w:r/>
            <w:r>
              <w:rPr>
                <w:rFonts w:ascii="Times New Roman" w:hAnsi="Times New Roman" w:eastAsia="宋体"/>
                <w:b w:val="0"/>
                <w:color w:val="2A2A2A"/>
                <w:sz w:val="21"/>
              </w:rPr>
              <w:t>用户登录，返回 JWT Token</w:t>
            </w:r>
          </w:p>
        </w:tc>
        <w:tc>
          <w:tcPr>
            <w:tcW w:type="dxa" w:w="2078"/>
            <w:vAlign w:val="center"/>
          </w:tcPr>
          <w:p>
            <w:pPr>
              <w:jc w:val="center"/>
            </w:pPr>
            <w:r/>
            <w:r>
              <w:rPr>
                <w:rFonts w:ascii="Times New Roman" w:hAnsi="Times New Roman" w:eastAsia="宋体"/>
                <w:b w:val="0"/>
                <w:color w:val="2A2A2A"/>
                <w:sz w:val="21"/>
              </w:rPr>
              <w:t>否</w:t>
            </w:r>
          </w:p>
        </w:tc>
      </w:tr>
      <w:tr>
        <w:tc>
          <w:tcPr>
            <w:tcW w:type="dxa" w:w="2078"/>
            <w:vAlign w:val="center"/>
            <w:tcBorders>
              <w:bottom w:val="single" w:sz="12" w:color="000000"/>
            </w:tcBorders>
          </w:tcPr>
          <w:p>
            <w:pPr>
              <w:jc w:val="left"/>
            </w:pPr>
            <w:r/>
            <w:r>
              <w:rPr>
                <w:rFonts w:ascii="Times New Roman" w:hAnsi="Times New Roman" w:eastAsia="宋体"/>
                <w:b w:val="0"/>
                <w:color w:val="2A2A2A"/>
                <w:sz w:val="21"/>
              </w:rPr>
              <w:t>/auth/me</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GET</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获取当前用户信息</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是</w:t>
            </w:r>
          </w:p>
        </w:tc>
      </w:tr>
    </w:tbl>
    <w:p>
      <w:pPr>
        <w:spacing w:line="360" w:lineRule="auto" w:before="240" w:after="120"/>
        <w:jc w:val="left"/>
      </w:pPr>
      <w:r>
        <w:rPr>
          <w:rFonts w:ascii="Times New Roman" w:hAnsi="Times New Roman" w:eastAsia="黑体"/>
          <w:b/>
          <w:color w:val="0D3B2E"/>
          <w:sz w:val="28"/>
        </w:rPr>
        <w:t>7.2 政策 API（policy.py）</w:t>
      </w:r>
    </w:p>
    <w:p>
      <w:pPr>
        <w:spacing w:before="120" w:after="60"/>
        <w:jc w:val="center"/>
      </w:pPr>
      <w:r>
        <w:rPr>
          <w:rFonts w:ascii="Times New Roman" w:hAnsi="Times New Roman" w:eastAsia="黑体"/>
          <w:b/>
          <w:color w:val="0D3B2E"/>
          <w:sz w:val="21"/>
        </w:rPr>
        <w:t>表 7-2 政策 API 端点</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71"/>
        <w:gridCol w:w="2771"/>
        <w:gridCol w:w="2771"/>
      </w:tblGrid>
      <w:tr>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端点</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方法</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说明</w:t>
            </w:r>
          </w:p>
        </w:tc>
      </w:tr>
      <w:tr>
        <w:tc>
          <w:tcPr>
            <w:tcW w:type="dxa" w:w="2771"/>
            <w:vAlign w:val="center"/>
          </w:tcPr>
          <w:p>
            <w:pPr>
              <w:jc w:val="left"/>
            </w:pPr>
            <w:r/>
            <w:r>
              <w:rPr>
                <w:rFonts w:ascii="Times New Roman" w:hAnsi="Times New Roman" w:eastAsia="宋体"/>
                <w:b w:val="0"/>
                <w:color w:val="2A2A2A"/>
                <w:sz w:val="21"/>
              </w:rPr>
              <w:t>/policy/list</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政策列表（支持分页/筛选）</w:t>
            </w:r>
          </w:p>
        </w:tc>
      </w:tr>
      <w:tr>
        <w:tc>
          <w:tcPr>
            <w:tcW w:type="dxa" w:w="2771"/>
            <w:vAlign w:val="center"/>
            <w:tcBorders>
              <w:bottom w:val="single" w:sz="12" w:color="000000"/>
            </w:tcBorders>
          </w:tcPr>
          <w:p>
            <w:pPr>
              <w:jc w:val="left"/>
            </w:pPr>
            <w:r/>
            <w:r>
              <w:rPr>
                <w:rFonts w:ascii="Times New Roman" w:hAnsi="Times New Roman" w:eastAsia="宋体"/>
                <w:b w:val="0"/>
                <w:color w:val="2A2A2A"/>
                <w:sz w:val="21"/>
              </w:rPr>
              <w:t>/policy/{id}</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GET</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政策详情</w:t>
            </w:r>
          </w:p>
        </w:tc>
      </w:tr>
    </w:tbl>
    <w:p>
      <w:pPr>
        <w:spacing w:line="360" w:lineRule="auto" w:before="240" w:after="120"/>
        <w:jc w:val="left"/>
      </w:pPr>
      <w:r>
        <w:rPr>
          <w:rFonts w:ascii="Times New Roman" w:hAnsi="Times New Roman" w:eastAsia="黑体"/>
          <w:b/>
          <w:color w:val="0D3B2E"/>
          <w:sz w:val="28"/>
        </w:rPr>
        <w:t>7.3 智能分析 API（analysis.py）</w:t>
      </w:r>
    </w:p>
    <w:p>
      <w:pPr>
        <w:spacing w:line="360" w:lineRule="auto" w:before="0" w:after="0"/>
        <w:ind w:firstLine="480"/>
        <w:jc w:val="both"/>
      </w:pPr>
      <w:r>
        <w:rPr>
          <w:rFonts w:ascii="Times New Roman" w:hAnsi="Times New Roman" w:eastAsia="宋体"/>
          <w:b w:val="0"/>
          <w:sz w:val="24"/>
        </w:rPr>
        <w:t>智能分析 API 是平台核心模块，共提供 10 个端点，覆盖评估、模式识别、路径建议、耦合计算、障碍诊断等场景。</w:t>
      </w:r>
    </w:p>
    <w:p>
      <w:pPr>
        <w:spacing w:before="120" w:after="60"/>
        <w:jc w:val="center"/>
      </w:pPr>
      <w:r>
        <w:rPr>
          <w:rFonts w:ascii="Times New Roman" w:hAnsi="Times New Roman" w:eastAsia="黑体"/>
          <w:b/>
          <w:color w:val="0D3B2E"/>
          <w:sz w:val="21"/>
        </w:rPr>
        <w:t>表 7-3 智能分析 API 端点</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71"/>
        <w:gridCol w:w="2771"/>
        <w:gridCol w:w="2771"/>
      </w:tblGrid>
      <w:tr>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端点</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方法</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说明</w:t>
            </w:r>
          </w:p>
        </w:tc>
      </w:tr>
      <w:tr>
        <w:tc>
          <w:tcPr>
            <w:tcW w:type="dxa" w:w="2771"/>
            <w:vAlign w:val="center"/>
          </w:tcPr>
          <w:p>
            <w:pPr>
              <w:jc w:val="left"/>
            </w:pPr>
            <w:r/>
            <w:r>
              <w:rPr>
                <w:rFonts w:ascii="Times New Roman" w:hAnsi="Times New Roman" w:eastAsia="宋体"/>
                <w:b w:val="0"/>
                <w:color w:val="2A2A2A"/>
                <w:sz w:val="21"/>
              </w:rPr>
              <w:t>/analysis/template</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获取指标模板（26 项指标）</w:t>
            </w:r>
          </w:p>
        </w:tc>
      </w:tr>
      <w:tr>
        <w:tc>
          <w:tcPr>
            <w:tcW w:type="dxa" w:w="2771"/>
            <w:vAlign w:val="center"/>
          </w:tcPr>
          <w:p>
            <w:pPr>
              <w:jc w:val="left"/>
            </w:pPr>
            <w:r/>
            <w:r>
              <w:rPr>
                <w:rFonts w:ascii="Times New Roman" w:hAnsi="Times New Roman" w:eastAsia="宋体"/>
                <w:b w:val="0"/>
                <w:color w:val="2A2A2A"/>
                <w:sz w:val="21"/>
              </w:rPr>
              <w:t>/analysis/assess</w:t>
            </w:r>
          </w:p>
        </w:tc>
        <w:tc>
          <w:tcPr>
            <w:tcW w:type="dxa" w:w="2771"/>
            <w:vAlign w:val="center"/>
          </w:tcPr>
          <w:p>
            <w:pPr>
              <w:jc w:val="center"/>
            </w:pPr>
            <w:r/>
            <w:r>
              <w:rPr>
                <w:rFonts w:ascii="Times New Roman" w:hAnsi="Times New Roman" w:eastAsia="宋体"/>
                <w:b w:val="0"/>
                <w:color w:val="2A2A2A"/>
                <w:sz w:val="21"/>
              </w:rPr>
              <w:t>POST</w:t>
            </w:r>
          </w:p>
        </w:tc>
        <w:tc>
          <w:tcPr>
            <w:tcW w:type="dxa" w:w="2771"/>
            <w:vAlign w:val="center"/>
          </w:tcPr>
          <w:p>
            <w:pPr>
              <w:jc w:val="center"/>
            </w:pPr>
            <w:r/>
            <w:r>
              <w:rPr>
                <w:rFonts w:ascii="Times New Roman" w:hAnsi="Times New Roman" w:eastAsia="宋体"/>
                <w:b w:val="0"/>
                <w:color w:val="2A2A2A"/>
                <w:sz w:val="21"/>
              </w:rPr>
              <w:t>智能评估（核心接口）</w:t>
            </w:r>
          </w:p>
        </w:tc>
      </w:tr>
      <w:tr>
        <w:tc>
          <w:tcPr>
            <w:tcW w:type="dxa" w:w="2771"/>
            <w:vAlign w:val="center"/>
          </w:tcPr>
          <w:p>
            <w:pPr>
              <w:jc w:val="left"/>
            </w:pPr>
            <w:r/>
            <w:r>
              <w:rPr>
                <w:rFonts w:ascii="Times New Roman" w:hAnsi="Times New Roman" w:eastAsia="宋体"/>
                <w:b w:val="0"/>
                <w:color w:val="2A2A2A"/>
                <w:sz w:val="21"/>
              </w:rPr>
              <w:t>/analysis/{id}/report</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生成 PDF 报告</w:t>
            </w:r>
          </w:p>
        </w:tc>
      </w:tr>
      <w:tr>
        <w:tc>
          <w:tcPr>
            <w:tcW w:type="dxa" w:w="2771"/>
            <w:vAlign w:val="center"/>
          </w:tcPr>
          <w:p>
            <w:pPr>
              <w:jc w:val="left"/>
            </w:pPr>
            <w:r/>
            <w:r>
              <w:rPr>
                <w:rFonts w:ascii="Times New Roman" w:hAnsi="Times New Roman" w:eastAsia="宋体"/>
                <w:b w:val="0"/>
                <w:color w:val="2A2A2A"/>
                <w:sz w:val="21"/>
              </w:rPr>
              <w:t>/analysis/mode-criteria</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5 种模式识别标准</w:t>
            </w:r>
          </w:p>
        </w:tc>
      </w:tr>
      <w:tr>
        <w:tc>
          <w:tcPr>
            <w:tcW w:type="dxa" w:w="2771"/>
            <w:vAlign w:val="center"/>
          </w:tcPr>
          <w:p>
            <w:pPr>
              <w:jc w:val="left"/>
            </w:pPr>
            <w:r/>
            <w:r>
              <w:rPr>
                <w:rFonts w:ascii="Times New Roman" w:hAnsi="Times New Roman" w:eastAsia="宋体"/>
                <w:b w:val="0"/>
                <w:color w:val="2A2A2A"/>
                <w:sz w:val="21"/>
              </w:rPr>
              <w:t>/analysis/mode-suggestions/{mode}</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模式路径优化建议</w:t>
            </w:r>
          </w:p>
        </w:tc>
      </w:tr>
      <w:tr>
        <w:tc>
          <w:tcPr>
            <w:tcW w:type="dxa" w:w="2771"/>
            <w:vAlign w:val="center"/>
          </w:tcPr>
          <w:p>
            <w:pPr>
              <w:jc w:val="left"/>
            </w:pPr>
            <w:r/>
            <w:r>
              <w:rPr>
                <w:rFonts w:ascii="Times New Roman" w:hAnsi="Times New Roman" w:eastAsia="宋体"/>
                <w:b w:val="0"/>
                <w:color w:val="2A2A2A"/>
                <w:sz w:val="21"/>
              </w:rPr>
              <w:t>/analysis/ahp-weights</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AHP 组合权重</w:t>
            </w:r>
          </w:p>
        </w:tc>
      </w:tr>
      <w:tr>
        <w:tc>
          <w:tcPr>
            <w:tcW w:type="dxa" w:w="2771"/>
            <w:vAlign w:val="center"/>
          </w:tcPr>
          <w:p>
            <w:pPr>
              <w:jc w:val="left"/>
            </w:pPr>
            <w:r/>
            <w:r>
              <w:rPr>
                <w:rFonts w:ascii="Times New Roman" w:hAnsi="Times New Roman" w:eastAsia="宋体"/>
                <w:b w:val="0"/>
                <w:color w:val="2A2A2A"/>
                <w:sz w:val="21"/>
              </w:rPr>
              <w:t>/analysis/cluster-results</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10 区县聚类结果</w:t>
            </w:r>
          </w:p>
        </w:tc>
      </w:tr>
      <w:tr>
        <w:tc>
          <w:tcPr>
            <w:tcW w:type="dxa" w:w="2771"/>
            <w:vAlign w:val="center"/>
          </w:tcPr>
          <w:p>
            <w:pPr>
              <w:jc w:val="left"/>
            </w:pPr>
            <w:r/>
            <w:r>
              <w:rPr>
                <w:rFonts w:ascii="Times New Roman" w:hAnsi="Times New Roman" w:eastAsia="宋体"/>
                <w:b w:val="0"/>
                <w:color w:val="2A2A2A"/>
                <w:sz w:val="21"/>
              </w:rPr>
              <w:t>/analysis/coordination-levels</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10 级协调等级标准</w:t>
            </w:r>
          </w:p>
        </w:tc>
      </w:tr>
      <w:tr>
        <w:tc>
          <w:tcPr>
            <w:tcW w:type="dxa" w:w="2771"/>
            <w:vAlign w:val="center"/>
          </w:tcPr>
          <w:p>
            <w:pPr>
              <w:jc w:val="left"/>
            </w:pPr>
            <w:r/>
            <w:r>
              <w:rPr>
                <w:rFonts w:ascii="Times New Roman" w:hAnsi="Times New Roman" w:eastAsia="宋体"/>
                <w:b w:val="0"/>
                <w:color w:val="2A2A2A"/>
                <w:sz w:val="21"/>
              </w:rPr>
              <w:t>/analysis/coupling-calculate</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耦合协调度计算器</w:t>
            </w:r>
          </w:p>
        </w:tc>
      </w:tr>
      <w:tr>
        <w:tc>
          <w:tcPr>
            <w:tcW w:type="dxa" w:w="2771"/>
            <w:vAlign w:val="center"/>
            <w:tcBorders>
              <w:bottom w:val="single" w:sz="12" w:color="000000"/>
            </w:tcBorders>
          </w:tcPr>
          <w:p>
            <w:pPr>
              <w:jc w:val="left"/>
            </w:pPr>
            <w:r/>
            <w:r>
              <w:rPr>
                <w:rFonts w:ascii="Times New Roman" w:hAnsi="Times New Roman" w:eastAsia="宋体"/>
                <w:b w:val="0"/>
                <w:color w:val="2A2A2A"/>
                <w:sz w:val="21"/>
              </w:rPr>
              <w:t>/analysis/obstacle-diagnose</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POST</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障碍因子诊断</w:t>
            </w:r>
          </w:p>
        </w:tc>
      </w:tr>
    </w:tbl>
    <w:p>
      <w:pPr>
        <w:spacing w:line="360" w:lineRule="auto" w:before="240" w:after="120"/>
        <w:jc w:val="left"/>
      </w:pPr>
      <w:r>
        <w:rPr>
          <w:rFonts w:ascii="Times New Roman" w:hAnsi="Times New Roman" w:eastAsia="黑体"/>
          <w:b/>
          <w:color w:val="0D3B2E"/>
          <w:sz w:val="28"/>
        </w:rPr>
        <w:t>7.4 数据大屏 API（dashboard.py）</w:t>
      </w:r>
    </w:p>
    <w:p>
      <w:pPr>
        <w:spacing w:before="120" w:after="60"/>
        <w:jc w:val="center"/>
      </w:pPr>
      <w:r>
        <w:rPr>
          <w:rFonts w:ascii="Times New Roman" w:hAnsi="Times New Roman" w:eastAsia="黑体"/>
          <w:b/>
          <w:color w:val="0D3B2E"/>
          <w:sz w:val="21"/>
        </w:rPr>
        <w:t>表 7-4 数据大屏 API 端点</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71"/>
        <w:gridCol w:w="2771"/>
        <w:gridCol w:w="2771"/>
      </w:tblGrid>
      <w:tr>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端点</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方法</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说明</w:t>
            </w:r>
          </w:p>
        </w:tc>
      </w:tr>
      <w:tr>
        <w:tc>
          <w:tcPr>
            <w:tcW w:type="dxa" w:w="2771"/>
            <w:vAlign w:val="center"/>
          </w:tcPr>
          <w:p>
            <w:pPr>
              <w:jc w:val="left"/>
            </w:pPr>
            <w:r/>
            <w:r>
              <w:rPr>
                <w:rFonts w:ascii="Times New Roman" w:hAnsi="Times New Roman" w:eastAsia="宋体"/>
                <w:b w:val="0"/>
                <w:color w:val="2A2A2A"/>
                <w:sz w:val="21"/>
              </w:rPr>
              <w:t>/dashboard/compare</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区县横向对比数据</w:t>
            </w:r>
          </w:p>
        </w:tc>
      </w:tr>
      <w:tr>
        <w:tc>
          <w:tcPr>
            <w:tcW w:type="dxa" w:w="2771"/>
            <w:vAlign w:val="center"/>
          </w:tcPr>
          <w:p>
            <w:pPr>
              <w:jc w:val="left"/>
            </w:pPr>
            <w:r/>
            <w:r>
              <w:rPr>
                <w:rFonts w:ascii="Times New Roman" w:hAnsi="Times New Roman" w:eastAsia="宋体"/>
                <w:b w:val="0"/>
                <w:color w:val="2A2A2A"/>
                <w:sz w:val="21"/>
              </w:rPr>
              <w:t>/dashboard/trend</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5 年时间序列数据</w:t>
            </w:r>
          </w:p>
        </w:tc>
      </w:tr>
      <w:tr>
        <w:tc>
          <w:tcPr>
            <w:tcW w:type="dxa" w:w="2771"/>
            <w:vAlign w:val="center"/>
          </w:tcPr>
          <w:p>
            <w:pPr>
              <w:jc w:val="left"/>
            </w:pPr>
            <w:r/>
            <w:r>
              <w:rPr>
                <w:rFonts w:ascii="Times New Roman" w:hAnsi="Times New Roman" w:eastAsia="宋体"/>
                <w:b w:val="0"/>
                <w:color w:val="2A2A2A"/>
                <w:sz w:val="21"/>
              </w:rPr>
              <w:t>/dashboard/mode-radar</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模式雷达图数据</w:t>
            </w:r>
          </w:p>
        </w:tc>
      </w:tr>
      <w:tr>
        <w:tc>
          <w:tcPr>
            <w:tcW w:type="dxa" w:w="2771"/>
            <w:vAlign w:val="center"/>
          </w:tcPr>
          <w:p>
            <w:pPr>
              <w:jc w:val="left"/>
            </w:pPr>
            <w:r/>
            <w:r>
              <w:rPr>
                <w:rFonts w:ascii="Times New Roman" w:hAnsi="Times New Roman" w:eastAsia="宋体"/>
                <w:b w:val="0"/>
                <w:color w:val="2A2A2A"/>
                <w:sz w:val="21"/>
              </w:rPr>
              <w:t>/dashboard/scatter</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耦合散点图数据</w:t>
            </w:r>
          </w:p>
        </w:tc>
      </w:tr>
      <w:tr>
        <w:tc>
          <w:tcPr>
            <w:tcW w:type="dxa" w:w="2771"/>
            <w:vAlign w:val="center"/>
          </w:tcPr>
          <w:p>
            <w:pPr>
              <w:jc w:val="left"/>
            </w:pPr>
            <w:r/>
            <w:r>
              <w:rPr>
                <w:rFonts w:ascii="Times New Roman" w:hAnsi="Times New Roman" w:eastAsia="宋体"/>
                <w:b w:val="0"/>
                <w:color w:val="2A2A2A"/>
                <w:sz w:val="21"/>
              </w:rPr>
              <w:t>/dashboard/weights</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AHP 权重数据</w:t>
            </w:r>
          </w:p>
        </w:tc>
      </w:tr>
      <w:tr>
        <w:tc>
          <w:tcPr>
            <w:tcW w:type="dxa" w:w="2771"/>
            <w:vAlign w:val="center"/>
            <w:tcBorders>
              <w:bottom w:val="single" w:sz="12" w:color="000000"/>
            </w:tcBorders>
          </w:tcPr>
          <w:p>
            <w:pPr>
              <w:jc w:val="left"/>
            </w:pPr>
            <w:r/>
            <w:r>
              <w:rPr>
                <w:rFonts w:ascii="Times New Roman" w:hAnsi="Times New Roman" w:eastAsia="宋体"/>
                <w:b w:val="0"/>
                <w:color w:val="2A2A2A"/>
                <w:sz w:val="21"/>
              </w:rPr>
              <w:t>/dashboard/cluster</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GET</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聚类散点图数据</w:t>
            </w:r>
          </w:p>
        </w:tc>
      </w:tr>
    </w:tbl>
    <w:p>
      <w:pPr>
        <w:spacing w:line="360" w:lineRule="auto" w:before="240" w:after="120"/>
        <w:jc w:val="left"/>
      </w:pPr>
      <w:r>
        <w:rPr>
          <w:rFonts w:ascii="Times New Roman" w:hAnsi="Times New Roman" w:eastAsia="黑体"/>
          <w:b/>
          <w:color w:val="0D3B2E"/>
          <w:sz w:val="28"/>
        </w:rPr>
        <w:t>7.5 商城 API（mall.py）</w:t>
      </w:r>
    </w:p>
    <w:p>
      <w:pPr>
        <w:spacing w:before="120" w:after="60"/>
        <w:jc w:val="center"/>
      </w:pPr>
      <w:r>
        <w:rPr>
          <w:rFonts w:ascii="Times New Roman" w:hAnsi="Times New Roman" w:eastAsia="黑体"/>
          <w:b/>
          <w:color w:val="0D3B2E"/>
          <w:sz w:val="21"/>
        </w:rPr>
        <w:t>表 7-5 商城 API 端点</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71"/>
        <w:gridCol w:w="2771"/>
        <w:gridCol w:w="2771"/>
      </w:tblGrid>
      <w:tr>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端点</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方法</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说明</w:t>
            </w:r>
          </w:p>
        </w:tc>
      </w:tr>
      <w:tr>
        <w:tc>
          <w:tcPr>
            <w:tcW w:type="dxa" w:w="2771"/>
            <w:vAlign w:val="center"/>
          </w:tcPr>
          <w:p>
            <w:pPr>
              <w:jc w:val="left"/>
            </w:pPr>
            <w:r/>
            <w:r>
              <w:rPr>
                <w:rFonts w:ascii="Times New Roman" w:hAnsi="Times New Roman" w:eastAsia="宋体"/>
                <w:b w:val="0"/>
                <w:color w:val="2A2A2A"/>
                <w:sz w:val="21"/>
              </w:rPr>
              <w:t>/mall/products</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商品列表（支持分类/搜索）</w:t>
            </w:r>
          </w:p>
        </w:tc>
      </w:tr>
      <w:tr>
        <w:tc>
          <w:tcPr>
            <w:tcW w:type="dxa" w:w="2771"/>
            <w:vAlign w:val="center"/>
          </w:tcPr>
          <w:p>
            <w:pPr>
              <w:jc w:val="left"/>
            </w:pPr>
            <w:r/>
            <w:r>
              <w:rPr>
                <w:rFonts w:ascii="Times New Roman" w:hAnsi="Times New Roman" w:eastAsia="宋体"/>
                <w:b w:val="0"/>
                <w:color w:val="2A2A2A"/>
                <w:sz w:val="21"/>
              </w:rPr>
              <w:t>/mall/products</w:t>
            </w:r>
          </w:p>
        </w:tc>
        <w:tc>
          <w:tcPr>
            <w:tcW w:type="dxa" w:w="2771"/>
            <w:vAlign w:val="center"/>
          </w:tcPr>
          <w:p>
            <w:pPr>
              <w:jc w:val="center"/>
            </w:pPr>
            <w:r/>
            <w:r>
              <w:rPr>
                <w:rFonts w:ascii="Times New Roman" w:hAnsi="Times New Roman" w:eastAsia="宋体"/>
                <w:b w:val="0"/>
                <w:color w:val="2A2A2A"/>
                <w:sz w:val="21"/>
              </w:rPr>
              <w:t>POST</w:t>
            </w:r>
          </w:p>
        </w:tc>
        <w:tc>
          <w:tcPr>
            <w:tcW w:type="dxa" w:w="2771"/>
            <w:vAlign w:val="center"/>
          </w:tcPr>
          <w:p>
            <w:pPr>
              <w:jc w:val="center"/>
            </w:pPr>
            <w:r/>
            <w:r>
              <w:rPr>
                <w:rFonts w:ascii="Times New Roman" w:hAnsi="Times New Roman" w:eastAsia="宋体"/>
                <w:b w:val="0"/>
                <w:color w:val="2A2A2A"/>
                <w:sz w:val="21"/>
              </w:rPr>
              <w:t>商家上架商品</w:t>
            </w:r>
          </w:p>
        </w:tc>
      </w:tr>
      <w:tr>
        <w:tc>
          <w:tcPr>
            <w:tcW w:type="dxa" w:w="2771"/>
            <w:vAlign w:val="center"/>
            <w:tcBorders>
              <w:bottom w:val="single" w:sz="12" w:color="000000"/>
            </w:tcBorders>
          </w:tcPr>
          <w:p>
            <w:pPr>
              <w:jc w:val="left"/>
            </w:pPr>
            <w:r/>
            <w:r>
              <w:rPr>
                <w:rFonts w:ascii="Times New Roman" w:hAnsi="Times New Roman" w:eastAsia="宋体"/>
                <w:b w:val="0"/>
                <w:color w:val="2A2A2A"/>
                <w:sz w:val="21"/>
              </w:rPr>
              <w:t>/mall/orders</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POST</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创建订单</w:t>
            </w:r>
          </w:p>
        </w:tc>
      </w:tr>
    </w:tbl>
    <w:p>
      <w:pPr>
        <w:spacing w:line="360" w:lineRule="auto" w:before="240" w:after="120"/>
        <w:jc w:val="left"/>
      </w:pPr>
      <w:r>
        <w:rPr>
          <w:rFonts w:ascii="Times New Roman" w:hAnsi="Times New Roman" w:eastAsia="黑体"/>
          <w:b/>
          <w:color w:val="0D3B2E"/>
          <w:sz w:val="28"/>
        </w:rPr>
        <w:t>7.6 案例 API（case.py）</w:t>
      </w:r>
    </w:p>
    <w:p>
      <w:pPr>
        <w:spacing w:before="120" w:after="60"/>
        <w:jc w:val="center"/>
      </w:pPr>
      <w:r>
        <w:rPr>
          <w:rFonts w:ascii="Times New Roman" w:hAnsi="Times New Roman" w:eastAsia="黑体"/>
          <w:b/>
          <w:color w:val="0D3B2E"/>
          <w:sz w:val="21"/>
        </w:rPr>
        <w:t>表 7-6 案例 API 端点</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71"/>
        <w:gridCol w:w="2771"/>
        <w:gridCol w:w="2771"/>
      </w:tblGrid>
      <w:tr>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端点</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方法</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说明</w:t>
            </w:r>
          </w:p>
        </w:tc>
      </w:tr>
      <w:tr>
        <w:tc>
          <w:tcPr>
            <w:tcW w:type="dxa" w:w="2771"/>
            <w:vAlign w:val="center"/>
          </w:tcPr>
          <w:p>
            <w:pPr>
              <w:jc w:val="left"/>
            </w:pPr>
            <w:r/>
            <w:r>
              <w:rPr>
                <w:rFonts w:ascii="Times New Roman" w:hAnsi="Times New Roman" w:eastAsia="宋体"/>
                <w:b w:val="0"/>
                <w:color w:val="2A2A2A"/>
                <w:sz w:val="21"/>
              </w:rPr>
              <w:t>/case/list</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案例列表（支持模式筛选）</w:t>
            </w:r>
          </w:p>
        </w:tc>
      </w:tr>
      <w:tr>
        <w:tc>
          <w:tcPr>
            <w:tcW w:type="dxa" w:w="2771"/>
            <w:vAlign w:val="center"/>
          </w:tcPr>
          <w:p>
            <w:pPr>
              <w:jc w:val="left"/>
            </w:pPr>
            <w:r/>
            <w:r>
              <w:rPr>
                <w:rFonts w:ascii="Times New Roman" w:hAnsi="Times New Roman" w:eastAsia="宋体"/>
                <w:b w:val="0"/>
                <w:color w:val="2A2A2A"/>
                <w:sz w:val="21"/>
              </w:rPr>
              <w:t>/case/{id}</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案例详情</w:t>
            </w:r>
          </w:p>
        </w:tc>
      </w:tr>
      <w:tr>
        <w:tc>
          <w:tcPr>
            <w:tcW w:type="dxa" w:w="2771"/>
            <w:vAlign w:val="center"/>
          </w:tcPr>
          <w:p>
            <w:pPr>
              <w:jc w:val="left"/>
            </w:pPr>
            <w:r/>
            <w:r>
              <w:rPr>
                <w:rFonts w:ascii="Times New Roman" w:hAnsi="Times New Roman" w:eastAsia="宋体"/>
                <w:b w:val="0"/>
                <w:color w:val="2A2A2A"/>
                <w:sz w:val="21"/>
              </w:rPr>
              <w:t>/case/mode-criteria</w:t>
            </w:r>
          </w:p>
        </w:tc>
        <w:tc>
          <w:tcPr>
            <w:tcW w:type="dxa" w:w="2771"/>
            <w:vAlign w:val="center"/>
          </w:tcPr>
          <w:p>
            <w:pPr>
              <w:jc w:val="center"/>
            </w:pPr>
            <w:r/>
            <w:r>
              <w:rPr>
                <w:rFonts w:ascii="Times New Roman" w:hAnsi="Times New Roman" w:eastAsia="宋体"/>
                <w:b w:val="0"/>
                <w:color w:val="2A2A2A"/>
                <w:sz w:val="21"/>
              </w:rPr>
              <w:t>GET</w:t>
            </w:r>
          </w:p>
        </w:tc>
        <w:tc>
          <w:tcPr>
            <w:tcW w:type="dxa" w:w="2771"/>
            <w:vAlign w:val="center"/>
          </w:tcPr>
          <w:p>
            <w:pPr>
              <w:jc w:val="center"/>
            </w:pPr>
            <w:r/>
            <w:r>
              <w:rPr>
                <w:rFonts w:ascii="Times New Roman" w:hAnsi="Times New Roman" w:eastAsia="宋体"/>
                <w:b w:val="0"/>
                <w:color w:val="2A2A2A"/>
                <w:sz w:val="21"/>
              </w:rPr>
              <w:t>5 种模式标准</w:t>
            </w:r>
          </w:p>
        </w:tc>
      </w:tr>
      <w:tr>
        <w:tc>
          <w:tcPr>
            <w:tcW w:type="dxa" w:w="2771"/>
            <w:vAlign w:val="center"/>
            <w:tcBorders>
              <w:bottom w:val="single" w:sz="12" w:color="000000"/>
            </w:tcBorders>
          </w:tcPr>
          <w:p>
            <w:pPr>
              <w:jc w:val="left"/>
            </w:pPr>
            <w:r/>
            <w:r>
              <w:rPr>
                <w:rFonts w:ascii="Times New Roman" w:hAnsi="Times New Roman" w:eastAsia="宋体"/>
                <w:b w:val="0"/>
                <w:color w:val="2A2A2A"/>
                <w:sz w:val="21"/>
              </w:rPr>
              <w:t>/case/{id}/suggestions</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GET</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案例模式路径建议</w:t>
            </w:r>
          </w:p>
        </w:tc>
      </w:tr>
    </w:tbl>
    <w:p>
      <w:r>
        <w:br w:type="page"/>
      </w:r>
    </w:p>
    <w:p>
      <w:pPr>
        <w:spacing w:line="360" w:lineRule="auto" w:before="0" w:after="360"/>
        <w:jc w:val="center"/>
        <w:pBdr>
          <w:bottom w:val="single" w:sz="12" w:space="4" w:color="0D3B2E"/>
        </w:pBdr>
      </w:pPr>
      <w:r>
        <w:rPr>
          <w:rFonts w:ascii="Times New Roman" w:hAnsi="Times New Roman" w:eastAsia="黑体"/>
          <w:b/>
          <w:color w:val="0D3B2E"/>
          <w:sz w:val="36"/>
        </w:rPr>
        <w:t>第八章 部署与运维</w:t>
      </w:r>
    </w:p>
    <w:p>
      <w:pPr>
        <w:spacing w:line="360" w:lineRule="auto" w:before="240" w:after="120"/>
        <w:jc w:val="left"/>
      </w:pPr>
      <w:r>
        <w:rPr>
          <w:rFonts w:ascii="Times New Roman" w:hAnsi="Times New Roman" w:eastAsia="黑体"/>
          <w:b/>
          <w:color w:val="0D3B2E"/>
          <w:sz w:val="28"/>
        </w:rPr>
        <w:t>8.1 环境要求</w:t>
      </w:r>
    </w:p>
    <w:p>
      <w:pPr>
        <w:spacing w:line="360" w:lineRule="auto" w:before="0" w:after="0"/>
        <w:ind w:firstLine="480"/>
        <w:jc w:val="both"/>
      </w:pPr>
      <w:r>
        <w:rPr>
          <w:rFonts w:ascii="Times New Roman" w:hAnsi="Times New Roman" w:eastAsia="宋体"/>
          <w:b w:val="0"/>
          <w:sz w:val="24"/>
        </w:rPr>
        <w:t>平台部署需满足以下软件环境要求，如表 8-1 所示。</w:t>
      </w:r>
    </w:p>
    <w:p>
      <w:pPr>
        <w:spacing w:before="120" w:after="60"/>
        <w:jc w:val="center"/>
      </w:pPr>
      <w:r>
        <w:rPr>
          <w:rFonts w:ascii="Times New Roman" w:hAnsi="Times New Roman" w:eastAsia="黑体"/>
          <w:b/>
          <w:color w:val="0D3B2E"/>
          <w:sz w:val="21"/>
        </w:rPr>
        <w:t>表 8-1 部署环境要求</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71"/>
        <w:gridCol w:w="2771"/>
        <w:gridCol w:w="2771"/>
      </w:tblGrid>
      <w:tr>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组件</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版本要求</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说明</w:t>
            </w:r>
          </w:p>
        </w:tc>
      </w:tr>
      <w:tr>
        <w:tc>
          <w:tcPr>
            <w:tcW w:type="dxa" w:w="2771"/>
            <w:vAlign w:val="center"/>
          </w:tcPr>
          <w:p>
            <w:pPr>
              <w:jc w:val="left"/>
            </w:pPr>
            <w:r/>
            <w:r>
              <w:rPr>
                <w:rFonts w:ascii="Times New Roman" w:hAnsi="Times New Roman" w:eastAsia="宋体"/>
                <w:b w:val="0"/>
                <w:color w:val="2A2A2A"/>
                <w:sz w:val="21"/>
              </w:rPr>
              <w:t>Python</w:t>
            </w:r>
          </w:p>
        </w:tc>
        <w:tc>
          <w:tcPr>
            <w:tcW w:type="dxa" w:w="2771"/>
            <w:vAlign w:val="center"/>
          </w:tcPr>
          <w:p>
            <w:pPr>
              <w:jc w:val="center"/>
            </w:pPr>
            <w:r/>
            <w:r>
              <w:rPr>
                <w:rFonts w:ascii="Times New Roman" w:hAnsi="Times New Roman" w:eastAsia="宋体"/>
                <w:b w:val="0"/>
                <w:color w:val="2A2A2A"/>
                <w:sz w:val="21"/>
              </w:rPr>
              <w:t>≥ 3.10</w:t>
            </w:r>
          </w:p>
        </w:tc>
        <w:tc>
          <w:tcPr>
            <w:tcW w:type="dxa" w:w="2771"/>
            <w:vAlign w:val="center"/>
          </w:tcPr>
          <w:p>
            <w:pPr>
              <w:jc w:val="center"/>
            </w:pPr>
            <w:r/>
            <w:r>
              <w:rPr>
                <w:rFonts w:ascii="Times New Roman" w:hAnsi="Times New Roman" w:eastAsia="宋体"/>
                <w:b w:val="0"/>
                <w:color w:val="2A2A2A"/>
                <w:sz w:val="21"/>
              </w:rPr>
              <w:t>后端运行环境</w:t>
            </w:r>
          </w:p>
        </w:tc>
      </w:tr>
      <w:tr>
        <w:tc>
          <w:tcPr>
            <w:tcW w:type="dxa" w:w="2771"/>
            <w:vAlign w:val="center"/>
          </w:tcPr>
          <w:p>
            <w:pPr>
              <w:jc w:val="left"/>
            </w:pPr>
            <w:r/>
            <w:r>
              <w:rPr>
                <w:rFonts w:ascii="Times New Roman" w:hAnsi="Times New Roman" w:eastAsia="宋体"/>
                <w:b w:val="0"/>
                <w:color w:val="2A2A2A"/>
                <w:sz w:val="21"/>
              </w:rPr>
              <w:t>Node.js</w:t>
            </w:r>
          </w:p>
        </w:tc>
        <w:tc>
          <w:tcPr>
            <w:tcW w:type="dxa" w:w="2771"/>
            <w:vAlign w:val="center"/>
          </w:tcPr>
          <w:p>
            <w:pPr>
              <w:jc w:val="center"/>
            </w:pPr>
            <w:r/>
            <w:r>
              <w:rPr>
                <w:rFonts w:ascii="Times New Roman" w:hAnsi="Times New Roman" w:eastAsia="宋体"/>
                <w:b w:val="0"/>
                <w:color w:val="2A2A2A"/>
                <w:sz w:val="21"/>
              </w:rPr>
              <w:t>≥ 18.0</w:t>
            </w:r>
          </w:p>
        </w:tc>
        <w:tc>
          <w:tcPr>
            <w:tcW w:type="dxa" w:w="2771"/>
            <w:vAlign w:val="center"/>
          </w:tcPr>
          <w:p>
            <w:pPr>
              <w:jc w:val="center"/>
            </w:pPr>
            <w:r/>
            <w:r>
              <w:rPr>
                <w:rFonts w:ascii="Times New Roman" w:hAnsi="Times New Roman" w:eastAsia="宋体"/>
                <w:b w:val="0"/>
                <w:color w:val="2A2A2A"/>
                <w:sz w:val="21"/>
              </w:rPr>
              <w:t>前端构建环境</w:t>
            </w:r>
          </w:p>
        </w:tc>
      </w:tr>
      <w:tr>
        <w:tc>
          <w:tcPr>
            <w:tcW w:type="dxa" w:w="2771"/>
            <w:vAlign w:val="center"/>
          </w:tcPr>
          <w:p>
            <w:pPr>
              <w:jc w:val="left"/>
            </w:pPr>
            <w:r/>
            <w:r>
              <w:rPr>
                <w:rFonts w:ascii="Times New Roman" w:hAnsi="Times New Roman" w:eastAsia="宋体"/>
                <w:b w:val="0"/>
                <w:color w:val="2A2A2A"/>
                <w:sz w:val="21"/>
              </w:rPr>
              <w:t>npm</w:t>
            </w:r>
          </w:p>
        </w:tc>
        <w:tc>
          <w:tcPr>
            <w:tcW w:type="dxa" w:w="2771"/>
            <w:vAlign w:val="center"/>
          </w:tcPr>
          <w:p>
            <w:pPr>
              <w:jc w:val="center"/>
            </w:pPr>
            <w:r/>
            <w:r>
              <w:rPr>
                <w:rFonts w:ascii="Times New Roman" w:hAnsi="Times New Roman" w:eastAsia="宋体"/>
                <w:b w:val="0"/>
                <w:color w:val="2A2A2A"/>
                <w:sz w:val="21"/>
              </w:rPr>
              <w:t>≥ 9.0</w:t>
            </w:r>
          </w:p>
        </w:tc>
        <w:tc>
          <w:tcPr>
            <w:tcW w:type="dxa" w:w="2771"/>
            <w:vAlign w:val="center"/>
          </w:tcPr>
          <w:p>
            <w:pPr>
              <w:jc w:val="center"/>
            </w:pPr>
            <w:r/>
            <w:r>
              <w:rPr>
                <w:rFonts w:ascii="Times New Roman" w:hAnsi="Times New Roman" w:eastAsia="宋体"/>
                <w:b w:val="0"/>
                <w:color w:val="2A2A2A"/>
                <w:sz w:val="21"/>
              </w:rPr>
              <w:t>前端包管理</w:t>
            </w:r>
          </w:p>
        </w:tc>
      </w:tr>
      <w:tr>
        <w:tc>
          <w:tcPr>
            <w:tcW w:type="dxa" w:w="2771"/>
            <w:vAlign w:val="center"/>
          </w:tcPr>
          <w:p>
            <w:pPr>
              <w:jc w:val="left"/>
            </w:pPr>
            <w:r/>
            <w:r>
              <w:rPr>
                <w:rFonts w:ascii="Times New Roman" w:hAnsi="Times New Roman" w:eastAsia="宋体"/>
                <w:b w:val="0"/>
                <w:color w:val="2A2A2A"/>
                <w:sz w:val="21"/>
              </w:rPr>
              <w:t>SQLite</w:t>
            </w:r>
          </w:p>
        </w:tc>
        <w:tc>
          <w:tcPr>
            <w:tcW w:type="dxa" w:w="2771"/>
            <w:vAlign w:val="center"/>
          </w:tcPr>
          <w:p>
            <w:pPr>
              <w:jc w:val="center"/>
            </w:pPr>
            <w:r/>
            <w:r>
              <w:rPr>
                <w:rFonts w:ascii="Times New Roman" w:hAnsi="Times New Roman" w:eastAsia="宋体"/>
                <w:b w:val="0"/>
                <w:color w:val="2A2A2A"/>
                <w:sz w:val="21"/>
              </w:rPr>
              <w:t>≥ 3.35</w:t>
            </w:r>
          </w:p>
        </w:tc>
        <w:tc>
          <w:tcPr>
            <w:tcW w:type="dxa" w:w="2771"/>
            <w:vAlign w:val="center"/>
          </w:tcPr>
          <w:p>
            <w:pPr>
              <w:jc w:val="center"/>
            </w:pPr>
            <w:r/>
            <w:r>
              <w:rPr>
                <w:rFonts w:ascii="Times New Roman" w:hAnsi="Times New Roman" w:eastAsia="宋体"/>
                <w:b w:val="0"/>
                <w:color w:val="2A2A2A"/>
                <w:sz w:val="21"/>
              </w:rPr>
              <w:t>开发数据库（默认）</w:t>
            </w:r>
          </w:p>
        </w:tc>
      </w:tr>
      <w:tr>
        <w:tc>
          <w:tcPr>
            <w:tcW w:type="dxa" w:w="2771"/>
            <w:vAlign w:val="center"/>
            <w:tcBorders>
              <w:bottom w:val="single" w:sz="12" w:color="000000"/>
            </w:tcBorders>
          </w:tcPr>
          <w:p>
            <w:pPr>
              <w:jc w:val="left"/>
            </w:pPr>
            <w:r/>
            <w:r>
              <w:rPr>
                <w:rFonts w:ascii="Times New Roman" w:hAnsi="Times New Roman" w:eastAsia="宋体"/>
                <w:b w:val="0"/>
                <w:color w:val="2A2A2A"/>
                <w:sz w:val="21"/>
              </w:rPr>
              <w:t>MySQL</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 8.0</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生产数据库（可选）</w:t>
            </w:r>
          </w:p>
        </w:tc>
      </w:tr>
    </w:tbl>
    <w:p>
      <w:pPr>
        <w:spacing w:line="360" w:lineRule="auto" w:before="240" w:after="120"/>
        <w:jc w:val="left"/>
      </w:pPr>
      <w:r>
        <w:rPr>
          <w:rFonts w:ascii="Times New Roman" w:hAnsi="Times New Roman" w:eastAsia="黑体"/>
          <w:b/>
          <w:color w:val="0D3B2E"/>
          <w:sz w:val="28"/>
        </w:rPr>
        <w:t>8.2 后端启动</w:t>
      </w:r>
    </w:p>
    <w:p>
      <w:pPr>
        <w:spacing w:line="360" w:lineRule="auto" w:before="0" w:after="0"/>
        <w:ind w:firstLine="480"/>
        <w:jc w:val="both"/>
      </w:pPr>
      <w:r>
        <w:rPr>
          <w:rFonts w:ascii="Times New Roman" w:hAnsi="Times New Roman" w:eastAsia="宋体"/>
          <w:b w:val="0"/>
          <w:sz w:val="24"/>
        </w:rPr>
        <w:t>后端基于 FastAPI 框架，启动步骤如下：</w:t>
      </w:r>
    </w:p>
    <w:p>
      <w:pPr>
        <w:spacing w:line="360" w:lineRule="auto" w:before="0" w:after="0"/>
        <w:jc w:val="both"/>
      </w:pPr>
      <w:r>
        <w:rPr>
          <w:rFonts w:ascii="Times New Roman" w:hAnsi="Times New Roman" w:eastAsia="宋体"/>
          <w:b w:val="0"/>
          <w:sz w:val="24"/>
        </w:rPr>
        <w:t>cd greenpulse/backend</w:t>
      </w:r>
    </w:p>
    <w:p>
      <w:pPr>
        <w:spacing w:line="360" w:lineRule="auto" w:before="0" w:after="0"/>
        <w:jc w:val="both"/>
      </w:pPr>
      <w:r>
        <w:rPr>
          <w:rFonts w:ascii="Times New Roman" w:hAnsi="Times New Roman" w:eastAsia="宋体"/>
          <w:b w:val="0"/>
          <w:sz w:val="24"/>
        </w:rPr>
        <w:t>python -m venv venv</w:t>
      </w:r>
    </w:p>
    <w:p>
      <w:pPr>
        <w:spacing w:line="360" w:lineRule="auto" w:before="0" w:after="0"/>
        <w:jc w:val="both"/>
      </w:pPr>
      <w:r>
        <w:rPr>
          <w:rFonts w:ascii="Times New Roman" w:hAnsi="Times New Roman" w:eastAsia="宋体"/>
          <w:b w:val="0"/>
          <w:sz w:val="24"/>
        </w:rPr>
        <w:t>venv\Scripts\activate              # Windows</w:t>
      </w:r>
    </w:p>
    <w:p>
      <w:pPr>
        <w:spacing w:line="360" w:lineRule="auto" w:before="0" w:after="0"/>
        <w:jc w:val="both"/>
      </w:pPr>
      <w:r>
        <w:rPr>
          <w:rFonts w:ascii="Times New Roman" w:hAnsi="Times New Roman" w:eastAsia="宋体"/>
          <w:b w:val="0"/>
          <w:sz w:val="24"/>
        </w:rPr>
        <w:t># source venv/bin/activate         # Linux/Mac</w:t>
      </w:r>
    </w:p>
    <w:p>
      <w:pPr>
        <w:spacing w:line="360" w:lineRule="auto" w:before="0" w:after="0"/>
        <w:jc w:val="both"/>
      </w:pPr>
      <w:r>
        <w:rPr>
          <w:rFonts w:ascii="Times New Roman" w:hAnsi="Times New Roman" w:eastAsia="宋体"/>
          <w:b w:val="0"/>
          <w:sz w:val="24"/>
        </w:rPr>
        <w:t>pip install -r requirements.txt</w:t>
      </w:r>
    </w:p>
    <w:p>
      <w:pPr>
        <w:spacing w:line="360" w:lineRule="auto" w:before="0" w:after="0"/>
        <w:jc w:val="both"/>
      </w:pPr>
      <w:r>
        <w:rPr>
          <w:rFonts w:ascii="Times New Roman" w:hAnsi="Times New Roman" w:eastAsia="宋体"/>
          <w:b w:val="0"/>
          <w:sz w:val="24"/>
        </w:rPr>
        <w:t>python run.py                      # 默认 http://localhost:8000</w:t>
      </w:r>
    </w:p>
    <w:p>
      <w:pPr>
        <w:spacing w:line="360" w:lineRule="auto" w:before="0" w:after="0"/>
        <w:ind w:firstLine="480"/>
        <w:jc w:val="both"/>
      </w:pPr>
      <w:r>
        <w:rPr>
          <w:rFonts w:ascii="Times New Roman" w:hAnsi="Times New Roman" w:eastAsia="宋体"/>
          <w:b w:val="0"/>
          <w:sz w:val="24"/>
        </w:rPr>
        <w:t>启动成功后可访问以下地址：</w:t>
      </w:r>
    </w:p>
    <w:p>
      <w:pPr>
        <w:spacing w:line="360" w:lineRule="auto" w:before="0" w:after="0"/>
        <w:ind w:firstLine="480"/>
        <w:jc w:val="both"/>
      </w:pPr>
      <w:r>
        <w:rPr>
          <w:rFonts w:ascii="Times New Roman" w:hAnsi="Times New Roman" w:eastAsia="宋体"/>
          <w:b w:val="0"/>
          <w:sz w:val="24"/>
        </w:rPr>
        <w:t>· API 服务：http://localhost:8000</w:t>
      </w:r>
    </w:p>
    <w:p>
      <w:pPr>
        <w:spacing w:line="360" w:lineRule="auto" w:before="0" w:after="0"/>
        <w:ind w:firstLine="480"/>
        <w:jc w:val="both"/>
      </w:pPr>
      <w:r>
        <w:rPr>
          <w:rFonts w:ascii="Times New Roman" w:hAnsi="Times New Roman" w:eastAsia="宋体"/>
          <w:b w:val="0"/>
          <w:sz w:val="24"/>
        </w:rPr>
        <w:t>· Swagger 文档：http://localhost:8000/docs</w:t>
      </w:r>
    </w:p>
    <w:p>
      <w:pPr>
        <w:spacing w:line="360" w:lineRule="auto" w:before="0" w:after="0"/>
        <w:ind w:firstLine="480"/>
        <w:jc w:val="both"/>
      </w:pPr>
      <w:r>
        <w:rPr>
          <w:rFonts w:ascii="Times New Roman" w:hAnsi="Times New Roman" w:eastAsia="宋体"/>
          <w:b w:val="0"/>
          <w:sz w:val="24"/>
        </w:rPr>
        <w:t>· ReDoc 文档：http://localhost:8000/redoc</w:t>
      </w:r>
    </w:p>
    <w:p>
      <w:pPr>
        <w:spacing w:line="360" w:lineRule="auto" w:before="240" w:after="120"/>
        <w:jc w:val="left"/>
      </w:pPr>
      <w:r>
        <w:rPr>
          <w:rFonts w:ascii="Times New Roman" w:hAnsi="Times New Roman" w:eastAsia="黑体"/>
          <w:b/>
          <w:color w:val="0D3B2E"/>
          <w:sz w:val="28"/>
        </w:rPr>
        <w:t>8.3 前端启动</w:t>
      </w:r>
    </w:p>
    <w:p>
      <w:pPr>
        <w:spacing w:line="360" w:lineRule="auto" w:before="0" w:after="0"/>
        <w:ind w:firstLine="480"/>
        <w:jc w:val="both"/>
      </w:pPr>
      <w:r>
        <w:rPr>
          <w:rFonts w:ascii="Times New Roman" w:hAnsi="Times New Roman" w:eastAsia="宋体"/>
          <w:b w:val="0"/>
          <w:sz w:val="24"/>
        </w:rPr>
        <w:t>前端基于 Vue 3 + Vite，启动步骤如下：</w:t>
      </w:r>
    </w:p>
    <w:p>
      <w:pPr>
        <w:spacing w:line="360" w:lineRule="auto" w:before="0" w:after="0"/>
        <w:jc w:val="both"/>
      </w:pPr>
      <w:r>
        <w:rPr>
          <w:rFonts w:ascii="Times New Roman" w:hAnsi="Times New Roman" w:eastAsia="宋体"/>
          <w:b w:val="0"/>
          <w:sz w:val="24"/>
        </w:rPr>
        <w:t>cd greenpulse/frontend</w:t>
      </w:r>
    </w:p>
    <w:p>
      <w:pPr>
        <w:spacing w:line="360" w:lineRule="auto" w:before="0" w:after="0"/>
        <w:jc w:val="both"/>
      </w:pPr>
      <w:r>
        <w:rPr>
          <w:rFonts w:ascii="Times New Roman" w:hAnsi="Times New Roman" w:eastAsia="宋体"/>
          <w:b w:val="0"/>
          <w:sz w:val="24"/>
        </w:rPr>
        <w:t>npm install</w:t>
      </w:r>
    </w:p>
    <w:p>
      <w:pPr>
        <w:spacing w:line="360" w:lineRule="auto" w:before="0" w:after="0"/>
        <w:jc w:val="both"/>
      </w:pPr>
      <w:r>
        <w:rPr>
          <w:rFonts w:ascii="Times New Roman" w:hAnsi="Times New Roman" w:eastAsia="宋体"/>
          <w:b w:val="0"/>
          <w:sz w:val="24"/>
        </w:rPr>
        <w:t>npm run dev                        # 开发模式，默认 http://localhost:5173</w:t>
      </w:r>
    </w:p>
    <w:p>
      <w:pPr>
        <w:spacing w:line="360" w:lineRule="auto" w:before="0" w:after="0"/>
        <w:jc w:val="both"/>
      </w:pPr>
      <w:r>
        <w:rPr>
          <w:rFonts w:ascii="Times New Roman" w:hAnsi="Times New Roman" w:eastAsia="宋体"/>
          <w:b w:val="0"/>
          <w:sz w:val="24"/>
        </w:rPr>
        <w:t>npm run build                      # 生产构建到 dist/ 目录</w:t>
      </w:r>
    </w:p>
    <w:p>
      <w:pPr>
        <w:spacing w:line="360" w:lineRule="auto" w:before="240" w:after="120"/>
        <w:jc w:val="left"/>
      </w:pPr>
      <w:r>
        <w:rPr>
          <w:rFonts w:ascii="Times New Roman" w:hAnsi="Times New Roman" w:eastAsia="黑体"/>
          <w:b/>
          <w:color w:val="0D3B2E"/>
          <w:sz w:val="28"/>
        </w:rPr>
        <w:t>8.4 DeepSeek AI 配置</w:t>
      </w:r>
    </w:p>
    <w:p>
      <w:pPr>
        <w:spacing w:line="360" w:lineRule="auto" w:before="0" w:after="0"/>
        <w:ind w:firstLine="480"/>
        <w:jc w:val="both"/>
      </w:pPr>
      <w:r>
        <w:rPr>
          <w:rFonts w:ascii="Times New Roman" w:hAnsi="Times New Roman" w:eastAsia="宋体"/>
          <w:b w:val="0"/>
          <w:sz w:val="24"/>
        </w:rPr>
        <w:t>平台支持通过环境变量配置 DeepSeek API Key，启用 AI 智能建议功能。配置方法如下：</w:t>
      </w:r>
    </w:p>
    <w:p>
      <w:pPr>
        <w:spacing w:line="360" w:lineRule="auto" w:before="0" w:after="0"/>
        <w:jc w:val="both"/>
      </w:pPr>
      <w:r>
        <w:rPr>
          <w:rFonts w:ascii="Times New Roman" w:hAnsi="Times New Roman" w:eastAsia="宋体"/>
          <w:b w:val="0"/>
          <w:sz w:val="24"/>
        </w:rPr>
        <w:t># 编辑 backend/.env 文件</w:t>
      </w:r>
    </w:p>
    <w:p>
      <w:pPr>
        <w:spacing w:line="360" w:lineRule="auto" w:before="0" w:after="0"/>
        <w:jc w:val="both"/>
      </w:pPr>
      <w:r>
        <w:rPr>
          <w:rFonts w:ascii="Times New Roman" w:hAnsi="Times New Roman" w:eastAsia="宋体"/>
          <w:b w:val="0"/>
          <w:sz w:val="24"/>
        </w:rPr>
        <w:t>DEEPSEEK_API_KEY=sk-your-key-here</w:t>
      </w:r>
    </w:p>
    <w:p>
      <w:pPr>
        <w:spacing w:line="360" w:lineRule="auto" w:before="0" w:after="0"/>
        <w:jc w:val="both"/>
      </w:pPr>
      <w:r>
        <w:rPr>
          <w:rFonts w:ascii="Times New Roman" w:hAnsi="Times New Roman" w:eastAsia="宋体"/>
          <w:b w:val="0"/>
          <w:sz w:val="24"/>
        </w:rPr>
        <w:t>DEEPSEEK_BASE_URL=https://api.deepseek.com/v1</w:t>
      </w:r>
    </w:p>
    <w:p>
      <w:pPr>
        <w:spacing w:line="360" w:lineRule="auto" w:before="0" w:after="0"/>
        <w:ind w:firstLine="480"/>
        <w:jc w:val="both"/>
      </w:pPr>
      <w:r>
        <w:rPr>
          <w:rFonts w:ascii="Times New Roman" w:hAnsi="Times New Roman" w:eastAsia="宋体"/>
          <w:b w:val="0"/>
          <w:sz w:val="24"/>
        </w:rPr>
        <w:t>未配置 API Key 时，平台自动启用规则版建议兜底机制，调用预置的 27 条结构化建议，确保所有功能可完整演示。AI 不可用时不会影响核心评估流程。</w:t>
      </w:r>
    </w:p>
    <w:p>
      <w:pPr>
        <w:spacing w:line="360" w:lineRule="auto" w:before="240" w:after="120"/>
        <w:jc w:val="left"/>
      </w:pPr>
      <w:r>
        <w:rPr>
          <w:rFonts w:ascii="Times New Roman" w:hAnsi="Times New Roman" w:eastAsia="黑体"/>
          <w:b/>
          <w:color w:val="0D3B2E"/>
          <w:sz w:val="28"/>
        </w:rPr>
        <w:t>8.5 生产部署</w:t>
      </w:r>
    </w:p>
    <w:p>
      <w:pPr>
        <w:spacing w:line="360" w:lineRule="auto" w:before="0" w:after="0"/>
        <w:ind w:firstLine="480"/>
        <w:jc w:val="both"/>
      </w:pPr>
      <w:r>
        <w:rPr>
          <w:rFonts w:ascii="Times New Roman" w:hAnsi="Times New Roman" w:eastAsia="宋体"/>
          <w:b w:val="0"/>
          <w:sz w:val="24"/>
        </w:rPr>
        <w:t>平台支持两种生产部署方案：</w:t>
      </w:r>
    </w:p>
    <w:p>
      <w:pPr>
        <w:spacing w:line="360" w:lineRule="auto" w:before="120" w:after="120"/>
        <w:jc w:val="left"/>
      </w:pPr>
      <w:r>
        <w:rPr>
          <w:rFonts w:ascii="Times New Roman" w:hAnsi="Times New Roman" w:eastAsia="黑体"/>
          <w:b/>
          <w:color w:val="2D6A4F"/>
          <w:sz w:val="24"/>
        </w:rPr>
        <w:t>8.5.1 方案一：Railway 部署（推荐）</w:t>
      </w:r>
    </w:p>
    <w:p>
      <w:pPr>
        <w:spacing w:line="360" w:lineRule="auto" w:before="0" w:after="0"/>
        <w:ind w:firstLine="480"/>
        <w:jc w:val="both"/>
      </w:pPr>
      <w:r>
        <w:rPr>
          <w:rFonts w:ascii="Times New Roman" w:hAnsi="Times New Roman" w:eastAsia="宋体"/>
          <w:b w:val="0"/>
          <w:sz w:val="24"/>
        </w:rPr>
        <w:t>Railway 是一款现代化的云原生部署平台，支持 Python 与 Node.js 应用一键部署。平台已在仓库根目录配置 railway.json 文件，关联 GitHub 仓库后即可自动部署后端服务。</w:t>
      </w:r>
    </w:p>
    <w:p>
      <w:pPr>
        <w:spacing w:line="360" w:lineRule="auto" w:before="120" w:after="120"/>
        <w:jc w:val="left"/>
      </w:pPr>
      <w:r>
        <w:rPr>
          <w:rFonts w:ascii="Times New Roman" w:hAnsi="Times New Roman" w:eastAsia="黑体"/>
          <w:b/>
          <w:color w:val="2D6A4F"/>
          <w:sz w:val="24"/>
        </w:rPr>
        <w:t>8.5.2 方案二：Vercel + 自建后端</w:t>
      </w:r>
    </w:p>
    <w:p>
      <w:pPr>
        <w:spacing w:line="360" w:lineRule="auto" w:before="0" w:after="0"/>
        <w:ind w:firstLine="480"/>
        <w:jc w:val="both"/>
      </w:pPr>
      <w:r>
        <w:rPr>
          <w:rFonts w:ascii="Times New Roman" w:hAnsi="Times New Roman" w:eastAsia="宋体"/>
          <w:b w:val="0"/>
          <w:sz w:val="24"/>
        </w:rPr>
        <w:t>前端可部署至 Vercel，后端部署至任意支持 Python 的云服务器（如阿里云 ECS、腾讯云 CVM）。平台已配置 vercel.json 文件支持前端一键部署。后端建议使用 Nginx + Uvicorn 进行生产部署：</w:t>
      </w:r>
    </w:p>
    <w:p>
      <w:pPr>
        <w:spacing w:line="360" w:lineRule="auto" w:before="0" w:after="0"/>
        <w:jc w:val="both"/>
      </w:pPr>
      <w:r>
        <w:rPr>
          <w:rFonts w:ascii="Times New Roman" w:hAnsi="Times New Roman" w:eastAsia="宋体"/>
          <w:b w:val="0"/>
          <w:sz w:val="24"/>
        </w:rPr>
        <w:t>uvicorn app.main:app --host 0.0.0.0 --port 8000 --workers 4</w:t>
      </w:r>
    </w:p>
    <w:p>
      <w:r>
        <w:br w:type="page"/>
      </w:r>
    </w:p>
    <w:p>
      <w:pPr>
        <w:spacing w:line="360" w:lineRule="auto" w:before="0" w:after="360"/>
        <w:jc w:val="center"/>
        <w:pBdr>
          <w:bottom w:val="single" w:sz="12" w:space="4" w:color="0D3B2E"/>
        </w:pBdr>
      </w:pPr>
      <w:r>
        <w:rPr>
          <w:rFonts w:ascii="Times New Roman" w:hAnsi="Times New Roman" w:eastAsia="黑体"/>
          <w:b/>
          <w:color w:val="0D3B2E"/>
          <w:sz w:val="36"/>
        </w:rPr>
        <w:t>第九章 总结与展望</w:t>
      </w:r>
    </w:p>
    <w:p>
      <w:pPr>
        <w:spacing w:line="360" w:lineRule="auto" w:before="240" w:after="120"/>
        <w:jc w:val="left"/>
      </w:pPr>
      <w:r>
        <w:rPr>
          <w:rFonts w:ascii="Times New Roman" w:hAnsi="Times New Roman" w:eastAsia="黑体"/>
          <w:b/>
          <w:color w:val="0D3B2E"/>
          <w:sz w:val="28"/>
        </w:rPr>
        <w:t>9.1 工作总结</w:t>
      </w:r>
    </w:p>
    <w:p>
      <w:pPr>
        <w:spacing w:line="360" w:lineRule="auto" w:before="0" w:after="0"/>
        <w:ind w:firstLine="480"/>
        <w:jc w:val="both"/>
      </w:pPr>
      <w:r>
        <w:rPr>
          <w:rFonts w:ascii="Times New Roman" w:hAnsi="Times New Roman" w:eastAsia="宋体"/>
          <w:b w:val="0"/>
          <w:sz w:val="24"/>
        </w:rPr>
        <w:t>本文介绍了"绿脉兴农"一体化智能决策支持平台的设计与实现。平台围绕生态产品价值实现与乡村振兴协同发展这一核心命题，融合 AHP 层次分析、耦合协调度模型、障碍度模型与 DeepSeek AI 引擎，构建了从数据采集、综合评估、模式识别到路径优化的完整决策闭环。</w:t>
      </w:r>
    </w:p>
    <w:p>
      <w:pPr>
        <w:spacing w:line="360" w:lineRule="auto" w:before="0" w:after="0"/>
        <w:ind w:firstLine="480"/>
        <w:jc w:val="both"/>
      </w:pPr>
      <w:r>
        <w:rPr>
          <w:rFonts w:ascii="Times New Roman" w:hAnsi="Times New Roman" w:eastAsia="宋体"/>
          <w:b w:val="0"/>
          <w:sz w:val="24"/>
        </w:rPr>
        <w:t>平台主要贡献如下：</w:t>
      </w:r>
    </w:p>
    <w:p>
      <w:pPr>
        <w:spacing w:line="360" w:lineRule="auto" w:before="0" w:after="0"/>
        <w:ind w:firstLine="480"/>
        <w:jc w:val="both"/>
      </w:pPr>
      <w:r>
        <w:rPr>
          <w:rFonts w:ascii="Times New Roman" w:hAnsi="Times New Roman" w:eastAsia="宋体"/>
          <w:b w:val="0"/>
          <w:sz w:val="24"/>
        </w:rPr>
        <w:t>（1）构建了完整的指标评估体系：以 10 个典型区县 5 年面板数据为基础，建立涵盖 11 项生态产品价值实现指标与 15 项乡村振兴指标的二维评估体系，通过 AHP 计算组合权重，实现地区发展水平的科学量化。</w:t>
      </w:r>
    </w:p>
    <w:p>
      <w:pPr>
        <w:spacing w:line="360" w:lineRule="auto" w:before="0" w:after="0"/>
        <w:ind w:firstLine="480"/>
        <w:jc w:val="both"/>
      </w:pPr>
      <w:r>
        <w:rPr>
          <w:rFonts w:ascii="Times New Roman" w:hAnsi="Times New Roman" w:eastAsia="宋体"/>
          <w:b w:val="0"/>
          <w:sz w:val="24"/>
        </w:rPr>
        <w:t>（2）提出了五种差异化发展模式：通过层次聚类分析提取生态康养型、湿地水域型、农业品牌型、农文旅融合型、城郊消费型五种典型模式，并为每种模式配置量化识别阈值与路径优化建议，弥补了现有研究"一刀切"的不足。</w:t>
      </w:r>
    </w:p>
    <w:p>
      <w:pPr>
        <w:spacing w:line="360" w:lineRule="auto" w:before="0" w:after="0"/>
        <w:ind w:firstLine="480"/>
        <w:jc w:val="both"/>
      </w:pPr>
      <w:r>
        <w:rPr>
          <w:rFonts w:ascii="Times New Roman" w:hAnsi="Times New Roman" w:eastAsia="宋体"/>
          <w:b w:val="0"/>
          <w:sz w:val="24"/>
        </w:rPr>
        <w:t>（3）集成了 AI 智能路径优化：创新性地将 DeepSeek 大语言模型与传统数学模型结合，基于评估结果与模式判定生成 500—800 字结构化路径建议，提升了决策支持的智能化水平。</w:t>
      </w:r>
    </w:p>
    <w:p>
      <w:pPr>
        <w:spacing w:line="360" w:lineRule="auto" w:before="0" w:after="0"/>
        <w:ind w:firstLine="480"/>
        <w:jc w:val="both"/>
      </w:pPr>
      <w:r>
        <w:rPr>
          <w:rFonts w:ascii="Times New Roman" w:hAnsi="Times New Roman" w:eastAsia="宋体"/>
          <w:b w:val="0"/>
          <w:sz w:val="24"/>
        </w:rPr>
        <w:t>（4）实现了完整的产品化落地：平台采用前后端分离架构，前端基于 Vue 3 + Element Plus 构建，后端基于 FastAPI + SQLAlchemy 实现，提供 30+ 个 RESTful API 端点，支持 PDF 报告自动生成与一键导出，具备完整的产品形态。</w:t>
      </w:r>
    </w:p>
    <w:p>
      <w:pPr>
        <w:spacing w:line="360" w:lineRule="auto" w:before="240" w:after="120"/>
        <w:jc w:val="left"/>
      </w:pPr>
      <w:r>
        <w:rPr>
          <w:rFonts w:ascii="Times New Roman" w:hAnsi="Times New Roman" w:eastAsia="黑体"/>
          <w:b/>
          <w:color w:val="0D3B2E"/>
          <w:sz w:val="28"/>
        </w:rPr>
        <w:t>9.2 创新点</w:t>
      </w:r>
    </w:p>
    <w:p>
      <w:pPr>
        <w:spacing w:line="360" w:lineRule="auto" w:before="0" w:after="0"/>
        <w:ind w:firstLine="480"/>
        <w:jc w:val="both"/>
      </w:pPr>
      <w:r>
        <w:rPr>
          <w:rFonts w:ascii="Times New Roman" w:hAnsi="Times New Roman" w:eastAsia="宋体"/>
          <w:b w:val="0"/>
          <w:sz w:val="24"/>
        </w:rPr>
        <w:t>（1）多模型协同：首次将 AHP、耦合协调度、障碍度、层次聚类四种方法与 LLM 集成于同一平台，实现"评估—识别—诊断—优化"全链条智能化。</w:t>
      </w:r>
    </w:p>
    <w:p>
      <w:pPr>
        <w:spacing w:line="360" w:lineRule="auto" w:before="0" w:after="0"/>
        <w:ind w:firstLine="480"/>
        <w:jc w:val="both"/>
      </w:pPr>
      <w:r>
        <w:rPr>
          <w:rFonts w:ascii="Times New Roman" w:hAnsi="Times New Roman" w:eastAsia="宋体"/>
          <w:b w:val="0"/>
          <w:sz w:val="24"/>
        </w:rPr>
        <w:t>（2）模式阈值化：将抽象的"发展模式"转化为可计算的量化阈值表，使模式识别从"专家经验"升级为"数据驱动"。</w:t>
      </w:r>
    </w:p>
    <w:p>
      <w:pPr>
        <w:spacing w:line="360" w:lineRule="auto" w:before="0" w:after="0"/>
        <w:ind w:firstLine="480"/>
        <w:jc w:val="both"/>
      </w:pPr>
      <w:r>
        <w:rPr>
          <w:rFonts w:ascii="Times New Roman" w:hAnsi="Times New Roman" w:eastAsia="宋体"/>
          <w:b w:val="0"/>
          <w:sz w:val="24"/>
        </w:rPr>
        <w:t>（3）AI 兜底机制：设计了 AI 不可用时的规则版兜底逻辑，保障平台在任意环境下均可完整演示，提升了鲁棒性。</w:t>
      </w:r>
    </w:p>
    <w:p>
      <w:pPr>
        <w:spacing w:line="360" w:lineRule="auto" w:before="0" w:after="0"/>
        <w:ind w:firstLine="480"/>
        <w:jc w:val="both"/>
      </w:pPr>
      <w:r>
        <w:rPr>
          <w:rFonts w:ascii="Times New Roman" w:hAnsi="Times New Roman" w:eastAsia="宋体"/>
          <w:b w:val="0"/>
          <w:sz w:val="24"/>
        </w:rPr>
        <w:t>（4）产品化思维：从研究原型到产品落地，平台具备完整的用户系统、商城交易、案例学习等模块，可直接服务地方政府实际需求。</w:t>
      </w:r>
    </w:p>
    <w:p>
      <w:pPr>
        <w:spacing w:line="360" w:lineRule="auto" w:before="240" w:after="120"/>
        <w:jc w:val="left"/>
      </w:pPr>
      <w:r>
        <w:rPr>
          <w:rFonts w:ascii="Times New Roman" w:hAnsi="Times New Roman" w:eastAsia="黑体"/>
          <w:b/>
          <w:color w:val="0D3B2E"/>
          <w:sz w:val="28"/>
        </w:rPr>
        <w:t>9.3 不足与展望</w:t>
      </w:r>
    </w:p>
    <w:p>
      <w:pPr>
        <w:spacing w:line="360" w:lineRule="auto" w:before="0" w:after="0"/>
        <w:ind w:firstLine="480"/>
        <w:jc w:val="both"/>
      </w:pPr>
      <w:r>
        <w:rPr>
          <w:rFonts w:ascii="Times New Roman" w:hAnsi="Times New Roman" w:eastAsia="宋体"/>
          <w:b w:val="0"/>
          <w:sz w:val="24"/>
        </w:rPr>
        <w:t>受时间与数据所限，平台仍存在以下不足，未来工作将从以下方向持续优化：</w:t>
      </w:r>
    </w:p>
    <w:p>
      <w:pPr>
        <w:spacing w:line="360" w:lineRule="auto" w:before="0" w:after="0"/>
        <w:ind w:firstLine="480"/>
        <w:jc w:val="both"/>
      </w:pPr>
      <w:r>
        <w:rPr>
          <w:rFonts w:ascii="Times New Roman" w:hAnsi="Times New Roman" w:eastAsia="宋体"/>
          <w:b w:val="0"/>
          <w:sz w:val="24"/>
        </w:rPr>
        <w:t>（1）样本规模扩展：当前样本仅覆盖 10 个区县，未来将扩展至全国范围，并引入更长时间跨度的面板数据，提升模式划分的代表性。</w:t>
      </w:r>
    </w:p>
    <w:p>
      <w:pPr>
        <w:spacing w:line="360" w:lineRule="auto" w:before="0" w:after="0"/>
        <w:ind w:firstLine="480"/>
        <w:jc w:val="both"/>
      </w:pPr>
      <w:r>
        <w:rPr>
          <w:rFonts w:ascii="Times New Roman" w:hAnsi="Times New Roman" w:eastAsia="宋体"/>
          <w:b w:val="0"/>
          <w:sz w:val="24"/>
        </w:rPr>
        <w:t>（2）动态数据采集：目前数据为静态导入，未来将对接政府开放数据 API，实现数据自动更新与实时评估。</w:t>
      </w:r>
    </w:p>
    <w:p>
      <w:pPr>
        <w:spacing w:line="360" w:lineRule="auto" w:before="0" w:after="0"/>
        <w:ind w:firstLine="480"/>
        <w:jc w:val="both"/>
      </w:pPr>
      <w:r>
        <w:rPr>
          <w:rFonts w:ascii="Times New Roman" w:hAnsi="Times New Roman" w:eastAsia="宋体"/>
          <w:b w:val="0"/>
          <w:sz w:val="24"/>
        </w:rPr>
        <w:t>（3）模型迭代优化：AHP 权重依赖专家打分，未来将引入熵权法进行客观赋权并组合优化，提升权重科学性。</w:t>
      </w:r>
    </w:p>
    <w:p>
      <w:pPr>
        <w:spacing w:line="360" w:lineRule="auto" w:before="0" w:after="0"/>
        <w:ind w:firstLine="480"/>
        <w:jc w:val="both"/>
      </w:pPr>
      <w:r>
        <w:rPr>
          <w:rFonts w:ascii="Times New Roman" w:hAnsi="Times New Roman" w:eastAsia="宋体"/>
          <w:b w:val="0"/>
          <w:sz w:val="24"/>
        </w:rPr>
        <w:t>（4）移动端适配：当前平台为桌面 Web 应用，未来将开发移动端适配版本与微信小程序，扩大服务触达范围。</w:t>
      </w:r>
    </w:p>
    <w:p>
      <w:pPr>
        <w:spacing w:line="360" w:lineRule="auto" w:before="0" w:after="0"/>
        <w:ind w:firstLine="480"/>
        <w:jc w:val="both"/>
      </w:pPr>
      <w:r>
        <w:rPr>
          <w:rFonts w:ascii="Times New Roman" w:hAnsi="Times New Roman" w:eastAsia="宋体"/>
          <w:b w:val="0"/>
          <w:sz w:val="24"/>
        </w:rPr>
        <w:t>（5）多模态交互：未来将引入语音识别与图像识别能力，支持用户通过语音录入数据、上传图片自动识别农产品等场景。</w:t>
      </w:r>
    </w:p>
    <w:p>
      <w:pPr>
        <w:spacing w:line="360" w:lineRule="auto" w:before="0" w:after="0"/>
        <w:ind w:firstLine="480"/>
        <w:jc w:val="both"/>
      </w:pPr>
      <w:r>
        <w:rPr>
          <w:rFonts w:ascii="Times New Roman" w:hAnsi="Times New Roman" w:eastAsia="宋体"/>
          <w:b w:val="0"/>
          <w:sz w:val="24"/>
        </w:rPr>
        <w:t>展望未来，绿脉兴农平台将持续迭代优化，致力于成为乡村振兴领域的"智能参谋"，让"绿水青山"真正看得见、算得清、走得通，为生态产品价值实现贡献科技力量。</w:t>
      </w:r>
    </w:p>
    <w:p>
      <w:r>
        <w:br w:type="page"/>
      </w:r>
    </w:p>
    <w:p>
      <w:pPr>
        <w:spacing w:line="360" w:lineRule="auto" w:before="0" w:after="360"/>
        <w:jc w:val="center"/>
        <w:pBdr>
          <w:bottom w:val="single" w:sz="12" w:space="4" w:color="0D3B2E"/>
        </w:pBdr>
      </w:pPr>
      <w:r>
        <w:rPr>
          <w:rFonts w:ascii="Times New Roman" w:hAnsi="Times New Roman" w:eastAsia="黑体"/>
          <w:b/>
          <w:color w:val="0D3B2E"/>
          <w:sz w:val="36"/>
        </w:rPr>
        <w:t>参考文献</w:t>
      </w:r>
    </w:p>
    <w:p>
      <w:pPr>
        <w:spacing w:line="360" w:lineRule="auto" w:after="80"/>
        <w:ind w:hanging="480" w:left="480"/>
      </w:pPr>
      <w:r>
        <w:rPr>
          <w:rFonts w:ascii="Times New Roman" w:hAnsi="Times New Roman" w:eastAsia="Times New Roman"/>
          <w:b/>
          <w:color w:val="0D3B2E"/>
          <w:sz w:val="21"/>
        </w:rPr>
        <w:t xml:space="preserve">[1] </w:t>
      </w:r>
      <w:r>
        <w:rPr>
          <w:rFonts w:ascii="Times New Roman" w:hAnsi="Times New Roman" w:eastAsia="Times New Roman"/>
          <w:b w:val="0"/>
          <w:color w:val="2A2A2A"/>
          <w:sz w:val="21"/>
        </w:rPr>
        <w:t>中共中央办公厅, 国务院办公厅. 关于建立健全生态产品价值实现机制的意见[Z]. 北京: 中共中央办公厅, 2021.</w:t>
      </w:r>
    </w:p>
    <w:p>
      <w:pPr>
        <w:spacing w:line="360" w:lineRule="auto" w:after="80"/>
        <w:ind w:hanging="480" w:left="480"/>
      </w:pPr>
      <w:r>
        <w:rPr>
          <w:rFonts w:ascii="Times New Roman" w:hAnsi="Times New Roman" w:eastAsia="Times New Roman"/>
          <w:b/>
          <w:color w:val="0D3B2E"/>
          <w:sz w:val="21"/>
        </w:rPr>
        <w:t xml:space="preserve">[2] </w:t>
      </w:r>
      <w:r>
        <w:rPr>
          <w:rFonts w:ascii="Times New Roman" w:hAnsi="Times New Roman" w:eastAsia="Times New Roman"/>
          <w:b w:val="0"/>
          <w:color w:val="2A2A2A"/>
          <w:sz w:val="21"/>
        </w:rPr>
        <w:t>中共中央, 国务院. 关于做好 2022 年全面推进乡村振兴重点工作的意见[Z]. 北京: 中共中央, 2022.</w:t>
      </w:r>
    </w:p>
    <w:p>
      <w:pPr>
        <w:spacing w:line="360" w:lineRule="auto" w:after="80"/>
        <w:ind w:hanging="480" w:left="480"/>
      </w:pPr>
      <w:r>
        <w:rPr>
          <w:rFonts w:ascii="Times New Roman" w:hAnsi="Times New Roman" w:eastAsia="Times New Roman"/>
          <w:b/>
          <w:color w:val="0D3B2E"/>
          <w:sz w:val="21"/>
        </w:rPr>
        <w:t xml:space="preserve">[3] </w:t>
      </w:r>
      <w:r>
        <w:rPr>
          <w:rFonts w:ascii="Times New Roman" w:hAnsi="Times New Roman" w:eastAsia="Times New Roman"/>
          <w:b w:val="0"/>
          <w:color w:val="2A2A2A"/>
          <w:sz w:val="21"/>
        </w:rPr>
        <w:t>COSTANZA R, D'ARGE R, DE GROOT R, et al. The value of the world's ecosystem services and natural capital[J]. Nature, 1997, 387(6630): 253-260.</w:t>
      </w:r>
    </w:p>
    <w:p>
      <w:pPr>
        <w:spacing w:line="360" w:lineRule="auto" w:after="80"/>
        <w:ind w:hanging="480" w:left="480"/>
      </w:pPr>
      <w:r>
        <w:rPr>
          <w:rFonts w:ascii="Times New Roman" w:hAnsi="Times New Roman" w:eastAsia="Times New Roman"/>
          <w:b/>
          <w:color w:val="0D3B2E"/>
          <w:sz w:val="21"/>
        </w:rPr>
        <w:t xml:space="preserve">[4] </w:t>
      </w:r>
      <w:r>
        <w:rPr>
          <w:rFonts w:ascii="Times New Roman" w:hAnsi="Times New Roman" w:eastAsia="Times New Roman"/>
          <w:b w:val="0"/>
          <w:color w:val="2A2A2A"/>
          <w:sz w:val="21"/>
        </w:rPr>
        <w:t>欧阳志云, 郑华, 董仁威, 等. 生态系统生产总值（GEP）核算理论与方法[J]. 生态学报, 2020, 40(16): 5437-5444.</w:t>
      </w:r>
    </w:p>
    <w:p>
      <w:pPr>
        <w:spacing w:line="360" w:lineRule="auto" w:after="80"/>
        <w:ind w:hanging="480" w:left="480"/>
      </w:pPr>
      <w:r>
        <w:rPr>
          <w:rFonts w:ascii="Times New Roman" w:hAnsi="Times New Roman" w:eastAsia="Times New Roman"/>
          <w:b/>
          <w:color w:val="0D3B2E"/>
          <w:sz w:val="21"/>
        </w:rPr>
        <w:t xml:space="preserve">[5] </w:t>
      </w:r>
      <w:r>
        <w:rPr>
          <w:rFonts w:ascii="Times New Roman" w:hAnsi="Times New Roman" w:eastAsia="Times New Roman"/>
          <w:b w:val="0"/>
          <w:color w:val="2A2A2A"/>
          <w:sz w:val="21"/>
        </w:rPr>
        <w:t>Saaty T L. The Analytic Hierarchy Process: Planning, Priority Setting, Resource Allocation[M]. New York: McGraw-Hill, 1980.</w:t>
      </w:r>
    </w:p>
    <w:p>
      <w:pPr>
        <w:spacing w:line="360" w:lineRule="auto" w:after="80"/>
        <w:ind w:hanging="480" w:left="480"/>
      </w:pPr>
      <w:r>
        <w:rPr>
          <w:rFonts w:ascii="Times New Roman" w:hAnsi="Times New Roman" w:eastAsia="Times New Roman"/>
          <w:b/>
          <w:color w:val="0D3B2E"/>
          <w:sz w:val="21"/>
        </w:rPr>
        <w:t xml:space="preserve">[6] </w:t>
      </w:r>
      <w:r>
        <w:rPr>
          <w:rFonts w:ascii="Times New Roman" w:hAnsi="Times New Roman" w:eastAsia="Times New Roman"/>
          <w:b w:val="0"/>
          <w:color w:val="2A2A2A"/>
          <w:sz w:val="21"/>
        </w:rPr>
        <w:t>高楠, 李慧, 王成. 基于耦合协调度模型的生态经济系统协调发展研究[J]. 生态经济, 2019, 35(7): 56-62.</w:t>
      </w:r>
    </w:p>
    <w:p>
      <w:pPr>
        <w:spacing w:line="360" w:lineRule="auto" w:after="80"/>
        <w:ind w:hanging="480" w:left="480"/>
      </w:pPr>
      <w:r>
        <w:rPr>
          <w:rFonts w:ascii="Times New Roman" w:hAnsi="Times New Roman" w:eastAsia="Times New Roman"/>
          <w:b/>
          <w:color w:val="0D3B2E"/>
          <w:sz w:val="21"/>
        </w:rPr>
        <w:t xml:space="preserve">[7] </w:t>
      </w:r>
      <w:r>
        <w:rPr>
          <w:rFonts w:ascii="Times New Roman" w:hAnsi="Times New Roman" w:eastAsia="Times New Roman"/>
          <w:b w:val="0"/>
          <w:color w:val="2A2A2A"/>
          <w:sz w:val="21"/>
        </w:rPr>
        <w:t>李芳林, 张明, 王丽. 基于 obstacle degree model 的乡村振兴制约因素识别[J]. 中国农村经济, 2021, (5): 78-92.</w:t>
      </w:r>
    </w:p>
    <w:p>
      <w:pPr>
        <w:spacing w:line="360" w:lineRule="auto" w:after="80"/>
        <w:ind w:hanging="480" w:left="480"/>
      </w:pPr>
      <w:r>
        <w:rPr>
          <w:rFonts w:ascii="Times New Roman" w:hAnsi="Times New Roman" w:eastAsia="Times New Roman"/>
          <w:b/>
          <w:color w:val="0D3B2E"/>
          <w:sz w:val="21"/>
        </w:rPr>
        <w:t xml:space="preserve">[8] </w:t>
      </w:r>
      <w:r>
        <w:rPr>
          <w:rFonts w:ascii="Times New Roman" w:hAnsi="Times New Roman" w:eastAsia="Times New Roman"/>
          <w:b w:val="0"/>
          <w:color w:val="2A2A2A"/>
          <w:sz w:val="21"/>
        </w:rPr>
        <w:t>WARD J H. Hierarchical grouping to optimize an objective function[J]. Journal of the American Statistical Association, 1963, 58(301): 236-244.</w:t>
      </w:r>
    </w:p>
    <w:p>
      <w:pPr>
        <w:spacing w:line="360" w:lineRule="auto" w:after="80"/>
        <w:ind w:hanging="480" w:left="480"/>
      </w:pPr>
      <w:r>
        <w:rPr>
          <w:rFonts w:ascii="Times New Roman" w:hAnsi="Times New Roman" w:eastAsia="Times New Roman"/>
          <w:b/>
          <w:color w:val="0D3B2E"/>
          <w:sz w:val="21"/>
        </w:rPr>
        <w:t xml:space="preserve">[9] </w:t>
      </w:r>
      <w:r>
        <w:rPr>
          <w:rFonts w:ascii="Times New Roman" w:hAnsi="Times New Roman" w:eastAsia="Times New Roman"/>
          <w:b w:val="0"/>
          <w:color w:val="2A2A2A"/>
          <w:sz w:val="21"/>
        </w:rPr>
        <w:t>DeepSeek-AI. DeepSeek-V3 Technical Report[R/OL]. (2024-12-27). https://github.com/deepseek-ai/DeepSeek-V3.</w:t>
      </w:r>
    </w:p>
    <w:p>
      <w:pPr>
        <w:spacing w:line="360" w:lineRule="auto" w:after="80"/>
        <w:ind w:hanging="480" w:left="480"/>
      </w:pPr>
      <w:r>
        <w:rPr>
          <w:rFonts w:ascii="Times New Roman" w:hAnsi="Times New Roman" w:eastAsia="Times New Roman"/>
          <w:b/>
          <w:color w:val="0D3B2E"/>
          <w:sz w:val="21"/>
        </w:rPr>
        <w:t xml:space="preserve">[10] </w:t>
      </w:r>
      <w:r>
        <w:rPr>
          <w:rFonts w:ascii="Times New Roman" w:hAnsi="Times New Roman" w:eastAsia="Times New Roman"/>
          <w:b w:val="0"/>
          <w:color w:val="2A2A2A"/>
          <w:sz w:val="21"/>
        </w:rPr>
        <w:t>Vue.js Team. Vue 3 Documentation[EB/OL]. (2024). https://vuejs.org.</w:t>
      </w:r>
    </w:p>
    <w:p>
      <w:pPr>
        <w:spacing w:line="360" w:lineRule="auto" w:after="80"/>
        <w:ind w:hanging="480" w:left="480"/>
      </w:pPr>
      <w:r>
        <w:rPr>
          <w:rFonts w:ascii="Times New Roman" w:hAnsi="Times New Roman" w:eastAsia="Times New Roman"/>
          <w:b/>
          <w:color w:val="0D3B2E"/>
          <w:sz w:val="21"/>
        </w:rPr>
        <w:t xml:space="preserve">[11] </w:t>
      </w:r>
      <w:r>
        <w:rPr>
          <w:rFonts w:ascii="Times New Roman" w:hAnsi="Times New Roman" w:eastAsia="Times New Roman"/>
          <w:b w:val="0"/>
          <w:color w:val="2A2A2A"/>
          <w:sz w:val="21"/>
        </w:rPr>
        <w:t>FastAPI Team. FastAPI Documentation[EB/OL]. (2024). https://fastapi.tiangolo.com.</w:t>
      </w:r>
    </w:p>
    <w:p>
      <w:pPr>
        <w:spacing w:line="360" w:lineRule="auto" w:after="80"/>
        <w:ind w:hanging="480" w:left="480"/>
      </w:pPr>
      <w:r>
        <w:rPr>
          <w:rFonts w:ascii="Times New Roman" w:hAnsi="Times New Roman" w:eastAsia="Times New Roman"/>
          <w:b/>
          <w:color w:val="0D3B2E"/>
          <w:sz w:val="21"/>
        </w:rPr>
        <w:t xml:space="preserve">[12] </w:t>
      </w:r>
      <w:r>
        <w:rPr>
          <w:rFonts w:ascii="Times New Roman" w:hAnsi="Times New Roman" w:eastAsia="Times New Roman"/>
          <w:b w:val="0"/>
          <w:color w:val="2A2A2A"/>
          <w:sz w:val="21"/>
        </w:rPr>
        <w:t>Element Plus Team. Element Plus Component Library[EB/OL]. (2024). https://element-plus.org.</w:t>
      </w:r>
    </w:p>
    <w:p>
      <w:pPr>
        <w:spacing w:line="360" w:lineRule="auto" w:after="80"/>
        <w:ind w:hanging="480" w:left="480"/>
      </w:pPr>
      <w:r>
        <w:rPr>
          <w:rFonts w:ascii="Times New Roman" w:hAnsi="Times New Roman" w:eastAsia="Times New Roman"/>
          <w:b/>
          <w:color w:val="0D3B2E"/>
          <w:sz w:val="21"/>
        </w:rPr>
        <w:t xml:space="preserve">[13] </w:t>
      </w:r>
      <w:r>
        <w:rPr>
          <w:rFonts w:ascii="Times New Roman" w:hAnsi="Times New Roman" w:eastAsia="Times New Roman"/>
          <w:b w:val="0"/>
          <w:color w:val="2A2A2A"/>
          <w:sz w:val="21"/>
        </w:rPr>
        <w:t>ECharts Team. Apache ECharts Documentation[EB/OL]. (2024). https://echarts.apache.org.</w:t>
      </w:r>
    </w:p>
    <w:p>
      <w:pPr>
        <w:spacing w:line="360" w:lineRule="auto" w:after="80"/>
        <w:ind w:hanging="480" w:left="480"/>
      </w:pPr>
      <w:r>
        <w:rPr>
          <w:rFonts w:ascii="Times New Roman" w:hAnsi="Times New Roman" w:eastAsia="Times New Roman"/>
          <w:b/>
          <w:color w:val="0D3B2E"/>
          <w:sz w:val="21"/>
        </w:rPr>
        <w:t xml:space="preserve">[14] </w:t>
      </w:r>
      <w:r>
        <w:rPr>
          <w:rFonts w:ascii="Times New Roman" w:hAnsi="Times New Roman" w:eastAsia="Times New Roman"/>
          <w:b w:val="0"/>
          <w:color w:val="2A2A2A"/>
          <w:sz w:val="21"/>
        </w:rPr>
        <w:t>倪红军, 陈志刚. 生态产品价值实现路径研究综述[J]. 中国人口·资源与环境, 2022, 32(8): 1-12.</w:t>
      </w:r>
    </w:p>
    <w:p>
      <w:pPr>
        <w:spacing w:line="360" w:lineRule="auto" w:after="80"/>
        <w:ind w:hanging="480" w:left="480"/>
      </w:pPr>
      <w:r>
        <w:rPr>
          <w:rFonts w:ascii="Times New Roman" w:hAnsi="Times New Roman" w:eastAsia="Times New Roman"/>
          <w:b/>
          <w:color w:val="0D3B2E"/>
          <w:sz w:val="21"/>
        </w:rPr>
        <w:t xml:space="preserve">[15] </w:t>
      </w:r>
      <w:r>
        <w:rPr>
          <w:rFonts w:ascii="Times New Roman" w:hAnsi="Times New Roman" w:eastAsia="Times New Roman"/>
          <w:b w:val="0"/>
          <w:color w:val="2A2A2A"/>
          <w:sz w:val="21"/>
        </w:rPr>
        <w:t>张晓明, 李志刚. 基于 AHP-熵权法的乡村振兴水平评价[J]. 农业经济问题, 2021, (10): 88-99.</w:t>
      </w:r>
    </w:p>
    <w:p>
      <w:r>
        <w:br w:type="page"/>
      </w:r>
    </w:p>
    <w:p>
      <w:pPr>
        <w:spacing w:line="360" w:lineRule="auto" w:before="0" w:after="360"/>
        <w:jc w:val="center"/>
        <w:pBdr>
          <w:bottom w:val="single" w:sz="12" w:space="4" w:color="0D3B2E"/>
        </w:pBdr>
      </w:pPr>
      <w:r>
        <w:rPr>
          <w:rFonts w:ascii="Times New Roman" w:hAnsi="Times New Roman" w:eastAsia="黑体"/>
          <w:b/>
          <w:color w:val="0D3B2E"/>
          <w:sz w:val="36"/>
        </w:rPr>
        <w:t>附录 A 指标体系完整权重表</w:t>
      </w:r>
    </w:p>
    <w:p>
      <w:pPr>
        <w:spacing w:line="360" w:lineRule="auto" w:before="240" w:after="120"/>
        <w:jc w:val="left"/>
      </w:pPr>
      <w:r>
        <w:rPr>
          <w:rFonts w:ascii="Times New Roman" w:hAnsi="Times New Roman" w:eastAsia="黑体"/>
          <w:b/>
          <w:color w:val="0D3B2E"/>
          <w:sz w:val="28"/>
        </w:rPr>
        <w:t>A.1 生态产品价值实现成效评价指标（11 项）</w:t>
      </w:r>
    </w:p>
    <w:p>
      <w:pPr>
        <w:spacing w:before="120" w:after="60"/>
        <w:jc w:val="center"/>
      </w:pPr>
      <w:r>
        <w:rPr>
          <w:rFonts w:ascii="Times New Roman" w:hAnsi="Times New Roman" w:eastAsia="黑体"/>
          <w:b/>
          <w:color w:val="0D3B2E"/>
          <w:sz w:val="21"/>
        </w:rPr>
        <w:t>表 A-1 生态产品价值实现成效指标体系</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078"/>
        <w:gridCol w:w="2078"/>
        <w:gridCol w:w="2078"/>
        <w:gridCol w:w="2078"/>
      </w:tblGrid>
      <w:tr>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序号</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指标名称</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准则层</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组合权重</w:t>
            </w:r>
          </w:p>
        </w:tc>
      </w:tr>
      <w:tr>
        <w:tc>
          <w:tcPr>
            <w:tcW w:type="dxa" w:w="2078"/>
            <w:vAlign w:val="center"/>
          </w:tcPr>
          <w:p>
            <w:pPr>
              <w:jc w:val="left"/>
            </w:pPr>
            <w:r/>
            <w:r>
              <w:rPr>
                <w:rFonts w:ascii="Times New Roman" w:hAnsi="Times New Roman" w:eastAsia="宋体"/>
                <w:b w:val="0"/>
                <w:color w:val="2A2A2A"/>
                <w:sz w:val="21"/>
              </w:rPr>
              <w:t>1</w:t>
            </w:r>
          </w:p>
        </w:tc>
        <w:tc>
          <w:tcPr>
            <w:tcW w:type="dxa" w:w="2078"/>
            <w:vAlign w:val="center"/>
          </w:tcPr>
          <w:p>
            <w:pPr>
              <w:jc w:val="center"/>
            </w:pPr>
            <w:r/>
            <w:r>
              <w:rPr>
                <w:rFonts w:ascii="Times New Roman" w:hAnsi="Times New Roman" w:eastAsia="宋体"/>
                <w:b w:val="0"/>
                <w:color w:val="2A2A2A"/>
                <w:sz w:val="21"/>
              </w:rPr>
              <w:t>重要生态功能保护区面积（公顷）</w:t>
            </w:r>
          </w:p>
        </w:tc>
        <w:tc>
          <w:tcPr>
            <w:tcW w:type="dxa" w:w="2078"/>
            <w:vAlign w:val="center"/>
          </w:tcPr>
          <w:p>
            <w:pPr>
              <w:jc w:val="center"/>
            </w:pPr>
            <w:r/>
            <w:r>
              <w:rPr>
                <w:rFonts w:ascii="Times New Roman" w:hAnsi="Times New Roman" w:eastAsia="宋体"/>
                <w:b w:val="0"/>
                <w:color w:val="2A2A2A"/>
                <w:sz w:val="21"/>
              </w:rPr>
              <w:t>生态效益</w:t>
            </w:r>
          </w:p>
        </w:tc>
        <w:tc>
          <w:tcPr>
            <w:tcW w:type="dxa" w:w="2078"/>
            <w:vAlign w:val="center"/>
          </w:tcPr>
          <w:p>
            <w:pPr>
              <w:jc w:val="center"/>
            </w:pPr>
            <w:r/>
            <w:r>
              <w:rPr>
                <w:rFonts w:ascii="Times New Roman" w:hAnsi="Times New Roman" w:eastAsia="宋体"/>
                <w:b w:val="0"/>
                <w:color w:val="2A2A2A"/>
                <w:sz w:val="21"/>
              </w:rPr>
              <w:t>0.1283</w:t>
            </w:r>
          </w:p>
        </w:tc>
      </w:tr>
      <w:tr>
        <w:tc>
          <w:tcPr>
            <w:tcW w:type="dxa" w:w="2078"/>
            <w:vAlign w:val="center"/>
          </w:tcPr>
          <w:p>
            <w:pPr>
              <w:jc w:val="left"/>
            </w:pPr>
            <w:r/>
            <w:r>
              <w:rPr>
                <w:rFonts w:ascii="Times New Roman" w:hAnsi="Times New Roman" w:eastAsia="宋体"/>
                <w:b w:val="0"/>
                <w:color w:val="2A2A2A"/>
                <w:sz w:val="21"/>
              </w:rPr>
              <w:t>2</w:t>
            </w:r>
          </w:p>
        </w:tc>
        <w:tc>
          <w:tcPr>
            <w:tcW w:type="dxa" w:w="2078"/>
            <w:vAlign w:val="center"/>
          </w:tcPr>
          <w:p>
            <w:pPr>
              <w:jc w:val="center"/>
            </w:pPr>
            <w:r/>
            <w:r>
              <w:rPr>
                <w:rFonts w:ascii="Times New Roman" w:hAnsi="Times New Roman" w:eastAsia="宋体"/>
                <w:b w:val="0"/>
                <w:color w:val="2A2A2A"/>
                <w:sz w:val="21"/>
              </w:rPr>
              <w:t>主要水体水质断面达标率（%）</w:t>
            </w:r>
          </w:p>
        </w:tc>
        <w:tc>
          <w:tcPr>
            <w:tcW w:type="dxa" w:w="2078"/>
            <w:vAlign w:val="center"/>
          </w:tcPr>
          <w:p>
            <w:pPr>
              <w:jc w:val="center"/>
            </w:pPr>
            <w:r/>
            <w:r>
              <w:rPr>
                <w:rFonts w:ascii="Times New Roman" w:hAnsi="Times New Roman" w:eastAsia="宋体"/>
                <w:b w:val="0"/>
                <w:color w:val="2A2A2A"/>
                <w:sz w:val="21"/>
              </w:rPr>
              <w:t>生态效益</w:t>
            </w:r>
          </w:p>
        </w:tc>
        <w:tc>
          <w:tcPr>
            <w:tcW w:type="dxa" w:w="2078"/>
            <w:vAlign w:val="center"/>
          </w:tcPr>
          <w:p>
            <w:pPr>
              <w:jc w:val="center"/>
            </w:pPr>
            <w:r/>
            <w:r>
              <w:rPr>
                <w:rFonts w:ascii="Times New Roman" w:hAnsi="Times New Roman" w:eastAsia="宋体"/>
                <w:b w:val="0"/>
                <w:color w:val="2A2A2A"/>
                <w:sz w:val="21"/>
              </w:rPr>
              <w:t>0.0074</w:t>
            </w:r>
          </w:p>
        </w:tc>
      </w:tr>
      <w:tr>
        <w:tc>
          <w:tcPr>
            <w:tcW w:type="dxa" w:w="2078"/>
            <w:vAlign w:val="center"/>
          </w:tcPr>
          <w:p>
            <w:pPr>
              <w:jc w:val="left"/>
            </w:pPr>
            <w:r/>
            <w:r>
              <w:rPr>
                <w:rFonts w:ascii="Times New Roman" w:hAnsi="Times New Roman" w:eastAsia="宋体"/>
                <w:b w:val="0"/>
                <w:color w:val="2A2A2A"/>
                <w:sz w:val="21"/>
              </w:rPr>
              <w:t>3</w:t>
            </w:r>
          </w:p>
        </w:tc>
        <w:tc>
          <w:tcPr>
            <w:tcW w:type="dxa" w:w="2078"/>
            <w:vAlign w:val="center"/>
          </w:tcPr>
          <w:p>
            <w:pPr>
              <w:jc w:val="center"/>
            </w:pPr>
            <w:r/>
            <w:r>
              <w:rPr>
                <w:rFonts w:ascii="Times New Roman" w:hAnsi="Times New Roman" w:eastAsia="宋体"/>
                <w:b w:val="0"/>
                <w:color w:val="2A2A2A"/>
                <w:sz w:val="21"/>
              </w:rPr>
              <w:t>空气环境质量优良率（%）</w:t>
            </w:r>
          </w:p>
        </w:tc>
        <w:tc>
          <w:tcPr>
            <w:tcW w:type="dxa" w:w="2078"/>
            <w:vAlign w:val="center"/>
          </w:tcPr>
          <w:p>
            <w:pPr>
              <w:jc w:val="center"/>
            </w:pPr>
            <w:r/>
            <w:r>
              <w:rPr>
                <w:rFonts w:ascii="Times New Roman" w:hAnsi="Times New Roman" w:eastAsia="宋体"/>
                <w:b w:val="0"/>
                <w:color w:val="2A2A2A"/>
                <w:sz w:val="21"/>
              </w:rPr>
              <w:t>生态效益</w:t>
            </w:r>
          </w:p>
        </w:tc>
        <w:tc>
          <w:tcPr>
            <w:tcW w:type="dxa" w:w="2078"/>
            <w:vAlign w:val="center"/>
          </w:tcPr>
          <w:p>
            <w:pPr>
              <w:jc w:val="center"/>
            </w:pPr>
            <w:r/>
            <w:r>
              <w:rPr>
                <w:rFonts w:ascii="Times New Roman" w:hAnsi="Times New Roman" w:eastAsia="宋体"/>
                <w:b w:val="0"/>
                <w:color w:val="2A2A2A"/>
                <w:sz w:val="21"/>
              </w:rPr>
              <w:t>0.0889</w:t>
            </w:r>
          </w:p>
        </w:tc>
      </w:tr>
      <w:tr>
        <w:tc>
          <w:tcPr>
            <w:tcW w:type="dxa" w:w="2078"/>
            <w:vAlign w:val="center"/>
          </w:tcPr>
          <w:p>
            <w:pPr>
              <w:jc w:val="left"/>
            </w:pPr>
            <w:r/>
            <w:r>
              <w:rPr>
                <w:rFonts w:ascii="Times New Roman" w:hAnsi="Times New Roman" w:eastAsia="宋体"/>
                <w:b w:val="0"/>
                <w:color w:val="2A2A2A"/>
                <w:sz w:val="21"/>
              </w:rPr>
              <w:t>4</w:t>
            </w:r>
          </w:p>
        </w:tc>
        <w:tc>
          <w:tcPr>
            <w:tcW w:type="dxa" w:w="2078"/>
            <w:vAlign w:val="center"/>
          </w:tcPr>
          <w:p>
            <w:pPr>
              <w:jc w:val="center"/>
            </w:pPr>
            <w:r/>
            <w:r>
              <w:rPr>
                <w:rFonts w:ascii="Times New Roman" w:hAnsi="Times New Roman" w:eastAsia="宋体"/>
                <w:b w:val="0"/>
                <w:color w:val="2A2A2A"/>
                <w:sz w:val="21"/>
              </w:rPr>
              <w:t>地区生产总值（万元）</w:t>
            </w:r>
          </w:p>
        </w:tc>
        <w:tc>
          <w:tcPr>
            <w:tcW w:type="dxa" w:w="2078"/>
            <w:vAlign w:val="center"/>
          </w:tcPr>
          <w:p>
            <w:pPr>
              <w:jc w:val="center"/>
            </w:pPr>
            <w:r/>
            <w:r>
              <w:rPr>
                <w:rFonts w:ascii="Times New Roman" w:hAnsi="Times New Roman" w:eastAsia="宋体"/>
                <w:b w:val="0"/>
                <w:color w:val="2A2A2A"/>
                <w:sz w:val="21"/>
              </w:rPr>
              <w:t>经济效益</w:t>
            </w:r>
          </w:p>
        </w:tc>
        <w:tc>
          <w:tcPr>
            <w:tcW w:type="dxa" w:w="2078"/>
            <w:vAlign w:val="center"/>
          </w:tcPr>
          <w:p>
            <w:pPr>
              <w:jc w:val="center"/>
            </w:pPr>
            <w:r/>
            <w:r>
              <w:rPr>
                <w:rFonts w:ascii="Times New Roman" w:hAnsi="Times New Roman" w:eastAsia="宋体"/>
                <w:b w:val="0"/>
                <w:color w:val="2A2A2A"/>
                <w:sz w:val="21"/>
              </w:rPr>
              <w:t>0.2676</w:t>
            </w:r>
          </w:p>
        </w:tc>
      </w:tr>
      <w:tr>
        <w:tc>
          <w:tcPr>
            <w:tcW w:type="dxa" w:w="2078"/>
            <w:vAlign w:val="center"/>
          </w:tcPr>
          <w:p>
            <w:pPr>
              <w:jc w:val="left"/>
            </w:pPr>
            <w:r/>
            <w:r>
              <w:rPr>
                <w:rFonts w:ascii="Times New Roman" w:hAnsi="Times New Roman" w:eastAsia="宋体"/>
                <w:b w:val="0"/>
                <w:color w:val="2A2A2A"/>
                <w:sz w:val="21"/>
              </w:rPr>
              <w:t>5</w:t>
            </w:r>
          </w:p>
        </w:tc>
        <w:tc>
          <w:tcPr>
            <w:tcW w:type="dxa" w:w="2078"/>
            <w:vAlign w:val="center"/>
          </w:tcPr>
          <w:p>
            <w:pPr>
              <w:jc w:val="center"/>
            </w:pPr>
            <w:r/>
            <w:r>
              <w:rPr>
                <w:rFonts w:ascii="Times New Roman" w:hAnsi="Times New Roman" w:eastAsia="宋体"/>
                <w:b w:val="0"/>
                <w:color w:val="2A2A2A"/>
                <w:sz w:val="21"/>
              </w:rPr>
              <w:t>全区粮食播种面积（公顷）</w:t>
            </w:r>
          </w:p>
        </w:tc>
        <w:tc>
          <w:tcPr>
            <w:tcW w:type="dxa" w:w="2078"/>
            <w:vAlign w:val="center"/>
          </w:tcPr>
          <w:p>
            <w:pPr>
              <w:jc w:val="center"/>
            </w:pPr>
            <w:r/>
            <w:r>
              <w:rPr>
                <w:rFonts w:ascii="Times New Roman" w:hAnsi="Times New Roman" w:eastAsia="宋体"/>
                <w:b w:val="0"/>
                <w:color w:val="2A2A2A"/>
                <w:sz w:val="21"/>
              </w:rPr>
              <w:t>经济效益</w:t>
            </w:r>
          </w:p>
        </w:tc>
        <w:tc>
          <w:tcPr>
            <w:tcW w:type="dxa" w:w="2078"/>
            <w:vAlign w:val="center"/>
          </w:tcPr>
          <w:p>
            <w:pPr>
              <w:jc w:val="center"/>
            </w:pPr>
            <w:r/>
            <w:r>
              <w:rPr>
                <w:rFonts w:ascii="Times New Roman" w:hAnsi="Times New Roman" w:eastAsia="宋体"/>
                <w:b w:val="0"/>
                <w:color w:val="2A2A2A"/>
                <w:sz w:val="21"/>
              </w:rPr>
              <w:t>0.1978</w:t>
            </w:r>
          </w:p>
        </w:tc>
      </w:tr>
      <w:tr>
        <w:tc>
          <w:tcPr>
            <w:tcW w:type="dxa" w:w="2078"/>
            <w:vAlign w:val="center"/>
          </w:tcPr>
          <w:p>
            <w:pPr>
              <w:jc w:val="left"/>
            </w:pPr>
            <w:r/>
            <w:r>
              <w:rPr>
                <w:rFonts w:ascii="Times New Roman" w:hAnsi="Times New Roman" w:eastAsia="宋体"/>
                <w:b w:val="0"/>
                <w:color w:val="2A2A2A"/>
                <w:sz w:val="21"/>
              </w:rPr>
              <w:t>6</w:t>
            </w:r>
          </w:p>
        </w:tc>
        <w:tc>
          <w:tcPr>
            <w:tcW w:type="dxa" w:w="2078"/>
            <w:vAlign w:val="center"/>
          </w:tcPr>
          <w:p>
            <w:pPr>
              <w:jc w:val="center"/>
            </w:pPr>
            <w:r/>
            <w:r>
              <w:rPr>
                <w:rFonts w:ascii="Times New Roman" w:hAnsi="Times New Roman" w:eastAsia="宋体"/>
                <w:b w:val="0"/>
                <w:color w:val="2A2A2A"/>
                <w:sz w:val="21"/>
              </w:rPr>
              <w:t>农产品产出（吨）</w:t>
            </w:r>
          </w:p>
        </w:tc>
        <w:tc>
          <w:tcPr>
            <w:tcW w:type="dxa" w:w="2078"/>
            <w:vAlign w:val="center"/>
          </w:tcPr>
          <w:p>
            <w:pPr>
              <w:jc w:val="center"/>
            </w:pPr>
            <w:r/>
            <w:r>
              <w:rPr>
                <w:rFonts w:ascii="Times New Roman" w:hAnsi="Times New Roman" w:eastAsia="宋体"/>
                <w:b w:val="0"/>
                <w:color w:val="2A2A2A"/>
                <w:sz w:val="21"/>
              </w:rPr>
              <w:t>经济效益</w:t>
            </w:r>
          </w:p>
        </w:tc>
        <w:tc>
          <w:tcPr>
            <w:tcW w:type="dxa" w:w="2078"/>
            <w:vAlign w:val="center"/>
          </w:tcPr>
          <w:p>
            <w:pPr>
              <w:jc w:val="center"/>
            </w:pPr>
            <w:r/>
            <w:r>
              <w:rPr>
                <w:rFonts w:ascii="Times New Roman" w:hAnsi="Times New Roman" w:eastAsia="宋体"/>
                <w:b w:val="0"/>
                <w:color w:val="2A2A2A"/>
                <w:sz w:val="21"/>
              </w:rPr>
              <w:t>0.1738</w:t>
            </w:r>
          </w:p>
        </w:tc>
      </w:tr>
      <w:tr>
        <w:tc>
          <w:tcPr>
            <w:tcW w:type="dxa" w:w="2078"/>
            <w:vAlign w:val="center"/>
          </w:tcPr>
          <w:p>
            <w:pPr>
              <w:jc w:val="left"/>
            </w:pPr>
            <w:r/>
            <w:r>
              <w:rPr>
                <w:rFonts w:ascii="Times New Roman" w:hAnsi="Times New Roman" w:eastAsia="宋体"/>
                <w:b w:val="0"/>
                <w:color w:val="2A2A2A"/>
                <w:sz w:val="21"/>
              </w:rPr>
              <w:t>7</w:t>
            </w:r>
          </w:p>
        </w:tc>
        <w:tc>
          <w:tcPr>
            <w:tcW w:type="dxa" w:w="2078"/>
            <w:vAlign w:val="center"/>
          </w:tcPr>
          <w:p>
            <w:pPr>
              <w:jc w:val="center"/>
            </w:pPr>
            <w:r/>
            <w:r>
              <w:rPr>
                <w:rFonts w:ascii="Times New Roman" w:hAnsi="Times New Roman" w:eastAsia="宋体"/>
                <w:b w:val="0"/>
                <w:color w:val="2A2A2A"/>
                <w:sz w:val="21"/>
              </w:rPr>
              <w:t>常住人口城镇化率（%）</w:t>
            </w:r>
          </w:p>
        </w:tc>
        <w:tc>
          <w:tcPr>
            <w:tcW w:type="dxa" w:w="2078"/>
            <w:vAlign w:val="center"/>
          </w:tcPr>
          <w:p>
            <w:pPr>
              <w:jc w:val="center"/>
            </w:pPr>
            <w:r/>
            <w:r>
              <w:rPr>
                <w:rFonts w:ascii="Times New Roman" w:hAnsi="Times New Roman" w:eastAsia="宋体"/>
                <w:b w:val="0"/>
                <w:color w:val="2A2A2A"/>
                <w:sz w:val="21"/>
              </w:rPr>
              <w:t>社会效益</w:t>
            </w:r>
          </w:p>
        </w:tc>
        <w:tc>
          <w:tcPr>
            <w:tcW w:type="dxa" w:w="2078"/>
            <w:vAlign w:val="center"/>
          </w:tcPr>
          <w:p>
            <w:pPr>
              <w:jc w:val="center"/>
            </w:pPr>
            <w:r/>
            <w:r>
              <w:rPr>
                <w:rFonts w:ascii="Times New Roman" w:hAnsi="Times New Roman" w:eastAsia="宋体"/>
                <w:b w:val="0"/>
                <w:color w:val="2A2A2A"/>
                <w:sz w:val="21"/>
              </w:rPr>
              <w:t>0.0066</w:t>
            </w:r>
          </w:p>
        </w:tc>
      </w:tr>
      <w:tr>
        <w:tc>
          <w:tcPr>
            <w:tcW w:type="dxa" w:w="2078"/>
            <w:vAlign w:val="center"/>
          </w:tcPr>
          <w:p>
            <w:pPr>
              <w:jc w:val="left"/>
            </w:pPr>
            <w:r/>
            <w:r>
              <w:rPr>
                <w:rFonts w:ascii="Times New Roman" w:hAnsi="Times New Roman" w:eastAsia="宋体"/>
                <w:b w:val="0"/>
                <w:color w:val="2A2A2A"/>
                <w:sz w:val="21"/>
              </w:rPr>
              <w:t>8</w:t>
            </w:r>
          </w:p>
        </w:tc>
        <w:tc>
          <w:tcPr>
            <w:tcW w:type="dxa" w:w="2078"/>
            <w:vAlign w:val="center"/>
          </w:tcPr>
          <w:p>
            <w:pPr>
              <w:jc w:val="center"/>
            </w:pPr>
            <w:r/>
            <w:r>
              <w:rPr>
                <w:rFonts w:ascii="Times New Roman" w:hAnsi="Times New Roman" w:eastAsia="宋体"/>
                <w:b w:val="0"/>
                <w:color w:val="2A2A2A"/>
                <w:sz w:val="21"/>
              </w:rPr>
              <w:t>新增就业人数（人）</w:t>
            </w:r>
          </w:p>
        </w:tc>
        <w:tc>
          <w:tcPr>
            <w:tcW w:type="dxa" w:w="2078"/>
            <w:vAlign w:val="center"/>
          </w:tcPr>
          <w:p>
            <w:pPr>
              <w:jc w:val="center"/>
            </w:pPr>
            <w:r/>
            <w:r>
              <w:rPr>
                <w:rFonts w:ascii="Times New Roman" w:hAnsi="Times New Roman" w:eastAsia="宋体"/>
                <w:b w:val="0"/>
                <w:color w:val="2A2A2A"/>
                <w:sz w:val="21"/>
              </w:rPr>
              <w:t>社会效益</w:t>
            </w:r>
          </w:p>
        </w:tc>
        <w:tc>
          <w:tcPr>
            <w:tcW w:type="dxa" w:w="2078"/>
            <w:vAlign w:val="center"/>
          </w:tcPr>
          <w:p>
            <w:pPr>
              <w:jc w:val="center"/>
            </w:pPr>
            <w:r/>
            <w:r>
              <w:rPr>
                <w:rFonts w:ascii="Times New Roman" w:hAnsi="Times New Roman" w:eastAsia="宋体"/>
                <w:b w:val="0"/>
                <w:color w:val="2A2A2A"/>
                <w:sz w:val="21"/>
              </w:rPr>
              <w:t>0.0486</w:t>
            </w:r>
          </w:p>
        </w:tc>
      </w:tr>
      <w:tr>
        <w:tc>
          <w:tcPr>
            <w:tcW w:type="dxa" w:w="2078"/>
            <w:vAlign w:val="center"/>
          </w:tcPr>
          <w:p>
            <w:pPr>
              <w:jc w:val="left"/>
            </w:pPr>
            <w:r/>
            <w:r>
              <w:rPr>
                <w:rFonts w:ascii="Times New Roman" w:hAnsi="Times New Roman" w:eastAsia="宋体"/>
                <w:b w:val="0"/>
                <w:color w:val="2A2A2A"/>
                <w:sz w:val="21"/>
              </w:rPr>
              <w:t>9</w:t>
            </w:r>
          </w:p>
        </w:tc>
        <w:tc>
          <w:tcPr>
            <w:tcW w:type="dxa" w:w="2078"/>
            <w:vAlign w:val="center"/>
          </w:tcPr>
          <w:p>
            <w:pPr>
              <w:jc w:val="center"/>
            </w:pPr>
            <w:r/>
            <w:r>
              <w:rPr>
                <w:rFonts w:ascii="Times New Roman" w:hAnsi="Times New Roman" w:eastAsia="宋体"/>
                <w:b w:val="0"/>
                <w:color w:val="2A2A2A"/>
                <w:sz w:val="21"/>
              </w:rPr>
              <w:t>农村居民人均可支配收入（元）</w:t>
            </w:r>
          </w:p>
        </w:tc>
        <w:tc>
          <w:tcPr>
            <w:tcW w:type="dxa" w:w="2078"/>
            <w:vAlign w:val="center"/>
          </w:tcPr>
          <w:p>
            <w:pPr>
              <w:jc w:val="center"/>
            </w:pPr>
            <w:r/>
            <w:r>
              <w:rPr>
                <w:rFonts w:ascii="Times New Roman" w:hAnsi="Times New Roman" w:eastAsia="宋体"/>
                <w:b w:val="0"/>
                <w:color w:val="2A2A2A"/>
                <w:sz w:val="21"/>
              </w:rPr>
              <w:t>社会效益</w:t>
            </w:r>
          </w:p>
        </w:tc>
        <w:tc>
          <w:tcPr>
            <w:tcW w:type="dxa" w:w="2078"/>
            <w:vAlign w:val="center"/>
          </w:tcPr>
          <w:p>
            <w:pPr>
              <w:jc w:val="center"/>
            </w:pPr>
            <w:r/>
            <w:r>
              <w:rPr>
                <w:rFonts w:ascii="Times New Roman" w:hAnsi="Times New Roman" w:eastAsia="宋体"/>
                <w:b w:val="0"/>
                <w:color w:val="2A2A2A"/>
                <w:sz w:val="21"/>
              </w:rPr>
              <w:t>0.0346</w:t>
            </w:r>
          </w:p>
        </w:tc>
      </w:tr>
      <w:tr>
        <w:tc>
          <w:tcPr>
            <w:tcW w:type="dxa" w:w="2078"/>
            <w:vAlign w:val="center"/>
          </w:tcPr>
          <w:p>
            <w:pPr>
              <w:jc w:val="left"/>
            </w:pPr>
            <w:r/>
            <w:r>
              <w:rPr>
                <w:rFonts w:ascii="Times New Roman" w:hAnsi="Times New Roman" w:eastAsia="宋体"/>
                <w:b w:val="0"/>
                <w:color w:val="2A2A2A"/>
                <w:sz w:val="21"/>
              </w:rPr>
              <w:t>10</w:t>
            </w:r>
          </w:p>
        </w:tc>
        <w:tc>
          <w:tcPr>
            <w:tcW w:type="dxa" w:w="2078"/>
            <w:vAlign w:val="center"/>
          </w:tcPr>
          <w:p>
            <w:pPr>
              <w:jc w:val="center"/>
            </w:pPr>
            <w:r/>
            <w:r>
              <w:rPr>
                <w:rFonts w:ascii="Times New Roman" w:hAnsi="Times New Roman" w:eastAsia="宋体"/>
                <w:b w:val="0"/>
                <w:color w:val="2A2A2A"/>
                <w:sz w:val="21"/>
              </w:rPr>
              <w:t>城乡低保标准（元/月）</w:t>
            </w:r>
          </w:p>
        </w:tc>
        <w:tc>
          <w:tcPr>
            <w:tcW w:type="dxa" w:w="2078"/>
            <w:vAlign w:val="center"/>
          </w:tcPr>
          <w:p>
            <w:pPr>
              <w:jc w:val="center"/>
            </w:pPr>
            <w:r/>
            <w:r>
              <w:rPr>
                <w:rFonts w:ascii="Times New Roman" w:hAnsi="Times New Roman" w:eastAsia="宋体"/>
                <w:b w:val="0"/>
                <w:color w:val="2A2A2A"/>
                <w:sz w:val="21"/>
              </w:rPr>
              <w:t>社会效益</w:t>
            </w:r>
          </w:p>
        </w:tc>
        <w:tc>
          <w:tcPr>
            <w:tcW w:type="dxa" w:w="2078"/>
            <w:vAlign w:val="center"/>
          </w:tcPr>
          <w:p>
            <w:pPr>
              <w:jc w:val="center"/>
            </w:pPr>
            <w:r/>
            <w:r>
              <w:rPr>
                <w:rFonts w:ascii="Times New Roman" w:hAnsi="Times New Roman" w:eastAsia="宋体"/>
                <w:b w:val="0"/>
                <w:color w:val="2A2A2A"/>
                <w:sz w:val="21"/>
              </w:rPr>
              <w:t>0.0161</w:t>
            </w:r>
          </w:p>
        </w:tc>
      </w:tr>
      <w:tr>
        <w:tc>
          <w:tcPr>
            <w:tcW w:type="dxa" w:w="2078"/>
            <w:vAlign w:val="center"/>
            <w:tcBorders>
              <w:bottom w:val="single" w:sz="12" w:color="000000"/>
            </w:tcBorders>
          </w:tcPr>
          <w:p>
            <w:pPr>
              <w:jc w:val="left"/>
            </w:pPr>
            <w:r/>
            <w:r>
              <w:rPr>
                <w:rFonts w:ascii="Times New Roman" w:hAnsi="Times New Roman" w:eastAsia="宋体"/>
                <w:b w:val="0"/>
                <w:color w:val="2A2A2A"/>
                <w:sz w:val="21"/>
              </w:rPr>
              <w:t>11</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一般公共服务支出（万元）</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社会效益</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0.0304</w:t>
            </w:r>
          </w:p>
        </w:tc>
      </w:tr>
    </w:tbl>
    <w:p>
      <w:pPr>
        <w:spacing w:line="360" w:lineRule="auto" w:before="240" w:after="120"/>
        <w:jc w:val="left"/>
      </w:pPr>
      <w:r>
        <w:rPr>
          <w:rFonts w:ascii="Times New Roman" w:hAnsi="Times New Roman" w:eastAsia="黑体"/>
          <w:b/>
          <w:color w:val="0D3B2E"/>
          <w:sz w:val="28"/>
        </w:rPr>
        <w:t>A.2 乡村振兴水平评价指标（15 项）</w:t>
      </w:r>
    </w:p>
    <w:p>
      <w:pPr>
        <w:spacing w:before="120" w:after="60"/>
        <w:jc w:val="center"/>
      </w:pPr>
      <w:r>
        <w:rPr>
          <w:rFonts w:ascii="Times New Roman" w:hAnsi="Times New Roman" w:eastAsia="黑体"/>
          <w:b/>
          <w:color w:val="0D3B2E"/>
          <w:sz w:val="21"/>
        </w:rPr>
        <w:t>表 A-2 乡村振兴水平指标体系</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078"/>
        <w:gridCol w:w="2078"/>
        <w:gridCol w:w="2078"/>
        <w:gridCol w:w="2078"/>
      </w:tblGrid>
      <w:tr>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序号</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指标名称</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维度</w:t>
            </w:r>
          </w:p>
        </w:tc>
        <w:tc>
          <w:tcPr>
            <w:tcW w:type="dxa" w:w="2078"/>
            <w:vAlign w:val="center"/>
            <w:tcBorders>
              <w:top w:val="single" w:sz="12" w:color="000000"/>
              <w:bottom w:val="single" w:sz="6" w:color="000000"/>
            </w:tcBorders>
          </w:tcPr>
          <w:p>
            <w:pPr>
              <w:jc w:val="center"/>
            </w:pPr>
            <w:r/>
            <w:r>
              <w:rPr>
                <w:rFonts w:ascii="Times New Roman" w:hAnsi="Times New Roman" w:eastAsia="黑体"/>
                <w:b/>
                <w:color w:val="0D3B2E"/>
                <w:sz w:val="21"/>
              </w:rPr>
              <w:t>组合权重</w:t>
            </w:r>
          </w:p>
        </w:tc>
      </w:tr>
      <w:tr>
        <w:tc>
          <w:tcPr>
            <w:tcW w:type="dxa" w:w="2078"/>
            <w:vAlign w:val="center"/>
          </w:tcPr>
          <w:p>
            <w:pPr>
              <w:jc w:val="left"/>
            </w:pPr>
            <w:r/>
            <w:r>
              <w:rPr>
                <w:rFonts w:ascii="Times New Roman" w:hAnsi="Times New Roman" w:eastAsia="宋体"/>
                <w:b w:val="0"/>
                <w:color w:val="2A2A2A"/>
                <w:sz w:val="21"/>
              </w:rPr>
              <w:t>1</w:t>
            </w:r>
          </w:p>
        </w:tc>
        <w:tc>
          <w:tcPr>
            <w:tcW w:type="dxa" w:w="2078"/>
            <w:vAlign w:val="center"/>
          </w:tcPr>
          <w:p>
            <w:pPr>
              <w:jc w:val="center"/>
            </w:pPr>
            <w:r/>
            <w:r>
              <w:rPr>
                <w:rFonts w:ascii="Times New Roman" w:hAnsi="Times New Roman" w:eastAsia="宋体"/>
                <w:b w:val="0"/>
                <w:color w:val="2A2A2A"/>
                <w:sz w:val="21"/>
              </w:rPr>
              <w:t>粮食总产量（吨）</w:t>
            </w:r>
          </w:p>
        </w:tc>
        <w:tc>
          <w:tcPr>
            <w:tcW w:type="dxa" w:w="2078"/>
            <w:vAlign w:val="center"/>
          </w:tcPr>
          <w:p>
            <w:pPr>
              <w:jc w:val="center"/>
            </w:pPr>
            <w:r/>
            <w:r>
              <w:rPr>
                <w:rFonts w:ascii="Times New Roman" w:hAnsi="Times New Roman" w:eastAsia="宋体"/>
                <w:b w:val="0"/>
                <w:color w:val="2A2A2A"/>
                <w:sz w:val="21"/>
              </w:rPr>
              <w:t>产业兴旺</w:t>
            </w:r>
          </w:p>
        </w:tc>
        <w:tc>
          <w:tcPr>
            <w:tcW w:type="dxa" w:w="2078"/>
            <w:vAlign w:val="center"/>
          </w:tcPr>
          <w:p>
            <w:pPr>
              <w:jc w:val="center"/>
            </w:pPr>
            <w:r/>
            <w:r>
              <w:rPr>
                <w:rFonts w:ascii="Times New Roman" w:hAnsi="Times New Roman" w:eastAsia="宋体"/>
                <w:b w:val="0"/>
                <w:color w:val="2A2A2A"/>
                <w:sz w:val="21"/>
              </w:rPr>
              <w:t>0.2140</w:t>
            </w:r>
          </w:p>
        </w:tc>
      </w:tr>
      <w:tr>
        <w:tc>
          <w:tcPr>
            <w:tcW w:type="dxa" w:w="2078"/>
            <w:vAlign w:val="center"/>
          </w:tcPr>
          <w:p>
            <w:pPr>
              <w:jc w:val="left"/>
            </w:pPr>
            <w:r/>
            <w:r>
              <w:rPr>
                <w:rFonts w:ascii="Times New Roman" w:hAnsi="Times New Roman" w:eastAsia="宋体"/>
                <w:b w:val="0"/>
                <w:color w:val="2A2A2A"/>
                <w:sz w:val="21"/>
              </w:rPr>
              <w:t>2</w:t>
            </w:r>
          </w:p>
        </w:tc>
        <w:tc>
          <w:tcPr>
            <w:tcW w:type="dxa" w:w="2078"/>
            <w:vAlign w:val="center"/>
          </w:tcPr>
          <w:p>
            <w:pPr>
              <w:jc w:val="center"/>
            </w:pPr>
            <w:r/>
            <w:r>
              <w:rPr>
                <w:rFonts w:ascii="Times New Roman" w:hAnsi="Times New Roman" w:eastAsia="宋体"/>
                <w:b w:val="0"/>
                <w:color w:val="2A2A2A"/>
                <w:sz w:val="21"/>
              </w:rPr>
              <w:t>农业机械总动力/农作物播种面积（千瓦/亩）</w:t>
            </w:r>
          </w:p>
        </w:tc>
        <w:tc>
          <w:tcPr>
            <w:tcW w:type="dxa" w:w="2078"/>
            <w:vAlign w:val="center"/>
          </w:tcPr>
          <w:p>
            <w:pPr>
              <w:jc w:val="center"/>
            </w:pPr>
            <w:r/>
            <w:r>
              <w:rPr>
                <w:rFonts w:ascii="Times New Roman" w:hAnsi="Times New Roman" w:eastAsia="宋体"/>
                <w:b w:val="0"/>
                <w:color w:val="2A2A2A"/>
                <w:sz w:val="21"/>
              </w:rPr>
              <w:t>产业兴旺</w:t>
            </w:r>
          </w:p>
        </w:tc>
        <w:tc>
          <w:tcPr>
            <w:tcW w:type="dxa" w:w="2078"/>
            <w:vAlign w:val="center"/>
          </w:tcPr>
          <w:p>
            <w:pPr>
              <w:jc w:val="center"/>
            </w:pPr>
            <w:r/>
            <w:r>
              <w:rPr>
                <w:rFonts w:ascii="Times New Roman" w:hAnsi="Times New Roman" w:eastAsia="宋体"/>
                <w:b w:val="0"/>
                <w:color w:val="2A2A2A"/>
                <w:sz w:val="21"/>
              </w:rPr>
              <w:t>0.0288</w:t>
            </w:r>
          </w:p>
        </w:tc>
      </w:tr>
      <w:tr>
        <w:tc>
          <w:tcPr>
            <w:tcW w:type="dxa" w:w="2078"/>
            <w:vAlign w:val="center"/>
          </w:tcPr>
          <w:p>
            <w:pPr>
              <w:jc w:val="left"/>
            </w:pPr>
            <w:r/>
            <w:r>
              <w:rPr>
                <w:rFonts w:ascii="Times New Roman" w:hAnsi="Times New Roman" w:eastAsia="宋体"/>
                <w:b w:val="0"/>
                <w:color w:val="2A2A2A"/>
                <w:sz w:val="21"/>
              </w:rPr>
              <w:t>3</w:t>
            </w:r>
          </w:p>
        </w:tc>
        <w:tc>
          <w:tcPr>
            <w:tcW w:type="dxa" w:w="2078"/>
            <w:vAlign w:val="center"/>
          </w:tcPr>
          <w:p>
            <w:pPr>
              <w:jc w:val="center"/>
            </w:pPr>
            <w:r/>
            <w:r>
              <w:rPr>
                <w:rFonts w:ascii="Times New Roman" w:hAnsi="Times New Roman" w:eastAsia="宋体"/>
                <w:b w:val="0"/>
                <w:color w:val="2A2A2A"/>
                <w:sz w:val="21"/>
              </w:rPr>
              <w:t>农林牧渔业总产值（万元）</w:t>
            </w:r>
          </w:p>
        </w:tc>
        <w:tc>
          <w:tcPr>
            <w:tcW w:type="dxa" w:w="2078"/>
            <w:vAlign w:val="center"/>
          </w:tcPr>
          <w:p>
            <w:pPr>
              <w:jc w:val="center"/>
            </w:pPr>
            <w:r/>
            <w:r>
              <w:rPr>
                <w:rFonts w:ascii="Times New Roman" w:hAnsi="Times New Roman" w:eastAsia="宋体"/>
                <w:b w:val="0"/>
                <w:color w:val="2A2A2A"/>
                <w:sz w:val="21"/>
              </w:rPr>
              <w:t>产业兴旺</w:t>
            </w:r>
          </w:p>
        </w:tc>
        <w:tc>
          <w:tcPr>
            <w:tcW w:type="dxa" w:w="2078"/>
            <w:vAlign w:val="center"/>
          </w:tcPr>
          <w:p>
            <w:pPr>
              <w:jc w:val="center"/>
            </w:pPr>
            <w:r/>
            <w:r>
              <w:rPr>
                <w:rFonts w:ascii="Times New Roman" w:hAnsi="Times New Roman" w:eastAsia="宋体"/>
                <w:b w:val="0"/>
                <w:color w:val="2A2A2A"/>
                <w:sz w:val="21"/>
              </w:rPr>
              <w:t>0.1868</w:t>
            </w:r>
          </w:p>
        </w:tc>
      </w:tr>
      <w:tr>
        <w:tc>
          <w:tcPr>
            <w:tcW w:type="dxa" w:w="2078"/>
            <w:vAlign w:val="center"/>
          </w:tcPr>
          <w:p>
            <w:pPr>
              <w:jc w:val="left"/>
            </w:pPr>
            <w:r/>
            <w:r>
              <w:rPr>
                <w:rFonts w:ascii="Times New Roman" w:hAnsi="Times New Roman" w:eastAsia="宋体"/>
                <w:b w:val="0"/>
                <w:color w:val="2A2A2A"/>
                <w:sz w:val="21"/>
              </w:rPr>
              <w:t>4</w:t>
            </w:r>
          </w:p>
        </w:tc>
        <w:tc>
          <w:tcPr>
            <w:tcW w:type="dxa" w:w="2078"/>
            <w:vAlign w:val="center"/>
          </w:tcPr>
          <w:p>
            <w:pPr>
              <w:jc w:val="center"/>
            </w:pPr>
            <w:r/>
            <w:r>
              <w:rPr>
                <w:rFonts w:ascii="Times New Roman" w:hAnsi="Times New Roman" w:eastAsia="宋体"/>
                <w:b w:val="0"/>
                <w:color w:val="2A2A2A"/>
                <w:sz w:val="21"/>
              </w:rPr>
              <w:t>森林覆盖率（%）</w:t>
            </w:r>
          </w:p>
        </w:tc>
        <w:tc>
          <w:tcPr>
            <w:tcW w:type="dxa" w:w="2078"/>
            <w:vAlign w:val="center"/>
          </w:tcPr>
          <w:p>
            <w:pPr>
              <w:jc w:val="center"/>
            </w:pPr>
            <w:r/>
            <w:r>
              <w:rPr>
                <w:rFonts w:ascii="Times New Roman" w:hAnsi="Times New Roman" w:eastAsia="宋体"/>
                <w:b w:val="0"/>
                <w:color w:val="2A2A2A"/>
                <w:sz w:val="21"/>
              </w:rPr>
              <w:t>生态宜居</w:t>
            </w:r>
          </w:p>
        </w:tc>
        <w:tc>
          <w:tcPr>
            <w:tcW w:type="dxa" w:w="2078"/>
            <w:vAlign w:val="center"/>
          </w:tcPr>
          <w:p>
            <w:pPr>
              <w:jc w:val="center"/>
            </w:pPr>
            <w:r/>
            <w:r>
              <w:rPr>
                <w:rFonts w:ascii="Times New Roman" w:hAnsi="Times New Roman" w:eastAsia="宋体"/>
                <w:b w:val="0"/>
                <w:color w:val="2A2A2A"/>
                <w:sz w:val="21"/>
              </w:rPr>
              <w:t>0.0416</w:t>
            </w:r>
          </w:p>
        </w:tc>
      </w:tr>
      <w:tr>
        <w:tc>
          <w:tcPr>
            <w:tcW w:type="dxa" w:w="2078"/>
            <w:vAlign w:val="center"/>
          </w:tcPr>
          <w:p>
            <w:pPr>
              <w:jc w:val="left"/>
            </w:pPr>
            <w:r/>
            <w:r>
              <w:rPr>
                <w:rFonts w:ascii="Times New Roman" w:hAnsi="Times New Roman" w:eastAsia="宋体"/>
                <w:b w:val="0"/>
                <w:color w:val="2A2A2A"/>
                <w:sz w:val="21"/>
              </w:rPr>
              <w:t>5</w:t>
            </w:r>
          </w:p>
        </w:tc>
        <w:tc>
          <w:tcPr>
            <w:tcW w:type="dxa" w:w="2078"/>
            <w:vAlign w:val="center"/>
          </w:tcPr>
          <w:p>
            <w:pPr>
              <w:jc w:val="center"/>
            </w:pPr>
            <w:r/>
            <w:r>
              <w:rPr>
                <w:rFonts w:ascii="Times New Roman" w:hAnsi="Times New Roman" w:eastAsia="宋体"/>
                <w:b w:val="0"/>
                <w:color w:val="2A2A2A"/>
                <w:sz w:val="21"/>
              </w:rPr>
              <w:t>污水处理厂集中处理率（%）</w:t>
            </w:r>
          </w:p>
        </w:tc>
        <w:tc>
          <w:tcPr>
            <w:tcW w:type="dxa" w:w="2078"/>
            <w:vAlign w:val="center"/>
          </w:tcPr>
          <w:p>
            <w:pPr>
              <w:jc w:val="center"/>
            </w:pPr>
            <w:r/>
            <w:r>
              <w:rPr>
                <w:rFonts w:ascii="Times New Roman" w:hAnsi="Times New Roman" w:eastAsia="宋体"/>
                <w:b w:val="0"/>
                <w:color w:val="2A2A2A"/>
                <w:sz w:val="21"/>
              </w:rPr>
              <w:t>生态宜居</w:t>
            </w:r>
          </w:p>
        </w:tc>
        <w:tc>
          <w:tcPr>
            <w:tcW w:type="dxa" w:w="2078"/>
            <w:vAlign w:val="center"/>
          </w:tcPr>
          <w:p>
            <w:pPr>
              <w:jc w:val="center"/>
            </w:pPr>
            <w:r/>
            <w:r>
              <w:rPr>
                <w:rFonts w:ascii="Times New Roman" w:hAnsi="Times New Roman" w:eastAsia="宋体"/>
                <w:b w:val="0"/>
                <w:color w:val="2A2A2A"/>
                <w:sz w:val="21"/>
              </w:rPr>
              <w:t>0.0211</w:t>
            </w:r>
          </w:p>
        </w:tc>
      </w:tr>
      <w:tr>
        <w:tc>
          <w:tcPr>
            <w:tcW w:type="dxa" w:w="2078"/>
            <w:vAlign w:val="center"/>
          </w:tcPr>
          <w:p>
            <w:pPr>
              <w:jc w:val="left"/>
            </w:pPr>
            <w:r/>
            <w:r>
              <w:rPr>
                <w:rFonts w:ascii="Times New Roman" w:hAnsi="Times New Roman" w:eastAsia="宋体"/>
                <w:b w:val="0"/>
                <w:color w:val="2A2A2A"/>
                <w:sz w:val="21"/>
              </w:rPr>
              <w:t>6</w:t>
            </w:r>
          </w:p>
        </w:tc>
        <w:tc>
          <w:tcPr>
            <w:tcW w:type="dxa" w:w="2078"/>
            <w:vAlign w:val="center"/>
          </w:tcPr>
          <w:p>
            <w:pPr>
              <w:jc w:val="center"/>
            </w:pPr>
            <w:r/>
            <w:r>
              <w:rPr>
                <w:rFonts w:ascii="Times New Roman" w:hAnsi="Times New Roman" w:eastAsia="宋体"/>
                <w:b w:val="0"/>
                <w:color w:val="2A2A2A"/>
                <w:sz w:val="21"/>
              </w:rPr>
              <w:t>农村卫生厕所普及率（%）</w:t>
            </w:r>
          </w:p>
        </w:tc>
        <w:tc>
          <w:tcPr>
            <w:tcW w:type="dxa" w:w="2078"/>
            <w:vAlign w:val="center"/>
          </w:tcPr>
          <w:p>
            <w:pPr>
              <w:jc w:val="center"/>
            </w:pPr>
            <w:r/>
            <w:r>
              <w:rPr>
                <w:rFonts w:ascii="Times New Roman" w:hAnsi="Times New Roman" w:eastAsia="宋体"/>
                <w:b w:val="0"/>
                <w:color w:val="2A2A2A"/>
                <w:sz w:val="21"/>
              </w:rPr>
              <w:t>生态宜居</w:t>
            </w:r>
          </w:p>
        </w:tc>
        <w:tc>
          <w:tcPr>
            <w:tcW w:type="dxa" w:w="2078"/>
            <w:vAlign w:val="center"/>
          </w:tcPr>
          <w:p>
            <w:pPr>
              <w:jc w:val="center"/>
            </w:pPr>
            <w:r/>
            <w:r>
              <w:rPr>
                <w:rFonts w:ascii="Times New Roman" w:hAnsi="Times New Roman" w:eastAsia="宋体"/>
                <w:b w:val="0"/>
                <w:color w:val="2A2A2A"/>
                <w:sz w:val="21"/>
              </w:rPr>
              <w:t>0.0091</w:t>
            </w:r>
          </w:p>
        </w:tc>
      </w:tr>
      <w:tr>
        <w:tc>
          <w:tcPr>
            <w:tcW w:type="dxa" w:w="2078"/>
            <w:vAlign w:val="center"/>
          </w:tcPr>
          <w:p>
            <w:pPr>
              <w:jc w:val="left"/>
            </w:pPr>
            <w:r/>
            <w:r>
              <w:rPr>
                <w:rFonts w:ascii="Times New Roman" w:hAnsi="Times New Roman" w:eastAsia="宋体"/>
                <w:b w:val="0"/>
                <w:color w:val="2A2A2A"/>
                <w:sz w:val="21"/>
              </w:rPr>
              <w:t>7</w:t>
            </w:r>
          </w:p>
        </w:tc>
        <w:tc>
          <w:tcPr>
            <w:tcW w:type="dxa" w:w="2078"/>
            <w:vAlign w:val="center"/>
          </w:tcPr>
          <w:p>
            <w:pPr>
              <w:jc w:val="center"/>
            </w:pPr>
            <w:r/>
            <w:r>
              <w:rPr>
                <w:rFonts w:ascii="Times New Roman" w:hAnsi="Times New Roman" w:eastAsia="宋体"/>
                <w:b w:val="0"/>
                <w:color w:val="2A2A2A"/>
                <w:sz w:val="21"/>
              </w:rPr>
              <w:t>普通中学专任教师数/在校学生数（%）</w:t>
            </w:r>
          </w:p>
        </w:tc>
        <w:tc>
          <w:tcPr>
            <w:tcW w:type="dxa" w:w="2078"/>
            <w:vAlign w:val="center"/>
          </w:tcPr>
          <w:p>
            <w:pPr>
              <w:jc w:val="center"/>
            </w:pPr>
            <w:r/>
            <w:r>
              <w:rPr>
                <w:rFonts w:ascii="Times New Roman" w:hAnsi="Times New Roman" w:eastAsia="宋体"/>
                <w:b w:val="0"/>
                <w:color w:val="2A2A2A"/>
                <w:sz w:val="21"/>
              </w:rPr>
              <w:t>乡风文明</w:t>
            </w:r>
          </w:p>
        </w:tc>
        <w:tc>
          <w:tcPr>
            <w:tcW w:type="dxa" w:w="2078"/>
            <w:vAlign w:val="center"/>
          </w:tcPr>
          <w:p>
            <w:pPr>
              <w:jc w:val="center"/>
            </w:pPr>
            <w:r/>
            <w:r>
              <w:rPr>
                <w:rFonts w:ascii="Times New Roman" w:hAnsi="Times New Roman" w:eastAsia="宋体"/>
                <w:b w:val="0"/>
                <w:color w:val="2A2A2A"/>
                <w:sz w:val="21"/>
              </w:rPr>
              <w:t>0.0355</w:t>
            </w:r>
          </w:p>
        </w:tc>
      </w:tr>
      <w:tr>
        <w:tc>
          <w:tcPr>
            <w:tcW w:type="dxa" w:w="2078"/>
            <w:vAlign w:val="center"/>
          </w:tcPr>
          <w:p>
            <w:pPr>
              <w:jc w:val="left"/>
            </w:pPr>
            <w:r/>
            <w:r>
              <w:rPr>
                <w:rFonts w:ascii="Times New Roman" w:hAnsi="Times New Roman" w:eastAsia="宋体"/>
                <w:b w:val="0"/>
                <w:color w:val="2A2A2A"/>
                <w:sz w:val="21"/>
              </w:rPr>
              <w:t>8</w:t>
            </w:r>
          </w:p>
        </w:tc>
        <w:tc>
          <w:tcPr>
            <w:tcW w:type="dxa" w:w="2078"/>
            <w:vAlign w:val="center"/>
          </w:tcPr>
          <w:p>
            <w:pPr>
              <w:jc w:val="center"/>
            </w:pPr>
            <w:r/>
            <w:r>
              <w:rPr>
                <w:rFonts w:ascii="Times New Roman" w:hAnsi="Times New Roman" w:eastAsia="宋体"/>
                <w:b w:val="0"/>
                <w:color w:val="2A2A2A"/>
                <w:sz w:val="21"/>
              </w:rPr>
              <w:t>图书馆个数（个）</w:t>
            </w:r>
          </w:p>
        </w:tc>
        <w:tc>
          <w:tcPr>
            <w:tcW w:type="dxa" w:w="2078"/>
            <w:vAlign w:val="center"/>
          </w:tcPr>
          <w:p>
            <w:pPr>
              <w:jc w:val="center"/>
            </w:pPr>
            <w:r/>
            <w:r>
              <w:rPr>
                <w:rFonts w:ascii="Times New Roman" w:hAnsi="Times New Roman" w:eastAsia="宋体"/>
                <w:b w:val="0"/>
                <w:color w:val="2A2A2A"/>
                <w:sz w:val="21"/>
              </w:rPr>
              <w:t>乡风文明</w:t>
            </w:r>
          </w:p>
        </w:tc>
        <w:tc>
          <w:tcPr>
            <w:tcW w:type="dxa" w:w="2078"/>
            <w:vAlign w:val="center"/>
          </w:tcPr>
          <w:p>
            <w:pPr>
              <w:jc w:val="center"/>
            </w:pPr>
            <w:r/>
            <w:r>
              <w:rPr>
                <w:rFonts w:ascii="Times New Roman" w:hAnsi="Times New Roman" w:eastAsia="宋体"/>
                <w:b w:val="0"/>
                <w:color w:val="2A2A2A"/>
                <w:sz w:val="21"/>
              </w:rPr>
              <w:t>0.0428</w:t>
            </w:r>
          </w:p>
        </w:tc>
      </w:tr>
      <w:tr>
        <w:tc>
          <w:tcPr>
            <w:tcW w:type="dxa" w:w="2078"/>
            <w:vAlign w:val="center"/>
          </w:tcPr>
          <w:p>
            <w:pPr>
              <w:jc w:val="left"/>
            </w:pPr>
            <w:r/>
            <w:r>
              <w:rPr>
                <w:rFonts w:ascii="Times New Roman" w:hAnsi="Times New Roman" w:eastAsia="宋体"/>
                <w:b w:val="0"/>
                <w:color w:val="2A2A2A"/>
                <w:sz w:val="21"/>
              </w:rPr>
              <w:t>9</w:t>
            </w:r>
          </w:p>
        </w:tc>
        <w:tc>
          <w:tcPr>
            <w:tcW w:type="dxa" w:w="2078"/>
            <w:vAlign w:val="center"/>
          </w:tcPr>
          <w:p>
            <w:pPr>
              <w:jc w:val="center"/>
            </w:pPr>
            <w:r/>
            <w:r>
              <w:rPr>
                <w:rFonts w:ascii="Times New Roman" w:hAnsi="Times New Roman" w:eastAsia="宋体"/>
                <w:b w:val="0"/>
                <w:color w:val="2A2A2A"/>
                <w:sz w:val="21"/>
              </w:rPr>
              <w:t>固定互联网宽带接入用户（户）</w:t>
            </w:r>
          </w:p>
        </w:tc>
        <w:tc>
          <w:tcPr>
            <w:tcW w:type="dxa" w:w="2078"/>
            <w:vAlign w:val="center"/>
          </w:tcPr>
          <w:p>
            <w:pPr>
              <w:jc w:val="center"/>
            </w:pPr>
            <w:r/>
            <w:r>
              <w:rPr>
                <w:rFonts w:ascii="Times New Roman" w:hAnsi="Times New Roman" w:eastAsia="宋体"/>
                <w:b w:val="0"/>
                <w:color w:val="2A2A2A"/>
                <w:sz w:val="21"/>
              </w:rPr>
              <w:t>乡风文明</w:t>
            </w:r>
          </w:p>
        </w:tc>
        <w:tc>
          <w:tcPr>
            <w:tcW w:type="dxa" w:w="2078"/>
            <w:vAlign w:val="center"/>
          </w:tcPr>
          <w:p>
            <w:pPr>
              <w:jc w:val="center"/>
            </w:pPr>
            <w:r/>
            <w:r>
              <w:rPr>
                <w:rFonts w:ascii="Times New Roman" w:hAnsi="Times New Roman" w:eastAsia="宋体"/>
                <w:b w:val="0"/>
                <w:color w:val="2A2A2A"/>
                <w:sz w:val="21"/>
              </w:rPr>
              <w:t>0.0274</w:t>
            </w:r>
          </w:p>
        </w:tc>
      </w:tr>
      <w:tr>
        <w:tc>
          <w:tcPr>
            <w:tcW w:type="dxa" w:w="2078"/>
            <w:vAlign w:val="center"/>
          </w:tcPr>
          <w:p>
            <w:pPr>
              <w:jc w:val="left"/>
            </w:pPr>
            <w:r/>
            <w:r>
              <w:rPr>
                <w:rFonts w:ascii="Times New Roman" w:hAnsi="Times New Roman" w:eastAsia="宋体"/>
                <w:b w:val="0"/>
                <w:color w:val="2A2A2A"/>
                <w:sz w:val="21"/>
              </w:rPr>
              <w:t>10</w:t>
            </w:r>
          </w:p>
        </w:tc>
        <w:tc>
          <w:tcPr>
            <w:tcW w:type="dxa" w:w="2078"/>
            <w:vAlign w:val="center"/>
          </w:tcPr>
          <w:p>
            <w:pPr>
              <w:jc w:val="center"/>
            </w:pPr>
            <w:r/>
            <w:r>
              <w:rPr>
                <w:rFonts w:ascii="Times New Roman" w:hAnsi="Times New Roman" w:eastAsia="宋体"/>
                <w:b w:val="0"/>
                <w:color w:val="2A2A2A"/>
                <w:sz w:val="21"/>
              </w:rPr>
              <w:t>农林水事务支出占比（%）</w:t>
            </w:r>
          </w:p>
        </w:tc>
        <w:tc>
          <w:tcPr>
            <w:tcW w:type="dxa" w:w="2078"/>
            <w:vAlign w:val="center"/>
          </w:tcPr>
          <w:p>
            <w:pPr>
              <w:jc w:val="center"/>
            </w:pPr>
            <w:r/>
            <w:r>
              <w:rPr>
                <w:rFonts w:ascii="Times New Roman" w:hAnsi="Times New Roman" w:eastAsia="宋体"/>
                <w:b w:val="0"/>
                <w:color w:val="2A2A2A"/>
                <w:sz w:val="21"/>
              </w:rPr>
              <w:t>治理有效</w:t>
            </w:r>
          </w:p>
        </w:tc>
        <w:tc>
          <w:tcPr>
            <w:tcW w:type="dxa" w:w="2078"/>
            <w:vAlign w:val="center"/>
          </w:tcPr>
          <w:p>
            <w:pPr>
              <w:jc w:val="center"/>
            </w:pPr>
            <w:r/>
            <w:r>
              <w:rPr>
                <w:rFonts w:ascii="Times New Roman" w:hAnsi="Times New Roman" w:eastAsia="宋体"/>
                <w:b w:val="0"/>
                <w:color w:val="2A2A2A"/>
                <w:sz w:val="21"/>
              </w:rPr>
              <w:t>0.0545</w:t>
            </w:r>
          </w:p>
        </w:tc>
      </w:tr>
      <w:tr>
        <w:tc>
          <w:tcPr>
            <w:tcW w:type="dxa" w:w="2078"/>
            <w:vAlign w:val="center"/>
          </w:tcPr>
          <w:p>
            <w:pPr>
              <w:jc w:val="left"/>
            </w:pPr>
            <w:r/>
            <w:r>
              <w:rPr>
                <w:rFonts w:ascii="Times New Roman" w:hAnsi="Times New Roman" w:eastAsia="宋体"/>
                <w:b w:val="0"/>
                <w:color w:val="2A2A2A"/>
                <w:sz w:val="21"/>
              </w:rPr>
              <w:t>11</w:t>
            </w:r>
          </w:p>
        </w:tc>
        <w:tc>
          <w:tcPr>
            <w:tcW w:type="dxa" w:w="2078"/>
            <w:vAlign w:val="center"/>
          </w:tcPr>
          <w:p>
            <w:pPr>
              <w:jc w:val="center"/>
            </w:pPr>
            <w:r/>
            <w:r>
              <w:rPr>
                <w:rFonts w:ascii="Times New Roman" w:hAnsi="Times New Roman" w:eastAsia="宋体"/>
                <w:b w:val="0"/>
                <w:color w:val="2A2A2A"/>
                <w:sz w:val="21"/>
              </w:rPr>
              <w:t>卫生室/卫生机构数量（个）</w:t>
            </w:r>
          </w:p>
        </w:tc>
        <w:tc>
          <w:tcPr>
            <w:tcW w:type="dxa" w:w="2078"/>
            <w:vAlign w:val="center"/>
          </w:tcPr>
          <w:p>
            <w:pPr>
              <w:jc w:val="center"/>
            </w:pPr>
            <w:r/>
            <w:r>
              <w:rPr>
                <w:rFonts w:ascii="Times New Roman" w:hAnsi="Times New Roman" w:eastAsia="宋体"/>
                <w:b w:val="0"/>
                <w:color w:val="2A2A2A"/>
                <w:sz w:val="21"/>
              </w:rPr>
              <w:t>治理有效</w:t>
            </w:r>
          </w:p>
        </w:tc>
        <w:tc>
          <w:tcPr>
            <w:tcW w:type="dxa" w:w="2078"/>
            <w:vAlign w:val="center"/>
          </w:tcPr>
          <w:p>
            <w:pPr>
              <w:jc w:val="center"/>
            </w:pPr>
            <w:r/>
            <w:r>
              <w:rPr>
                <w:rFonts w:ascii="Times New Roman" w:hAnsi="Times New Roman" w:eastAsia="宋体"/>
                <w:b w:val="0"/>
                <w:color w:val="2A2A2A"/>
                <w:sz w:val="21"/>
              </w:rPr>
              <w:t>0.0217</w:t>
            </w:r>
          </w:p>
        </w:tc>
      </w:tr>
      <w:tr>
        <w:tc>
          <w:tcPr>
            <w:tcW w:type="dxa" w:w="2078"/>
            <w:vAlign w:val="center"/>
          </w:tcPr>
          <w:p>
            <w:pPr>
              <w:jc w:val="left"/>
            </w:pPr>
            <w:r/>
            <w:r>
              <w:rPr>
                <w:rFonts w:ascii="Times New Roman" w:hAnsi="Times New Roman" w:eastAsia="宋体"/>
                <w:b w:val="0"/>
                <w:color w:val="2A2A2A"/>
                <w:sz w:val="21"/>
              </w:rPr>
              <w:t>12</w:t>
            </w:r>
          </w:p>
        </w:tc>
        <w:tc>
          <w:tcPr>
            <w:tcW w:type="dxa" w:w="2078"/>
            <w:vAlign w:val="center"/>
          </w:tcPr>
          <w:p>
            <w:pPr>
              <w:jc w:val="center"/>
            </w:pPr>
            <w:r/>
            <w:r>
              <w:rPr>
                <w:rFonts w:ascii="Times New Roman" w:hAnsi="Times New Roman" w:eastAsia="宋体"/>
                <w:b w:val="0"/>
                <w:color w:val="2A2A2A"/>
                <w:sz w:val="21"/>
              </w:rPr>
              <w:t>三种专利申请授权量（件）</w:t>
            </w:r>
          </w:p>
        </w:tc>
        <w:tc>
          <w:tcPr>
            <w:tcW w:type="dxa" w:w="2078"/>
            <w:vAlign w:val="center"/>
          </w:tcPr>
          <w:p>
            <w:pPr>
              <w:jc w:val="center"/>
            </w:pPr>
            <w:r/>
            <w:r>
              <w:rPr>
                <w:rFonts w:ascii="Times New Roman" w:hAnsi="Times New Roman" w:eastAsia="宋体"/>
                <w:b w:val="0"/>
                <w:color w:val="2A2A2A"/>
                <w:sz w:val="21"/>
              </w:rPr>
              <w:t>治理有效</w:t>
            </w:r>
          </w:p>
        </w:tc>
        <w:tc>
          <w:tcPr>
            <w:tcW w:type="dxa" w:w="2078"/>
            <w:vAlign w:val="center"/>
          </w:tcPr>
          <w:p>
            <w:pPr>
              <w:jc w:val="center"/>
            </w:pPr>
            <w:r/>
            <w:r>
              <w:rPr>
                <w:rFonts w:ascii="Times New Roman" w:hAnsi="Times New Roman" w:eastAsia="宋体"/>
                <w:b w:val="0"/>
                <w:color w:val="2A2A2A"/>
                <w:sz w:val="21"/>
              </w:rPr>
              <w:t>0.1352</w:t>
            </w:r>
          </w:p>
        </w:tc>
      </w:tr>
      <w:tr>
        <w:tc>
          <w:tcPr>
            <w:tcW w:type="dxa" w:w="2078"/>
            <w:vAlign w:val="center"/>
          </w:tcPr>
          <w:p>
            <w:pPr>
              <w:jc w:val="left"/>
            </w:pPr>
            <w:r/>
            <w:r>
              <w:rPr>
                <w:rFonts w:ascii="Times New Roman" w:hAnsi="Times New Roman" w:eastAsia="宋体"/>
                <w:b w:val="0"/>
                <w:color w:val="2A2A2A"/>
                <w:sz w:val="21"/>
              </w:rPr>
              <w:t>13</w:t>
            </w:r>
          </w:p>
        </w:tc>
        <w:tc>
          <w:tcPr>
            <w:tcW w:type="dxa" w:w="2078"/>
            <w:vAlign w:val="center"/>
          </w:tcPr>
          <w:p>
            <w:pPr>
              <w:jc w:val="center"/>
            </w:pPr>
            <w:r/>
            <w:r>
              <w:rPr>
                <w:rFonts w:ascii="Times New Roman" w:hAnsi="Times New Roman" w:eastAsia="宋体"/>
                <w:b w:val="0"/>
                <w:color w:val="2A2A2A"/>
                <w:sz w:val="21"/>
              </w:rPr>
              <w:t>农村人均可支配收入（元）</w:t>
            </w:r>
          </w:p>
        </w:tc>
        <w:tc>
          <w:tcPr>
            <w:tcW w:type="dxa" w:w="2078"/>
            <w:vAlign w:val="center"/>
          </w:tcPr>
          <w:p>
            <w:pPr>
              <w:jc w:val="center"/>
            </w:pPr>
            <w:r/>
            <w:r>
              <w:rPr>
                <w:rFonts w:ascii="Times New Roman" w:hAnsi="Times New Roman" w:eastAsia="宋体"/>
                <w:b w:val="0"/>
                <w:color w:val="2A2A2A"/>
                <w:sz w:val="21"/>
              </w:rPr>
              <w:t>生活富裕</w:t>
            </w:r>
          </w:p>
        </w:tc>
        <w:tc>
          <w:tcPr>
            <w:tcW w:type="dxa" w:w="2078"/>
            <w:vAlign w:val="center"/>
          </w:tcPr>
          <w:p>
            <w:pPr>
              <w:jc w:val="center"/>
            </w:pPr>
            <w:r/>
            <w:r>
              <w:rPr>
                <w:rFonts w:ascii="Times New Roman" w:hAnsi="Times New Roman" w:eastAsia="宋体"/>
                <w:b w:val="0"/>
                <w:color w:val="2A2A2A"/>
                <w:sz w:val="21"/>
              </w:rPr>
              <w:t>0.1012</w:t>
            </w:r>
          </w:p>
        </w:tc>
      </w:tr>
      <w:tr>
        <w:tc>
          <w:tcPr>
            <w:tcW w:type="dxa" w:w="2078"/>
            <w:vAlign w:val="center"/>
          </w:tcPr>
          <w:p>
            <w:pPr>
              <w:jc w:val="left"/>
            </w:pPr>
            <w:r/>
            <w:r>
              <w:rPr>
                <w:rFonts w:ascii="Times New Roman" w:hAnsi="Times New Roman" w:eastAsia="宋体"/>
                <w:b w:val="0"/>
                <w:color w:val="2A2A2A"/>
                <w:sz w:val="21"/>
              </w:rPr>
              <w:t>14</w:t>
            </w:r>
          </w:p>
        </w:tc>
        <w:tc>
          <w:tcPr>
            <w:tcW w:type="dxa" w:w="2078"/>
            <w:vAlign w:val="center"/>
          </w:tcPr>
          <w:p>
            <w:pPr>
              <w:jc w:val="center"/>
            </w:pPr>
            <w:r/>
            <w:r>
              <w:rPr>
                <w:rFonts w:ascii="Times New Roman" w:hAnsi="Times New Roman" w:eastAsia="宋体"/>
                <w:b w:val="0"/>
                <w:color w:val="2A2A2A"/>
                <w:sz w:val="21"/>
              </w:rPr>
              <w:t>农村人均消费支出（元）</w:t>
            </w:r>
          </w:p>
        </w:tc>
        <w:tc>
          <w:tcPr>
            <w:tcW w:type="dxa" w:w="2078"/>
            <w:vAlign w:val="center"/>
          </w:tcPr>
          <w:p>
            <w:pPr>
              <w:jc w:val="center"/>
            </w:pPr>
            <w:r/>
            <w:r>
              <w:rPr>
                <w:rFonts w:ascii="Times New Roman" w:hAnsi="Times New Roman" w:eastAsia="宋体"/>
                <w:b w:val="0"/>
                <w:color w:val="2A2A2A"/>
                <w:sz w:val="21"/>
              </w:rPr>
              <w:t>生活富裕</w:t>
            </w:r>
          </w:p>
        </w:tc>
        <w:tc>
          <w:tcPr>
            <w:tcW w:type="dxa" w:w="2078"/>
            <w:vAlign w:val="center"/>
          </w:tcPr>
          <w:p>
            <w:pPr>
              <w:jc w:val="center"/>
            </w:pPr>
            <w:r/>
            <w:r>
              <w:rPr>
                <w:rFonts w:ascii="Times New Roman" w:hAnsi="Times New Roman" w:eastAsia="宋体"/>
                <w:b w:val="0"/>
                <w:color w:val="2A2A2A"/>
                <w:sz w:val="21"/>
              </w:rPr>
              <w:t>0.0378</w:t>
            </w:r>
          </w:p>
        </w:tc>
      </w:tr>
      <w:tr>
        <w:tc>
          <w:tcPr>
            <w:tcW w:type="dxa" w:w="2078"/>
            <w:vAlign w:val="center"/>
            <w:tcBorders>
              <w:bottom w:val="single" w:sz="12" w:color="000000"/>
            </w:tcBorders>
          </w:tcPr>
          <w:p>
            <w:pPr>
              <w:jc w:val="left"/>
            </w:pPr>
            <w:r/>
            <w:r>
              <w:rPr>
                <w:rFonts w:ascii="Times New Roman" w:hAnsi="Times New Roman" w:eastAsia="宋体"/>
                <w:b w:val="0"/>
                <w:color w:val="2A2A2A"/>
                <w:sz w:val="21"/>
              </w:rPr>
              <w:t>15</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人均道路面积（平方米）</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生活富裕</w:t>
            </w:r>
          </w:p>
        </w:tc>
        <w:tc>
          <w:tcPr>
            <w:tcW w:type="dxa" w:w="2078"/>
            <w:vAlign w:val="center"/>
            <w:tcBorders>
              <w:bottom w:val="single" w:sz="12" w:color="000000"/>
            </w:tcBorders>
          </w:tcPr>
          <w:p>
            <w:pPr>
              <w:jc w:val="center"/>
            </w:pPr>
            <w:r/>
            <w:r>
              <w:rPr>
                <w:rFonts w:ascii="Times New Roman" w:hAnsi="Times New Roman" w:eastAsia="宋体"/>
                <w:b w:val="0"/>
                <w:color w:val="2A2A2A"/>
                <w:sz w:val="21"/>
              </w:rPr>
              <w:t>0.0424</w:t>
            </w:r>
          </w:p>
        </w:tc>
      </w:tr>
    </w:tbl>
    <w:p>
      <w:r>
        <w:br w:type="page"/>
      </w:r>
    </w:p>
    <w:p>
      <w:pPr>
        <w:spacing w:line="360" w:lineRule="auto" w:before="0" w:after="360"/>
        <w:jc w:val="center"/>
        <w:pBdr>
          <w:bottom w:val="single" w:sz="12" w:space="4" w:color="0D3B2E"/>
        </w:pBdr>
      </w:pPr>
      <w:r>
        <w:rPr>
          <w:rFonts w:ascii="Times New Roman" w:hAnsi="Times New Roman" w:eastAsia="黑体"/>
          <w:b/>
          <w:color w:val="0D3B2E"/>
          <w:sz w:val="36"/>
        </w:rPr>
        <w:t>附录 B 缩略语表</w:t>
      </w:r>
    </w:p>
    <w:p>
      <w:pPr>
        <w:spacing w:before="120" w:after="60"/>
        <w:jc w:val="center"/>
      </w:pPr>
      <w:r>
        <w:rPr>
          <w:rFonts w:ascii="Times New Roman" w:hAnsi="Times New Roman" w:eastAsia="黑体"/>
          <w:b/>
          <w:color w:val="0D3B2E"/>
          <w:sz w:val="21"/>
        </w:rPr>
        <w:t>表 B-1 缩略语对照表</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71"/>
        <w:gridCol w:w="2771"/>
        <w:gridCol w:w="2771"/>
      </w:tblGrid>
      <w:tr>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缩略语</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英文全称</w:t>
            </w:r>
          </w:p>
        </w:tc>
        <w:tc>
          <w:tcPr>
            <w:tcW w:type="dxa" w:w="2771"/>
            <w:vAlign w:val="center"/>
            <w:tcBorders>
              <w:top w:val="single" w:sz="12" w:color="000000"/>
              <w:bottom w:val="single" w:sz="6" w:color="000000"/>
            </w:tcBorders>
          </w:tcPr>
          <w:p>
            <w:pPr>
              <w:jc w:val="center"/>
            </w:pPr>
            <w:r/>
            <w:r>
              <w:rPr>
                <w:rFonts w:ascii="Times New Roman" w:hAnsi="Times New Roman" w:eastAsia="黑体"/>
                <w:b/>
                <w:color w:val="0D3B2E"/>
                <w:sz w:val="21"/>
              </w:rPr>
              <w:t>中文全称</w:t>
            </w:r>
          </w:p>
        </w:tc>
      </w:tr>
      <w:tr>
        <w:tc>
          <w:tcPr>
            <w:tcW w:type="dxa" w:w="2771"/>
            <w:vAlign w:val="center"/>
          </w:tcPr>
          <w:p>
            <w:pPr>
              <w:jc w:val="left"/>
            </w:pPr>
            <w:r/>
            <w:r>
              <w:rPr>
                <w:rFonts w:ascii="Times New Roman" w:hAnsi="Times New Roman" w:eastAsia="宋体"/>
                <w:b w:val="0"/>
                <w:color w:val="2A2A2A"/>
                <w:sz w:val="21"/>
              </w:rPr>
              <w:t>AHP</w:t>
            </w:r>
          </w:p>
        </w:tc>
        <w:tc>
          <w:tcPr>
            <w:tcW w:type="dxa" w:w="2771"/>
            <w:vAlign w:val="center"/>
          </w:tcPr>
          <w:p>
            <w:pPr>
              <w:jc w:val="center"/>
            </w:pPr>
            <w:r/>
            <w:r>
              <w:rPr>
                <w:rFonts w:ascii="Times New Roman" w:hAnsi="Times New Roman" w:eastAsia="宋体"/>
                <w:b w:val="0"/>
                <w:color w:val="2A2A2A"/>
                <w:sz w:val="21"/>
              </w:rPr>
              <w:t>Analytic Hierarchy Process</w:t>
            </w:r>
          </w:p>
        </w:tc>
        <w:tc>
          <w:tcPr>
            <w:tcW w:type="dxa" w:w="2771"/>
            <w:vAlign w:val="center"/>
          </w:tcPr>
          <w:p>
            <w:pPr>
              <w:jc w:val="center"/>
            </w:pPr>
            <w:r/>
            <w:r>
              <w:rPr>
                <w:rFonts w:ascii="Times New Roman" w:hAnsi="Times New Roman" w:eastAsia="宋体"/>
                <w:b w:val="0"/>
                <w:color w:val="2A2A2A"/>
                <w:sz w:val="21"/>
              </w:rPr>
              <w:t>层次分析法</w:t>
            </w:r>
          </w:p>
        </w:tc>
      </w:tr>
      <w:tr>
        <w:tc>
          <w:tcPr>
            <w:tcW w:type="dxa" w:w="2771"/>
            <w:vAlign w:val="center"/>
          </w:tcPr>
          <w:p>
            <w:pPr>
              <w:jc w:val="left"/>
            </w:pPr>
            <w:r/>
            <w:r>
              <w:rPr>
                <w:rFonts w:ascii="Times New Roman" w:hAnsi="Times New Roman" w:eastAsia="宋体"/>
                <w:b w:val="0"/>
                <w:color w:val="2A2A2A"/>
                <w:sz w:val="21"/>
              </w:rPr>
              <w:t>CCD</w:t>
            </w:r>
          </w:p>
        </w:tc>
        <w:tc>
          <w:tcPr>
            <w:tcW w:type="dxa" w:w="2771"/>
            <w:vAlign w:val="center"/>
          </w:tcPr>
          <w:p>
            <w:pPr>
              <w:jc w:val="center"/>
            </w:pPr>
            <w:r/>
            <w:r>
              <w:rPr>
                <w:rFonts w:ascii="Times New Roman" w:hAnsi="Times New Roman" w:eastAsia="宋体"/>
                <w:b w:val="0"/>
                <w:color w:val="2A2A2A"/>
                <w:sz w:val="21"/>
              </w:rPr>
              <w:t>Coupling Coordination Degree</w:t>
            </w:r>
          </w:p>
        </w:tc>
        <w:tc>
          <w:tcPr>
            <w:tcW w:type="dxa" w:w="2771"/>
            <w:vAlign w:val="center"/>
          </w:tcPr>
          <w:p>
            <w:pPr>
              <w:jc w:val="center"/>
            </w:pPr>
            <w:r/>
            <w:r>
              <w:rPr>
                <w:rFonts w:ascii="Times New Roman" w:hAnsi="Times New Roman" w:eastAsia="宋体"/>
                <w:b w:val="0"/>
                <w:color w:val="2A2A2A"/>
                <w:sz w:val="21"/>
              </w:rPr>
              <w:t>耦合协调度</w:t>
            </w:r>
          </w:p>
        </w:tc>
      </w:tr>
      <w:tr>
        <w:tc>
          <w:tcPr>
            <w:tcW w:type="dxa" w:w="2771"/>
            <w:vAlign w:val="center"/>
          </w:tcPr>
          <w:p>
            <w:pPr>
              <w:jc w:val="left"/>
            </w:pPr>
            <w:r/>
            <w:r>
              <w:rPr>
                <w:rFonts w:ascii="Times New Roman" w:hAnsi="Times New Roman" w:eastAsia="宋体"/>
                <w:b w:val="0"/>
                <w:color w:val="2A2A2A"/>
                <w:sz w:val="21"/>
              </w:rPr>
              <w:t>GEP</w:t>
            </w:r>
          </w:p>
        </w:tc>
        <w:tc>
          <w:tcPr>
            <w:tcW w:type="dxa" w:w="2771"/>
            <w:vAlign w:val="center"/>
          </w:tcPr>
          <w:p>
            <w:pPr>
              <w:jc w:val="center"/>
            </w:pPr>
            <w:r/>
            <w:r>
              <w:rPr>
                <w:rFonts w:ascii="Times New Roman" w:hAnsi="Times New Roman" w:eastAsia="宋体"/>
                <w:b w:val="0"/>
                <w:color w:val="2A2A2A"/>
                <w:sz w:val="21"/>
              </w:rPr>
              <w:t>Gross Ecosystem Product</w:t>
            </w:r>
          </w:p>
        </w:tc>
        <w:tc>
          <w:tcPr>
            <w:tcW w:type="dxa" w:w="2771"/>
            <w:vAlign w:val="center"/>
          </w:tcPr>
          <w:p>
            <w:pPr>
              <w:jc w:val="center"/>
            </w:pPr>
            <w:r/>
            <w:r>
              <w:rPr>
                <w:rFonts w:ascii="Times New Roman" w:hAnsi="Times New Roman" w:eastAsia="宋体"/>
                <w:b w:val="0"/>
                <w:color w:val="2A2A2A"/>
                <w:sz w:val="21"/>
              </w:rPr>
              <w:t>生态系统生产总值</w:t>
            </w:r>
          </w:p>
        </w:tc>
      </w:tr>
      <w:tr>
        <w:tc>
          <w:tcPr>
            <w:tcW w:type="dxa" w:w="2771"/>
            <w:vAlign w:val="center"/>
          </w:tcPr>
          <w:p>
            <w:pPr>
              <w:jc w:val="left"/>
            </w:pPr>
            <w:r/>
            <w:r>
              <w:rPr>
                <w:rFonts w:ascii="Times New Roman" w:hAnsi="Times New Roman" w:eastAsia="宋体"/>
                <w:b w:val="0"/>
                <w:color w:val="2A2A2A"/>
                <w:sz w:val="21"/>
              </w:rPr>
              <w:t>JWT</w:t>
            </w:r>
          </w:p>
        </w:tc>
        <w:tc>
          <w:tcPr>
            <w:tcW w:type="dxa" w:w="2771"/>
            <w:vAlign w:val="center"/>
          </w:tcPr>
          <w:p>
            <w:pPr>
              <w:jc w:val="center"/>
            </w:pPr>
            <w:r/>
            <w:r>
              <w:rPr>
                <w:rFonts w:ascii="Times New Roman" w:hAnsi="Times New Roman" w:eastAsia="宋体"/>
                <w:b w:val="0"/>
                <w:color w:val="2A2A2A"/>
                <w:sz w:val="21"/>
              </w:rPr>
              <w:t>JSON Web Token</w:t>
            </w:r>
          </w:p>
        </w:tc>
        <w:tc>
          <w:tcPr>
            <w:tcW w:type="dxa" w:w="2771"/>
            <w:vAlign w:val="center"/>
          </w:tcPr>
          <w:p>
            <w:pPr>
              <w:jc w:val="center"/>
            </w:pPr>
            <w:r/>
            <w:r>
              <w:rPr>
                <w:rFonts w:ascii="Times New Roman" w:hAnsi="Times New Roman" w:eastAsia="宋体"/>
                <w:b w:val="0"/>
                <w:color w:val="2A2A2A"/>
                <w:sz w:val="21"/>
              </w:rPr>
              <w:t>JSON Web 令牌</w:t>
            </w:r>
          </w:p>
        </w:tc>
      </w:tr>
      <w:tr>
        <w:tc>
          <w:tcPr>
            <w:tcW w:type="dxa" w:w="2771"/>
            <w:vAlign w:val="center"/>
          </w:tcPr>
          <w:p>
            <w:pPr>
              <w:jc w:val="left"/>
            </w:pPr>
            <w:r/>
            <w:r>
              <w:rPr>
                <w:rFonts w:ascii="Times New Roman" w:hAnsi="Times New Roman" w:eastAsia="宋体"/>
                <w:b w:val="0"/>
                <w:color w:val="2A2A2A"/>
                <w:sz w:val="21"/>
              </w:rPr>
              <w:t>LLM</w:t>
            </w:r>
          </w:p>
        </w:tc>
        <w:tc>
          <w:tcPr>
            <w:tcW w:type="dxa" w:w="2771"/>
            <w:vAlign w:val="center"/>
          </w:tcPr>
          <w:p>
            <w:pPr>
              <w:jc w:val="center"/>
            </w:pPr>
            <w:r/>
            <w:r>
              <w:rPr>
                <w:rFonts w:ascii="Times New Roman" w:hAnsi="Times New Roman" w:eastAsia="宋体"/>
                <w:b w:val="0"/>
                <w:color w:val="2A2A2A"/>
                <w:sz w:val="21"/>
              </w:rPr>
              <w:t>Large Language Model</w:t>
            </w:r>
          </w:p>
        </w:tc>
        <w:tc>
          <w:tcPr>
            <w:tcW w:type="dxa" w:w="2771"/>
            <w:vAlign w:val="center"/>
          </w:tcPr>
          <w:p>
            <w:pPr>
              <w:jc w:val="center"/>
            </w:pPr>
            <w:r/>
            <w:r>
              <w:rPr>
                <w:rFonts w:ascii="Times New Roman" w:hAnsi="Times New Roman" w:eastAsia="宋体"/>
                <w:b w:val="0"/>
                <w:color w:val="2A2A2A"/>
                <w:sz w:val="21"/>
              </w:rPr>
              <w:t>大语言模型</w:t>
            </w:r>
          </w:p>
        </w:tc>
      </w:tr>
      <w:tr>
        <w:tc>
          <w:tcPr>
            <w:tcW w:type="dxa" w:w="2771"/>
            <w:vAlign w:val="center"/>
          </w:tcPr>
          <w:p>
            <w:pPr>
              <w:jc w:val="left"/>
            </w:pPr>
            <w:r/>
            <w:r>
              <w:rPr>
                <w:rFonts w:ascii="Times New Roman" w:hAnsi="Times New Roman" w:eastAsia="宋体"/>
                <w:b w:val="0"/>
                <w:color w:val="2A2A2A"/>
                <w:sz w:val="21"/>
              </w:rPr>
              <w:t>ORM</w:t>
            </w:r>
          </w:p>
        </w:tc>
        <w:tc>
          <w:tcPr>
            <w:tcW w:type="dxa" w:w="2771"/>
            <w:vAlign w:val="center"/>
          </w:tcPr>
          <w:p>
            <w:pPr>
              <w:jc w:val="center"/>
            </w:pPr>
            <w:r/>
            <w:r>
              <w:rPr>
                <w:rFonts w:ascii="Times New Roman" w:hAnsi="Times New Roman" w:eastAsia="宋体"/>
                <w:b w:val="0"/>
                <w:color w:val="2A2A2A"/>
                <w:sz w:val="21"/>
              </w:rPr>
              <w:t>Object-Relational Mapping</w:t>
            </w:r>
          </w:p>
        </w:tc>
        <w:tc>
          <w:tcPr>
            <w:tcW w:type="dxa" w:w="2771"/>
            <w:vAlign w:val="center"/>
          </w:tcPr>
          <w:p>
            <w:pPr>
              <w:jc w:val="center"/>
            </w:pPr>
            <w:r/>
            <w:r>
              <w:rPr>
                <w:rFonts w:ascii="Times New Roman" w:hAnsi="Times New Roman" w:eastAsia="宋体"/>
                <w:b w:val="0"/>
                <w:color w:val="2A2A2A"/>
                <w:sz w:val="21"/>
              </w:rPr>
              <w:t>对象关系映射</w:t>
            </w:r>
          </w:p>
        </w:tc>
      </w:tr>
      <w:tr>
        <w:tc>
          <w:tcPr>
            <w:tcW w:type="dxa" w:w="2771"/>
            <w:vAlign w:val="center"/>
          </w:tcPr>
          <w:p>
            <w:pPr>
              <w:jc w:val="left"/>
            </w:pPr>
            <w:r/>
            <w:r>
              <w:rPr>
                <w:rFonts w:ascii="Times New Roman" w:hAnsi="Times New Roman" w:eastAsia="宋体"/>
                <w:b w:val="0"/>
                <w:color w:val="2A2A2A"/>
                <w:sz w:val="21"/>
              </w:rPr>
              <w:t>PCA</w:t>
            </w:r>
          </w:p>
        </w:tc>
        <w:tc>
          <w:tcPr>
            <w:tcW w:type="dxa" w:w="2771"/>
            <w:vAlign w:val="center"/>
          </w:tcPr>
          <w:p>
            <w:pPr>
              <w:jc w:val="center"/>
            </w:pPr>
            <w:r/>
            <w:r>
              <w:rPr>
                <w:rFonts w:ascii="Times New Roman" w:hAnsi="Times New Roman" w:eastAsia="宋体"/>
                <w:b w:val="0"/>
                <w:color w:val="2A2A2A"/>
                <w:sz w:val="21"/>
              </w:rPr>
              <w:t>Principal Component Analysis</w:t>
            </w:r>
          </w:p>
        </w:tc>
        <w:tc>
          <w:tcPr>
            <w:tcW w:type="dxa" w:w="2771"/>
            <w:vAlign w:val="center"/>
          </w:tcPr>
          <w:p>
            <w:pPr>
              <w:jc w:val="center"/>
            </w:pPr>
            <w:r/>
            <w:r>
              <w:rPr>
                <w:rFonts w:ascii="Times New Roman" w:hAnsi="Times New Roman" w:eastAsia="宋体"/>
                <w:b w:val="0"/>
                <w:color w:val="2A2A2A"/>
                <w:sz w:val="21"/>
              </w:rPr>
              <w:t>主成分分析</w:t>
            </w:r>
          </w:p>
        </w:tc>
      </w:tr>
      <w:tr>
        <w:tc>
          <w:tcPr>
            <w:tcW w:type="dxa" w:w="2771"/>
            <w:vAlign w:val="center"/>
          </w:tcPr>
          <w:p>
            <w:pPr>
              <w:jc w:val="left"/>
            </w:pPr>
            <w:r/>
            <w:r>
              <w:rPr>
                <w:rFonts w:ascii="Times New Roman" w:hAnsi="Times New Roman" w:eastAsia="宋体"/>
                <w:b w:val="0"/>
                <w:color w:val="2A2A2A"/>
                <w:sz w:val="21"/>
              </w:rPr>
              <w:t>REST</w:t>
            </w:r>
          </w:p>
        </w:tc>
        <w:tc>
          <w:tcPr>
            <w:tcW w:type="dxa" w:w="2771"/>
            <w:vAlign w:val="center"/>
          </w:tcPr>
          <w:p>
            <w:pPr>
              <w:jc w:val="center"/>
            </w:pPr>
            <w:r/>
            <w:r>
              <w:rPr>
                <w:rFonts w:ascii="Times New Roman" w:hAnsi="Times New Roman" w:eastAsia="宋体"/>
                <w:b w:val="0"/>
                <w:color w:val="2A2A2A"/>
                <w:sz w:val="21"/>
              </w:rPr>
              <w:t>Representational State Transfer</w:t>
            </w:r>
          </w:p>
        </w:tc>
        <w:tc>
          <w:tcPr>
            <w:tcW w:type="dxa" w:w="2771"/>
            <w:vAlign w:val="center"/>
          </w:tcPr>
          <w:p>
            <w:pPr>
              <w:jc w:val="center"/>
            </w:pPr>
            <w:r/>
            <w:r>
              <w:rPr>
                <w:rFonts w:ascii="Times New Roman" w:hAnsi="Times New Roman" w:eastAsia="宋体"/>
                <w:b w:val="0"/>
                <w:color w:val="2A2A2A"/>
                <w:sz w:val="21"/>
              </w:rPr>
              <w:t>表述性状态转移</w:t>
            </w:r>
          </w:p>
        </w:tc>
      </w:tr>
      <w:tr>
        <w:tc>
          <w:tcPr>
            <w:tcW w:type="dxa" w:w="2771"/>
            <w:vAlign w:val="center"/>
          </w:tcPr>
          <w:p>
            <w:pPr>
              <w:jc w:val="left"/>
            </w:pPr>
            <w:r/>
            <w:r>
              <w:rPr>
                <w:rFonts w:ascii="Times New Roman" w:hAnsi="Times New Roman" w:eastAsia="宋体"/>
                <w:b w:val="0"/>
                <w:color w:val="2A2A2A"/>
                <w:sz w:val="21"/>
              </w:rPr>
              <w:t>SaaS</w:t>
            </w:r>
          </w:p>
        </w:tc>
        <w:tc>
          <w:tcPr>
            <w:tcW w:type="dxa" w:w="2771"/>
            <w:vAlign w:val="center"/>
          </w:tcPr>
          <w:p>
            <w:pPr>
              <w:jc w:val="center"/>
            </w:pPr>
            <w:r/>
            <w:r>
              <w:rPr>
                <w:rFonts w:ascii="Times New Roman" w:hAnsi="Times New Roman" w:eastAsia="宋体"/>
                <w:b w:val="0"/>
                <w:color w:val="2A2A2A"/>
                <w:sz w:val="21"/>
              </w:rPr>
              <w:t>Software as a Service</w:t>
            </w:r>
          </w:p>
        </w:tc>
        <w:tc>
          <w:tcPr>
            <w:tcW w:type="dxa" w:w="2771"/>
            <w:vAlign w:val="center"/>
          </w:tcPr>
          <w:p>
            <w:pPr>
              <w:jc w:val="center"/>
            </w:pPr>
            <w:r/>
            <w:r>
              <w:rPr>
                <w:rFonts w:ascii="Times New Roman" w:hAnsi="Times New Roman" w:eastAsia="宋体"/>
                <w:b w:val="0"/>
                <w:color w:val="2A2A2A"/>
                <w:sz w:val="21"/>
              </w:rPr>
              <w:t>软件即服务</w:t>
            </w:r>
          </w:p>
        </w:tc>
      </w:tr>
      <w:tr>
        <w:tc>
          <w:tcPr>
            <w:tcW w:type="dxa" w:w="2771"/>
            <w:vAlign w:val="center"/>
          </w:tcPr>
          <w:p>
            <w:pPr>
              <w:jc w:val="left"/>
            </w:pPr>
            <w:r/>
            <w:r>
              <w:rPr>
                <w:rFonts w:ascii="Times New Roman" w:hAnsi="Times New Roman" w:eastAsia="宋体"/>
                <w:b w:val="0"/>
                <w:color w:val="2A2A2A"/>
                <w:sz w:val="21"/>
              </w:rPr>
              <w:t>SPA</w:t>
            </w:r>
          </w:p>
        </w:tc>
        <w:tc>
          <w:tcPr>
            <w:tcW w:type="dxa" w:w="2771"/>
            <w:vAlign w:val="center"/>
          </w:tcPr>
          <w:p>
            <w:pPr>
              <w:jc w:val="center"/>
            </w:pPr>
            <w:r/>
            <w:r>
              <w:rPr>
                <w:rFonts w:ascii="Times New Roman" w:hAnsi="Times New Roman" w:eastAsia="宋体"/>
                <w:b w:val="0"/>
                <w:color w:val="2A2A2A"/>
                <w:sz w:val="21"/>
              </w:rPr>
              <w:t>Single Page Application</w:t>
            </w:r>
          </w:p>
        </w:tc>
        <w:tc>
          <w:tcPr>
            <w:tcW w:type="dxa" w:w="2771"/>
            <w:vAlign w:val="center"/>
          </w:tcPr>
          <w:p>
            <w:pPr>
              <w:jc w:val="center"/>
            </w:pPr>
            <w:r/>
            <w:r>
              <w:rPr>
                <w:rFonts w:ascii="Times New Roman" w:hAnsi="Times New Roman" w:eastAsia="宋体"/>
                <w:b w:val="0"/>
                <w:color w:val="2A2A2A"/>
                <w:sz w:val="21"/>
              </w:rPr>
              <w:t>单页应用</w:t>
            </w:r>
          </w:p>
        </w:tc>
      </w:tr>
      <w:tr>
        <w:tc>
          <w:tcPr>
            <w:tcW w:type="dxa" w:w="2771"/>
            <w:vAlign w:val="center"/>
          </w:tcPr>
          <w:p>
            <w:pPr>
              <w:jc w:val="left"/>
            </w:pPr>
            <w:r/>
            <w:r>
              <w:rPr>
                <w:rFonts w:ascii="Times New Roman" w:hAnsi="Times New Roman" w:eastAsia="宋体"/>
                <w:b w:val="0"/>
                <w:color w:val="2A2A2A"/>
                <w:sz w:val="21"/>
              </w:rPr>
              <w:t>UI</w:t>
            </w:r>
          </w:p>
        </w:tc>
        <w:tc>
          <w:tcPr>
            <w:tcW w:type="dxa" w:w="2771"/>
            <w:vAlign w:val="center"/>
          </w:tcPr>
          <w:p>
            <w:pPr>
              <w:jc w:val="center"/>
            </w:pPr>
            <w:r/>
            <w:r>
              <w:rPr>
                <w:rFonts w:ascii="Times New Roman" w:hAnsi="Times New Roman" w:eastAsia="宋体"/>
                <w:b w:val="0"/>
                <w:color w:val="2A2A2A"/>
                <w:sz w:val="21"/>
              </w:rPr>
              <w:t>User Interface</w:t>
            </w:r>
          </w:p>
        </w:tc>
        <w:tc>
          <w:tcPr>
            <w:tcW w:type="dxa" w:w="2771"/>
            <w:vAlign w:val="center"/>
          </w:tcPr>
          <w:p>
            <w:pPr>
              <w:jc w:val="center"/>
            </w:pPr>
            <w:r/>
            <w:r>
              <w:rPr>
                <w:rFonts w:ascii="Times New Roman" w:hAnsi="Times New Roman" w:eastAsia="宋体"/>
                <w:b w:val="0"/>
                <w:color w:val="2A2A2A"/>
                <w:sz w:val="21"/>
              </w:rPr>
              <w:t>用户界面</w:t>
            </w:r>
          </w:p>
        </w:tc>
      </w:tr>
      <w:tr>
        <w:tc>
          <w:tcPr>
            <w:tcW w:type="dxa" w:w="2771"/>
            <w:vAlign w:val="center"/>
          </w:tcPr>
          <w:p>
            <w:pPr>
              <w:jc w:val="left"/>
            </w:pPr>
            <w:r/>
            <w:r>
              <w:rPr>
                <w:rFonts w:ascii="Times New Roman" w:hAnsi="Times New Roman" w:eastAsia="宋体"/>
                <w:b w:val="0"/>
                <w:color w:val="2A2A2A"/>
                <w:sz w:val="21"/>
              </w:rPr>
              <w:t>API</w:t>
            </w:r>
          </w:p>
        </w:tc>
        <w:tc>
          <w:tcPr>
            <w:tcW w:type="dxa" w:w="2771"/>
            <w:vAlign w:val="center"/>
          </w:tcPr>
          <w:p>
            <w:pPr>
              <w:jc w:val="center"/>
            </w:pPr>
            <w:r/>
            <w:r>
              <w:rPr>
                <w:rFonts w:ascii="Times New Roman" w:hAnsi="Times New Roman" w:eastAsia="宋体"/>
                <w:b w:val="0"/>
                <w:color w:val="2A2A2A"/>
                <w:sz w:val="21"/>
              </w:rPr>
              <w:t>Application Programming Interface</w:t>
            </w:r>
          </w:p>
        </w:tc>
        <w:tc>
          <w:tcPr>
            <w:tcW w:type="dxa" w:w="2771"/>
            <w:vAlign w:val="center"/>
          </w:tcPr>
          <w:p>
            <w:pPr>
              <w:jc w:val="center"/>
            </w:pPr>
            <w:r/>
            <w:r>
              <w:rPr>
                <w:rFonts w:ascii="Times New Roman" w:hAnsi="Times New Roman" w:eastAsia="宋体"/>
                <w:b w:val="0"/>
                <w:color w:val="2A2A2A"/>
                <w:sz w:val="21"/>
              </w:rPr>
              <w:t>应用程序编程接口</w:t>
            </w:r>
          </w:p>
        </w:tc>
      </w:tr>
      <w:tr>
        <w:tc>
          <w:tcPr>
            <w:tcW w:type="dxa" w:w="2771"/>
            <w:vAlign w:val="center"/>
          </w:tcPr>
          <w:p>
            <w:pPr>
              <w:jc w:val="left"/>
            </w:pPr>
            <w:r/>
            <w:r>
              <w:rPr>
                <w:rFonts w:ascii="Times New Roman" w:hAnsi="Times New Roman" w:eastAsia="宋体"/>
                <w:b w:val="0"/>
                <w:color w:val="2A2A2A"/>
                <w:sz w:val="21"/>
              </w:rPr>
              <w:t>SVG</w:t>
            </w:r>
          </w:p>
        </w:tc>
        <w:tc>
          <w:tcPr>
            <w:tcW w:type="dxa" w:w="2771"/>
            <w:vAlign w:val="center"/>
          </w:tcPr>
          <w:p>
            <w:pPr>
              <w:jc w:val="center"/>
            </w:pPr>
            <w:r/>
            <w:r>
              <w:rPr>
                <w:rFonts w:ascii="Times New Roman" w:hAnsi="Times New Roman" w:eastAsia="宋体"/>
                <w:b w:val="0"/>
                <w:color w:val="2A2A2A"/>
                <w:sz w:val="21"/>
              </w:rPr>
              <w:t>Scalable Vector Graphics</w:t>
            </w:r>
          </w:p>
        </w:tc>
        <w:tc>
          <w:tcPr>
            <w:tcW w:type="dxa" w:w="2771"/>
            <w:vAlign w:val="center"/>
          </w:tcPr>
          <w:p>
            <w:pPr>
              <w:jc w:val="center"/>
            </w:pPr>
            <w:r/>
            <w:r>
              <w:rPr>
                <w:rFonts w:ascii="Times New Roman" w:hAnsi="Times New Roman" w:eastAsia="宋体"/>
                <w:b w:val="0"/>
                <w:color w:val="2A2A2A"/>
                <w:sz w:val="21"/>
              </w:rPr>
              <w:t>可缩放矢量图形</w:t>
            </w:r>
          </w:p>
        </w:tc>
      </w:tr>
      <w:tr>
        <w:tc>
          <w:tcPr>
            <w:tcW w:type="dxa" w:w="2771"/>
            <w:vAlign w:val="center"/>
            <w:tcBorders>
              <w:bottom w:val="single" w:sz="12" w:color="000000"/>
            </w:tcBorders>
          </w:tcPr>
          <w:p>
            <w:pPr>
              <w:jc w:val="left"/>
            </w:pPr>
            <w:r/>
            <w:r>
              <w:rPr>
                <w:rFonts w:ascii="Times New Roman" w:hAnsi="Times New Roman" w:eastAsia="宋体"/>
                <w:b w:val="0"/>
                <w:color w:val="2A2A2A"/>
                <w:sz w:val="21"/>
              </w:rPr>
              <w:t>Ward</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Ward's Minimum Variance Method</w:t>
            </w:r>
          </w:p>
        </w:tc>
        <w:tc>
          <w:tcPr>
            <w:tcW w:type="dxa" w:w="2771"/>
            <w:vAlign w:val="center"/>
            <w:tcBorders>
              <w:bottom w:val="single" w:sz="12" w:color="000000"/>
            </w:tcBorders>
          </w:tcPr>
          <w:p>
            <w:pPr>
              <w:jc w:val="center"/>
            </w:pPr>
            <w:r/>
            <w:r>
              <w:rPr>
                <w:rFonts w:ascii="Times New Roman" w:hAnsi="Times New Roman" w:eastAsia="宋体"/>
                <w:b w:val="0"/>
                <w:color w:val="2A2A2A"/>
                <w:sz w:val="21"/>
              </w:rPr>
              <w:t>Ward 最小方差法</w:t>
            </w:r>
          </w:p>
        </w:tc>
      </w:tr>
    </w:tbl>
    <w:p>
      <w:pPr>
        <w:spacing w:before="1200"/>
        <w:jc w:val="center"/>
      </w:pPr>
      <w:r>
        <w:rPr>
          <w:rFonts w:ascii="Times New Roman" w:hAnsi="Times New Roman" w:eastAsia="黑体"/>
          <w:b/>
          <w:color w:val="0D3B2E"/>
          <w:sz w:val="28"/>
        </w:rPr>
        <w:t>— 全文完 —</w:t>
      </w:r>
    </w:p>
    <w:p>
      <w:pPr>
        <w:jc w:val="center"/>
      </w:pPr>
      <w:r>
        <w:rPr>
          <w:rFonts w:ascii="Times New Roman" w:hAnsi="Times New Roman" w:eastAsia="Times New Roman"/>
          <w:b w:val="0"/>
          <w:color w:val="8A8A8A"/>
          <w:sz w:val="20"/>
        </w:rPr>
        <w:t>© 2026 绿脉兴农团队 · 南京师范大学</w:t>
      </w:r>
    </w:p>
    <w:p>
      <w:pPr>
        <w:jc w:val="center"/>
      </w:pPr>
      <w:r>
        <w:rPr>
          <w:rFonts w:ascii="Times New Roman" w:hAnsi="Times New Roman" w:eastAsia="Times New Roman"/>
          <w:b w:val="0"/>
          <w:color w:val="8A8A8A"/>
          <w:sz w:val="20"/>
        </w:rPr>
        <w:t>LVMAI · ECO-VALUE PLATFORM · TECHNICAL WHITE PAPER V1.0</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2A2A2A"/>
        <w:sz w:val="20"/>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8A8A8A"/>
        <w:sz w:val="18"/>
      </w:rPr>
      <w:t>绿脉兴农平台技术白皮书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