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E32E" w14:textId="77777777" w:rsidR="00704FBA" w:rsidRDefault="00704FBA" w:rsidP="00704FBA">
      <w:pPr>
        <w:spacing w:after="60"/>
      </w:pPr>
      <w:r>
        <w:t># Charcot Capital website revamp — working to-do list</w:t>
      </w:r>
    </w:p>
    <w:p w14:paraId="2AFBDCC3" w14:textId="77777777" w:rsidR="00704FBA" w:rsidRDefault="00704FBA" w:rsidP="00704FBA">
      <w:pPr>
        <w:spacing w:after="60"/>
      </w:pPr>
      <w:r>
        <w:t xml:space="preserve">Status as </w:t>
      </w:r>
      <w:proofErr w:type="gramStart"/>
      <w:r>
        <w:t>at</w:t>
      </w:r>
      <w:proofErr w:type="gramEnd"/>
      <w:r>
        <w:t xml:space="preserve"> 6 June 2026. Grouped by theme, numbered for tracking. Priority: P0 before launch, P1 shortly after, P2 polish.</w:t>
      </w:r>
    </w:p>
    <w:p w14:paraId="4D9A1E82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0. Done in this pass (code-level, already applied to V3)</w:t>
      </w:r>
    </w:p>
    <w:p w14:paraId="5DDB2715" w14:textId="77777777" w:rsidR="00704FBA" w:rsidRDefault="00704FBA" w:rsidP="00704FBA">
      <w:pPr>
        <w:spacing w:after="60"/>
      </w:pPr>
      <w:r>
        <w:t>- [x] 0.1 Aligned the "Who we work with" card feet so the three "Discuss" links sit on one baseline (index.html).</w:t>
      </w:r>
    </w:p>
    <w:p w14:paraId="3B77424C" w14:textId="77777777" w:rsidR="00704FBA" w:rsidRDefault="00704FBA" w:rsidP="00704FBA">
      <w:pPr>
        <w:spacing w:after="60"/>
      </w:pPr>
      <w:r>
        <w:t>- [x] 0.2 Removed the duplicated, off-theme bridge image on About; "What sets us apart" now uses the compass motif (about.html).</w:t>
      </w:r>
    </w:p>
    <w:p w14:paraId="69372623" w14:textId="77777777" w:rsidR="00704FBA" w:rsidRDefault="00704FBA" w:rsidP="00704FBA">
      <w:pPr>
        <w:spacing w:after="60"/>
      </w:pPr>
      <w:r>
        <w:t>- [x] 0.3 Standardised About section vertical padding to a single 6.5rem rhythm (about.html).</w:t>
      </w:r>
    </w:p>
    <w:p w14:paraId="03BF0654" w14:textId="77777777" w:rsidR="00704FBA" w:rsidRDefault="00704FBA" w:rsidP="00704FBA">
      <w:pPr>
        <w:spacing w:after="60"/>
      </w:pPr>
      <w:r>
        <w:t xml:space="preserve">- [x] 0.4 Gave Thorsten Jabas an "Areas of focus" block so all </w:t>
      </w:r>
      <w:proofErr w:type="gramStart"/>
      <w:r>
        <w:t>four team</w:t>
      </w:r>
      <w:proofErr w:type="gramEnd"/>
      <w:r>
        <w:t xml:space="preserve"> bios carry equal weight (team.html). Replace with real selected transactions when available.</w:t>
      </w:r>
    </w:p>
    <w:p w14:paraId="5262706C" w14:textId="77777777" w:rsidR="00704FBA" w:rsidRDefault="00704FBA" w:rsidP="00704FBA">
      <w:pPr>
        <w:spacing w:after="60"/>
      </w:pPr>
      <w:r>
        <w:t>- [x] 0.5 Added Open Graph / Twitter tags to privacy.html for head consistency.</w:t>
      </w:r>
    </w:p>
    <w:p w14:paraId="257FCA02" w14:textId="77777777" w:rsidR="00704FBA" w:rsidRDefault="00704FBA" w:rsidP="00704FBA">
      <w:pPr>
        <w:spacing w:after="60"/>
      </w:pPr>
      <w:r>
        <w:t>- [x] 0.6 Confirmed the transaction figures now reconcile (56+ throughout; referral 70%); no "50 mandates" remaining.</w:t>
      </w:r>
    </w:p>
    <w:p w14:paraId="6EEF2D9A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1. Pre-launch blockers (P0)</w:t>
      </w:r>
    </w:p>
    <w:p w14:paraId="0EDC2E03" w14:textId="77777777" w:rsidR="00704FBA" w:rsidRDefault="00704FBA" w:rsidP="00704FBA">
      <w:pPr>
        <w:spacing w:after="60"/>
      </w:pPr>
      <w:r>
        <w:t xml:space="preserve">1. Verify the contact form </w:t>
      </w:r>
      <w:proofErr w:type="gramStart"/>
      <w:r>
        <w:t>actually delivers</w:t>
      </w:r>
      <w:proofErr w:type="gramEnd"/>
      <w:r>
        <w:t xml:space="preserve">. It posts to `https://formspree.io/info@charcotcapital.com`, the deprecated email-in-URL format that usually fails to the error fallback. Create a </w:t>
      </w:r>
      <w:proofErr w:type="spellStart"/>
      <w:r>
        <w:t>Formspree</w:t>
      </w:r>
      <w:proofErr w:type="spellEnd"/>
      <w:r>
        <w:t xml:space="preserve"> form (or a serverless endpoint), use the `/f/{id}` URL, and send one live end-to-end test.</w:t>
      </w:r>
    </w:p>
    <w:p w14:paraId="2FDDE196" w14:textId="77777777" w:rsidR="00704FBA" w:rsidRDefault="00704FBA" w:rsidP="00704FBA">
      <w:pPr>
        <w:spacing w:after="60"/>
      </w:pPr>
      <w:r>
        <w:t xml:space="preserve">2. State the regulatory position in the footer. The line currently shows company registration only. Add FCA status and FRN if authorised or an appointed </w:t>
      </w:r>
      <w:proofErr w:type="gramStart"/>
      <w:r>
        <w:t>representative, or</w:t>
      </w:r>
      <w:proofErr w:type="gramEnd"/>
      <w:r>
        <w:t xml:space="preserve"> confirm in writing that none is required.</w:t>
      </w:r>
    </w:p>
    <w:p w14:paraId="6E240FAE" w14:textId="77777777" w:rsidR="00704FBA" w:rsidRDefault="00704FBA" w:rsidP="00704FBA">
      <w:pPr>
        <w:spacing w:after="60"/>
      </w:pPr>
      <w:r>
        <w:t>3. Confirm office reality. The contact page shows London and Paris; the team narrative references a Singapore presence (2011, since relocated). Decide the current office list and make every page agree.</w:t>
      </w:r>
    </w:p>
    <w:p w14:paraId="4A1005D8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2. Conversion and trust (P1)</w:t>
      </w:r>
    </w:p>
    <w:p w14:paraId="681A9659" w14:textId="77777777" w:rsidR="00704FBA" w:rsidRDefault="00704FBA" w:rsidP="00704FBA">
      <w:pPr>
        <w:spacing w:after="60"/>
      </w:pPr>
      <w:r>
        <w:t>4. Add a clickable firm telephone number (contact page and footer). Senior clients expect a direct line; only a form phone field exists today.</w:t>
      </w:r>
    </w:p>
    <w:p w14:paraId="5F06CF70" w14:textId="77777777" w:rsidR="00704FBA" w:rsidRDefault="00704FBA" w:rsidP="00704FBA">
      <w:pPr>
        <w:spacing w:after="60"/>
      </w:pPr>
      <w:r>
        <w:t>5. Consider partner-level contact or a scheduling link, to match the "speak directly with the partners" promise.</w:t>
      </w:r>
    </w:p>
    <w:p w14:paraId="2350E63D" w14:textId="77777777" w:rsidR="00704FBA" w:rsidRDefault="00704FBA" w:rsidP="00704FBA">
      <w:pPr>
        <w:spacing w:after="60"/>
      </w:pPr>
      <w:r>
        <w:t>6. Make the referral statistic more prominent near the primary calls to action.</w:t>
      </w:r>
    </w:p>
    <w:p w14:paraId="5DB78E32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3. Performance and build (P1)</w:t>
      </w:r>
    </w:p>
    <w:p w14:paraId="066BF4E0" w14:textId="77777777" w:rsidR="00704FBA" w:rsidRDefault="00704FBA" w:rsidP="00704FBA">
      <w:pPr>
        <w:spacing w:after="60"/>
      </w:pPr>
      <w:r>
        <w:t>7. Replace the Tailwind CDN runtime with a compiled static CSS file (build step). Removes the render-blocking script and the production warning.</w:t>
      </w:r>
    </w:p>
    <w:p w14:paraId="769DFC54" w14:textId="77777777" w:rsidR="00704FBA" w:rsidRDefault="00704FBA" w:rsidP="00704FBA">
      <w:pPr>
        <w:spacing w:after="60"/>
      </w:pPr>
      <w:r>
        <w:t xml:space="preserve">8. Optimise all photography: convert to </w:t>
      </w:r>
      <w:proofErr w:type="spellStart"/>
      <w:r>
        <w:t>WebP</w:t>
      </w:r>
      <w:proofErr w:type="spellEnd"/>
      <w:r>
        <w:t>/AVIF, resize to displayed dimensions, and compress. Priority offenders: About (~6 MB), office PNGs (~2 MB each), leadership portraits, decorative compass/bridge art, the 2.2 MB transactions map SVG.</w:t>
      </w:r>
    </w:p>
    <w:p w14:paraId="25E6233F" w14:textId="77777777" w:rsidR="00704FBA" w:rsidRDefault="00704FBA" w:rsidP="00704FBA">
      <w:pPr>
        <w:spacing w:after="60"/>
      </w:pPr>
      <w:r>
        <w:t>9. Add width and height (or aspect-ratio) to all 104 images to remove layout shift.</w:t>
      </w:r>
    </w:p>
    <w:p w14:paraId="08E2DDC4" w14:textId="77777777" w:rsidR="00704FBA" w:rsidRDefault="00704FBA" w:rsidP="00704FBA">
      <w:pPr>
        <w:spacing w:after="60"/>
      </w:pPr>
      <w:r>
        <w:t>10. Lazy-load below-the-fold images beyond the tombstones.</w:t>
      </w:r>
    </w:p>
    <w:p w14:paraId="02624C53" w14:textId="77777777" w:rsidR="00704FBA" w:rsidRDefault="00704FBA" w:rsidP="00704FBA">
      <w:pPr>
        <w:spacing w:after="60"/>
      </w:pPr>
      <w:r>
        <w:t xml:space="preserve">11. Use the </w:t>
      </w:r>
      <w:proofErr w:type="spellStart"/>
      <w:r>
        <w:t>Vercel</w:t>
      </w:r>
      <w:proofErr w:type="spellEnd"/>
      <w:r>
        <w:t xml:space="preserve"> image optimisation pipeline once images are rationalised.</w:t>
      </w:r>
    </w:p>
    <w:p w14:paraId="76EA2B67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4. Visual consistency (P1)</w:t>
      </w:r>
    </w:p>
    <w:p w14:paraId="0037AAD4" w14:textId="77777777" w:rsidR="00704FBA" w:rsidRDefault="00704FBA" w:rsidP="00704FBA">
      <w:pPr>
        <w:spacing w:after="60"/>
      </w:pPr>
      <w:r>
        <w:lastRenderedPageBreak/>
        <w:t xml:space="preserve">12. Unify the hero system across all pages: one architecture (e.g. left text, right motif), one fixed height, one eyebrow style. Today there are five different hero treatments (photographic, </w:t>
      </w:r>
      <w:proofErr w:type="gramStart"/>
      <w:r>
        <w:t>single-object</w:t>
      </w:r>
      <w:proofErr w:type="gramEnd"/>
      <w:r>
        <w:t>, tinted, and two with no image at all on Contact and Careers).</w:t>
      </w:r>
    </w:p>
    <w:p w14:paraId="72A131B9" w14:textId="77777777" w:rsidR="00704FBA" w:rsidRDefault="00704FBA" w:rsidP="00704FBA">
      <w:pPr>
        <w:spacing w:after="60"/>
      </w:pPr>
      <w:r>
        <w:t xml:space="preserve">13. Balance the Services capability sections: align the narrative column and the Scope list to a shared top baseline and even out the large vertical voids; apply one vertical spacing scale </w:t>
      </w:r>
      <w:proofErr w:type="gramStart"/>
      <w:r>
        <w:t>site-wide</w:t>
      </w:r>
      <w:proofErr w:type="gramEnd"/>
      <w:r>
        <w:t>.</w:t>
      </w:r>
    </w:p>
    <w:p w14:paraId="2CFD7494" w14:textId="77777777" w:rsidR="00704FBA" w:rsidRDefault="00704FBA" w:rsidP="00704FBA">
      <w:pPr>
        <w:spacing w:after="60"/>
      </w:pPr>
      <w:r>
        <w:t>14. Normalise tombstone cards: uniform logo max-height, equal padding, single greyscale/opacity treatment, consistent card height, and no orphan cells in the final row of each group. (Asset-level: the logos are baked into the tombstone PNGs.)</w:t>
      </w:r>
    </w:p>
    <w:p w14:paraId="126E290F" w14:textId="77777777" w:rsidR="00704FBA" w:rsidRDefault="00704FBA" w:rsidP="00704FBA">
      <w:pPr>
        <w:spacing w:after="60"/>
      </w:pPr>
      <w:r>
        <w:t>15. Give Contact and Careers heroes a consistent visual motif so they do not read as bare next to the other pages.</w:t>
      </w:r>
    </w:p>
    <w:p w14:paraId="2729EF61" w14:textId="77777777" w:rsidR="00704FBA" w:rsidRDefault="00704FBA" w:rsidP="00704FBA">
      <w:pPr>
        <w:spacing w:after="60"/>
      </w:pPr>
      <w:r>
        <w:t>16. Re-check all spacing fixes at tablet and mobile breakpoints.</w:t>
      </w:r>
    </w:p>
    <w:p w14:paraId="362544AF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5. Image language (P1/P2)</w:t>
      </w:r>
    </w:p>
    <w:p w14:paraId="04D99EBD" w14:textId="77777777" w:rsidR="00704FBA" w:rsidRDefault="00704FBA" w:rsidP="00704FBA">
      <w:pPr>
        <w:spacing w:after="60"/>
      </w:pPr>
      <w:r>
        <w:t>17. Commit to one coherent image system and one grade. Pull every photograph to a single cool, desaturated tone at consistent contrast and opacity; the greyscale partner portraits are the right reference.</w:t>
      </w:r>
    </w:p>
    <w:p w14:paraId="2BAB73C8" w14:textId="77777777" w:rsidR="00704FBA" w:rsidRDefault="00704FBA" w:rsidP="00704FBA">
      <w:pPr>
        <w:spacing w:after="60"/>
      </w:pPr>
      <w:r>
        <w:t>18. Replace the AI/stock-looking sector tiles with a uniform duotone treatment or a more ownable motif.</w:t>
      </w:r>
    </w:p>
    <w:p w14:paraId="6B857F31" w14:textId="77777777" w:rsidR="00704FBA" w:rsidRDefault="00704FBA" w:rsidP="00704FBA">
      <w:pPr>
        <w:spacing w:after="60"/>
      </w:pPr>
      <w:r>
        <w:t>19. Replace stock cityscapes (London, Paris) with real photography of the actual buildings; removes the iStock watermark dependency.</w:t>
      </w:r>
    </w:p>
    <w:p w14:paraId="7B6D7C33" w14:textId="77777777" w:rsidR="00704FBA" w:rsidRDefault="00704FBA" w:rsidP="00704FBA">
      <w:pPr>
        <w:spacing w:after="60"/>
      </w:pPr>
      <w:r>
        <w:t>20. Remove remaining watermarked stock images before finalising (noted as in hand).</w:t>
      </w:r>
    </w:p>
    <w:p w14:paraId="3242A50B" w14:textId="77777777" w:rsidR="00704FBA" w:rsidRDefault="00704FBA" w:rsidP="00704FBA">
      <w:pPr>
        <w:spacing w:after="60"/>
      </w:pPr>
      <w:r>
        <w:t>21. Re-theme or remove the remaining bridge image on About ("Why it matters") so the page is fully on the nautical/archival theme.</w:t>
      </w:r>
    </w:p>
    <w:p w14:paraId="740AE701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6. Proof and credibility (P2, competitive gap)</w:t>
      </w:r>
    </w:p>
    <w:p w14:paraId="60D66564" w14:textId="77777777" w:rsidR="00704FBA" w:rsidRDefault="00704FBA" w:rsidP="00704FBA">
      <w:pPr>
        <w:spacing w:after="60"/>
      </w:pPr>
      <w:r>
        <w:t>22. Launch a light Insights / News section (start with three or four pieces). Every credible peer (Rothschild, Lazard, Evercore, Houlihan Lokey, Perella Weinberg, Ondra) runs one; Charcot has none. Highest-value strategic addition.</w:t>
      </w:r>
    </w:p>
    <w:p w14:paraId="1BFCA1C5" w14:textId="77777777" w:rsidR="00704FBA" w:rsidRDefault="00704FBA" w:rsidP="00704FBA">
      <w:pPr>
        <w:spacing w:after="60"/>
      </w:pPr>
      <w:r>
        <w:t>23. Enrich the track record: add deal role and, where disclosable, value; add two or three short case studies.</w:t>
      </w:r>
    </w:p>
    <w:p w14:paraId="45D6C062" w14:textId="77777777" w:rsidR="00704FBA" w:rsidRDefault="00704FBA" w:rsidP="00704FBA">
      <w:pPr>
        <w:spacing w:after="60"/>
      </w:pPr>
      <w:r>
        <w:t>24. Replace synthetic-looking imagery with authentic photography wherever trust matters (portraits already improved).</w:t>
      </w:r>
    </w:p>
    <w:p w14:paraId="5A9F43D2" w14:textId="77777777" w:rsidR="00704FBA" w:rsidRDefault="00704FBA" w:rsidP="00704FBA">
      <w:pPr>
        <w:spacing w:after="60"/>
      </w:pPr>
      <w:r>
        <w:t>25. Add partner-level contact or LinkedIn links on the team page.</w:t>
      </w:r>
    </w:p>
    <w:p w14:paraId="406CA247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7. SEO and structured data (P2)</w:t>
      </w:r>
    </w:p>
    <w:p w14:paraId="15ADB8B3" w14:textId="77777777" w:rsidR="00704FBA" w:rsidRDefault="00704FBA" w:rsidP="00704FBA">
      <w:pPr>
        <w:spacing w:after="60"/>
      </w:pPr>
      <w:r>
        <w:t xml:space="preserve">26. Add Organization / </w:t>
      </w:r>
      <w:proofErr w:type="spellStart"/>
      <w:r>
        <w:t>FinancialService</w:t>
      </w:r>
      <w:proofErr w:type="spellEnd"/>
      <w:r>
        <w:t xml:space="preserve"> and Person JSON-LD structured data.</w:t>
      </w:r>
    </w:p>
    <w:p w14:paraId="44936971" w14:textId="77777777" w:rsidR="00704FBA" w:rsidRDefault="00704FBA" w:rsidP="00704FBA">
      <w:pPr>
        <w:spacing w:after="60"/>
      </w:pPr>
      <w:r>
        <w:t xml:space="preserve">27. Sharpen remaining page titles with geography and intent keywords </w:t>
      </w:r>
      <w:proofErr w:type="gramStart"/>
      <w:r>
        <w:t>where</w:t>
      </w:r>
      <w:proofErr w:type="gramEnd"/>
      <w:r>
        <w:t xml:space="preserve"> useful.</w:t>
      </w:r>
    </w:p>
    <w:p w14:paraId="6640F9A7" w14:textId="77777777" w:rsidR="00704FBA" w:rsidRDefault="00704FBA" w:rsidP="00704FBA">
      <w:pPr>
        <w:spacing w:after="60"/>
      </w:pPr>
      <w:r>
        <w:t>28. Keep robots.txt and sitemap.xml in sync as pages (e.g. Insights) are added.</w:t>
      </w:r>
    </w:p>
    <w:p w14:paraId="5A3156C5" w14:textId="77777777" w:rsidR="00704FBA" w:rsidRPr="00704FBA" w:rsidRDefault="00704FBA" w:rsidP="00704FBA">
      <w:pPr>
        <w:spacing w:after="60"/>
        <w:rPr>
          <w:b/>
          <w:bCs/>
        </w:rPr>
      </w:pPr>
      <w:r w:rsidRPr="00704FBA">
        <w:rPr>
          <w:b/>
          <w:bCs/>
        </w:rPr>
        <w:t>## 8. Content accuracy (ongoing)</w:t>
      </w:r>
    </w:p>
    <w:p w14:paraId="2CA15BC3" w14:textId="77777777" w:rsidR="00704FBA" w:rsidRDefault="00704FBA" w:rsidP="00704FBA">
      <w:pPr>
        <w:spacing w:after="60"/>
      </w:pPr>
      <w:r>
        <w:t>29. Lock one canonical set of figures (transactions, countries, continents, referral %) in a single source and reuse; re-check after any copy edit.</w:t>
      </w:r>
    </w:p>
    <w:p w14:paraId="75745D80" w14:textId="454A1A09" w:rsidR="00704FBA" w:rsidRDefault="00704FBA" w:rsidP="00704FBA">
      <w:pPr>
        <w:spacing w:after="60"/>
      </w:pPr>
      <w:r>
        <w:t>30. Keep the "independent advisory from 2002, firm co-founded 2008" wording consistent wherever dates appear.</w:t>
      </w:r>
    </w:p>
    <w:sectPr w:rsidR="00704FBA" w:rsidSect="00704F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BA"/>
    <w:rsid w:val="002A5DE8"/>
    <w:rsid w:val="0070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F557"/>
  <w15:chartTrackingRefBased/>
  <w15:docId w15:val="{CCAC2A96-AAA2-4B31-9839-97CD0D1C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841</Words>
  <Characters>4597</Characters>
  <Application>Microsoft Office Word</Application>
  <DocSecurity>0</DocSecurity>
  <Lines>99</Lines>
  <Paragraphs>59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Jabas</dc:creator>
  <cp:keywords/>
  <dc:description/>
  <cp:lastModifiedBy>Thorsten Jabas</cp:lastModifiedBy>
  <cp:revision>1</cp:revision>
  <cp:lastPrinted>2026-06-13T11:26:00Z</cp:lastPrinted>
  <dcterms:created xsi:type="dcterms:W3CDTF">2026-06-13T11:22:00Z</dcterms:created>
  <dcterms:modified xsi:type="dcterms:W3CDTF">2026-06-13T11:26:00Z</dcterms:modified>
</cp:coreProperties>
</file>