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auto" w:w="11100.472440944883"/>
        <w:tblLayout w:type="fixed"/>
      </w:tblPr>
      <w:tblGrid>
        <w:gridCol w:w="1850.07874015748"/>
        <w:gridCol w:w="1850.07874015748"/>
        <w:gridCol w:w="1850.07874015748"/>
        <w:gridCol w:w="1850.07874015748"/>
        <w:gridCol w:w="1850.07874015748"/>
        <w:gridCol w:w="1850.07874015748"/>
      </w:tblGrid>
      <w:tr>
        <w:tc>
          <w:tcPr>
            <w:vAlign w:val="bottom"/>
            <w:tcMar>
              <w:top w:w="0" w:type="dxa"/>
              <w:bottom w:w="453.54330708661416" w:type="dxa"/>
              <w:end w:w="0" w:type="dxa"/>
              <w:start w:w="0" w:type="dxa"/>
            </w:tcMar>
            <w:gridSpan w:val="3"/>
          </w:tcPr>
          <w:p>
            <w:pPr>
              <w:pStyle w:val="Heading1"/>
            </w:pPr>
            <w:r>
              <w:t xml:space="preserve">Timothy Hostetler</w:t>
            </w:r>
          </w:p>
          <w:p>
            <w:pPr>
              <w:spacing w:after="0"/>
              <w:pStyle w:val="Heading4"/>
            </w:pPr>
            <w:r>
              <w:rPr>
                <w:color w:val="#3C78D8"/>
              </w:rPr>
              <w:t xml:space="preserve">Software Engineer</w:t>
            </w:r>
          </w:p>
        </w:tc>
        <w:tc>
          <w:tcPr>
            <w:vAlign w:val="bottom"/>
            <w:tcMar>
              <w:top w:w="0" w:type="dxa"/>
              <w:bottom w:w="453.54330708661416" w:type="dxa"/>
              <w:end w:w="0" w:type="dxa"/>
              <w:start w:w="0" w:type="dxa"/>
            </w:tcMar>
            <w:gridSpan w:val="3"/>
          </w:tcPr>
          <w:p>
            <w:pPr>
              <w:jc w:val="right"/>
              <w:pStyle w:val="Heading3"/>
            </w:pPr>
            <w:hyperlink w:history="1" r:id="rId52098">
              <w:r>
                <w:rPr>
                  <w:rStyle w:val="Hyperlink"/>
                </w:rPr>
                <w:t xml:space="preserve">tim@thost.dev</w:t>
              </w:r>
            </w:hyperlink>
          </w:p>
          <w:p>
            <w:pPr>
              <w:jc w:val="right"/>
              <w:pStyle w:val="Heading3"/>
            </w:pPr>
            <w:r>
              <w:rPr>
                <w:color w:val="#3C78D8"/>
                <w:sz w:val="20"/>
                <w:szCs w:val="20"/>
              </w:rPr>
              <w:t xml:space="preserve">Maryland</w:t>
            </w:r>
          </w:p>
        </w:tc>
      </w:tr>
      <w:tr>
        <w:tc>
          <w:tcPr>
            <w:vAlign w:val="center"/>
            <w:tcMar>
              <w:top w:w="155.90551181102364" w:type="dxa"/>
              <w:bottom w:w="0" w:type="dxa"/>
              <w:end w:w="0" w:type="dxa"/>
              <w:start w:w="0" w:type="dxa"/>
            </w:tcMar>
            <w:gridSpan w:val="6"/>
          </w:tcPr>
          <w:p>
            <w:r>
              <w:t xml:space="preserve">Front-End Developer with 7+ years of experience leading the development of high-impact web applications, including NASA ADS's "Bumblebee" and "Nectar" projects. Proven track record of enhancing site performance and user experience, with a focus on accessibility and scalability. Demonstrated ability to drive significant project improvements, mentor teams, and implement modern web technologies.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</w:tc>
      </w:tr>
      <w:tr>
        <w:tc>
          <w:tcPr>
            <w:tcMar>
              <w:top w:w="155.90551181102364" w:type="dxa"/>
              <w:bottom w:w="155.90551181102364" w:type="dxa"/>
              <w:end w:w="0" w:type="dxa"/>
              <w:start w:w="0" w:type="dxa"/>
            </w:tcMar>
            <w:gridSpan w:val="6"/>
          </w:tcPr>
          <w:p>
            <w:pPr>
              <w:pStyle w:val="Heading2"/>
            </w:pPr>
            <w:r>
              <w:t xml:space="preserve">Professional Experience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Astrophysics Data System, Cambridge, MA</w:t>
            </w:r>
          </w:p>
          <w:p>
            <w:pPr>
              <w:spacing w:line="192"/>
              <w:pStyle w:val="Heading3"/>
            </w:pPr>
            <w:r>
              <w:t xml:space="preserve">Full-Stack Web Developer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May 2017 — Present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r>
              <w:rPr>
                <w:b w:val="true"/>
                <w:bCs w:val="true"/>
              </w:rPr>
              <w:t xml:space="preserve">"Bumblebee" Project: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Optimized Build Processes:</w:t>
            </w:r>
            <w:r>
              <w:t xml:space="preserve"> Achieved a 30% increase in site speed by implementing efficient build processes and comprehensive caching strategies, enhancing overall site reliability and user satisfaction.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Maintained Legacy Systems:</w:t>
            </w:r>
            <w:r>
              <w:t xml:space="preserve"> Successfully maintained and improved a complex production environment built on Backbone and RequireJS, ensuring stability and usability for a global user base.</w:t>
            </w:r>
          </w:p>
          <w:p>
            <w:pPr>
              <w:spacing w:line="240" w:before="0"/>
              <w:pStyle w:val="ListParagraph"/>
              <w:numPr>
                <w:ilvl w:val="0"/>
                <w:numId w:val="3"/>
              </w:numPr>
            </w:pPr>
            <w:r>
              <w:rPr>
                <w:b w:val="true"/>
                <w:bCs w:val="true"/>
              </w:rPr>
              <w:t xml:space="preserve">Performance Optimization &amp; Accessibility: </w:t>
            </w:r>
            <w:r>
              <w:t xml:space="preserve">Spearheaded efforts to improve site speed by 50% through advanced bundling techniques and client-side caching strategies.</w:t>
            </w:r>
            <w:r>
              <w:br/>
            </w:r>
            <w:r>
              <w:t xml:space="preserve">Conducted accessibility audits, elevating the site’s compliance from A to AA standards and integrating accessibility best practices throughout the development life-cycle.</w:t>
            </w:r>
            <w:r>
              <w:br/>
            </w:r>
          </w:p>
          <w:p>
            <w:r>
              <w:rPr>
                <w:b w:val="true"/>
                <w:bCs w:val="true"/>
              </w:rPr>
              <w:t xml:space="preserve">"Nectar" Project: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rPr>
                <w:b w:val="true"/>
                <w:bCs w:val="true"/>
              </w:rPr>
              <w:t xml:space="preserve">Led Modernization Efforts:</w:t>
            </w:r>
            <w:r>
              <w:t xml:space="preserve"> Spearheaded the transition to a modern tech stack using Next.js and TypeScript, resulting in considerable improvement in load times and enhanced security features.</w:t>
            </w:r>
          </w:p>
          <w:p>
            <w:pPr>
              <w:spacing w:line="240" w:before="0"/>
              <w:pStyle w:val="ListParagraph"/>
              <w:numPr>
                <w:ilvl w:val="0"/>
                <w:numId w:val="9"/>
              </w:numPr>
            </w:pPr>
            <w:r>
              <w:rPr>
                <w:b w:val="true"/>
                <w:bCs w:val="true"/>
              </w:rPr>
              <w:t xml:space="preserve">Accessibility Leadership:</w:t>
            </w:r>
            <w:r>
              <w:t xml:space="preserve"> Led efforts to ensure WCAG compliance, expanding our platform's accessibility and making data accessible to a broader audience, including those with disabilities.</w:t>
            </w:r>
          </w:p>
          <w:p>
            <w:r>
              <w:rPr>
                <w:b w:val="true"/>
                <w:bCs w:val="true"/>
              </w:rPr>
              <w:t xml:space="preserve">Cross-Functional Collaboration:</w:t>
            </w:r>
          </w:p>
          <w:p>
            <w:pPr>
              <w:spacing w:line="240" w:before="0"/>
              <w:pStyle w:val="ListParagraph"/>
              <w:numPr>
                <w:ilvl w:val="0"/>
                <w:numId w:val="13"/>
              </w:numPr>
            </w:pPr>
            <w:r>
              <w:rPr>
                <w:b w:val="true"/>
                <w:bCs w:val="true"/>
              </w:rPr>
              <w:t xml:space="preserve">"MyADS" Notification UI:</w:t>
            </w:r>
            <w:r>
              <w:t xml:space="preserve"> Directed the development and integration of a personalized notification system, increasing user engagement. Coordinated with UX designers and data curators to align the project with user needs and organizational goals.</w:t>
            </w:r>
            <w:r>
              <w:br/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Intermedix, Pittsburgh, PA</w:t>
            </w:r>
          </w:p>
          <w:p>
            <w:pPr>
              <w:spacing w:line="192"/>
              <w:pStyle w:val="Heading3"/>
            </w:pPr>
            <w:r>
              <w:t xml:space="preserve">Software Engineer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August 2014 — May 2017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rPr>
                <w:b w:val="true"/>
                <w:bCs w:val="true"/>
              </w:rPr>
              <w:t xml:space="preserve">UI Toolkit Development:</w:t>
            </w:r>
            <w:r>
              <w:t xml:space="preserve"> Developed a standardized UI toolkit used across the company, streamlining the development process and ensuring a consistent look and feel across all applications. This initiative reduced development time for new features by 20%.</w:t>
            </w:r>
          </w:p>
          <w:p>
            <w:pPr>
              <w:spacing w:line="240" w:before="0"/>
              <w:pStyle w:val="ListParagraph"/>
              <w:numPr>
                <w:ilvl w:val="0"/>
                <w:numId w:val="15"/>
              </w:numPr>
            </w:pPr>
            <w:r>
              <w:rPr>
                <w:b w:val="true"/>
                <w:bCs w:val="true"/>
              </w:rPr>
              <w:t xml:space="preserve">Geo/Map Component Leadership:</w:t>
            </w:r>
            <w:r>
              <w:t xml:space="preserve"> Led the creation and enhancement of geo/map components, resulting in more accurate and efficient data visualization tools that improved user decision-making capabilities.</w:t>
            </w:r>
          </w:p>
        </w:tc>
      </w:tr>
      <w:tr>
        <w:tc>
          <w:tcPr>
            <w:vAlign w:val="center"/>
            <w:tcMar>
              <w:top w:w="155.90551181102364" w:type="dxa"/>
              <w:bottom w:w="0" w:type="dxa"/>
              <w:end w:w="0" w:type="dxa"/>
              <w:start w:w="0" w:type="dxa"/>
            </w:tcMar>
            <w:gridSpan w:val="6"/>
          </w:tcPr>
          <w:p>
            <w:pPr>
              <w:spacing w:line="336"/>
              <w:pStyle w:val="Heading2"/>
            </w:pPr>
            <w:r>
              <w:t xml:space="preserve">Education</w:t>
            </w:r>
          </w:p>
          <w:p>
            <w:pPr>
              <w:spacing w:line="192"/>
              <w:pStyle w:val="Heading3"/>
            </w:pPr>
            <w:r>
              <w:t xml:space="preserve">MS in Applied Computer Science</w:t>
            </w:r>
          </w:p>
          <w:p>
            <w:pPr>
              <w:spacing w:line="192"/>
            </w:pPr>
            <w:r>
              <w:t xml:space="preserve">Frostburg University, Frostburg, MD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  <w:p>
            <w:pPr>
              <w:spacing w:line="192"/>
              <w:pStyle w:val="Heading3"/>
            </w:pPr>
            <w:r>
              <w:t xml:space="preserve">BS in Information Technology</w:t>
            </w:r>
          </w:p>
          <w:p>
            <w:pPr>
              <w:spacing w:line="192"/>
            </w:pPr>
            <w:r>
              <w:t xml:space="preserve">Robert Morris University, Pittsburgh, PA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  <w:p>
            <w:pPr>
              <w:spacing w:line="192"/>
              <w:pStyle w:val="Heading3"/>
            </w:pPr>
            <w:r>
              <w:t xml:space="preserve">UX Engineering</w:t>
            </w:r>
          </w:p>
          <w:p>
            <w:pPr>
              <w:spacing w:line="192"/>
            </w:pPr>
            <w:r>
              <w:t xml:space="preserve">Harvard Extension School, Cambridge, MA</w:t>
            </w:r>
          </w:p>
          <w:p>
            <w:pPr>
              <w:spacing w:line="120"/>
            </w:pPr>
            <w:r>
              <w:rPr>
                <w:sz w:val="14"/>
                <w:szCs w:val="14"/>
              </w:rPr>
            </w:r>
          </w:p>
        </w:tc>
      </w:tr>
      <w:tr>
        <w:tc>
          <w:tcPr>
            <w:tcMar>
              <w:top w:w="113.38582677165354" w:type="dxa"/>
              <w:bottom w:w="170.0787401574803" w:type="dxa"/>
              <w:end w:w="0" w:type="dxa"/>
              <w:start w:w="0" w:type="dxa"/>
            </w:tcMar>
            <w:gridSpan w:val="6"/>
          </w:tcPr>
          <w:p>
            <w:pPr>
              <w:spacing w:line="336"/>
              <w:pStyle w:val="Heading2"/>
            </w:pPr>
            <w:r>
              <w:t xml:space="preserve">Areas of Expertise</w:t>
            </w:r>
          </w:p>
        </w:tc>
      </w:tr>
      <w:tr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#3C78D8"/>
                <w:sz w:val="11"/>
                <w:szCs w:val="11"/>
              </w:rPr>
              <w:t xml:space="preserve"> ●    </w:t>
            </w:r>
            <w:r>
              <w:t xml:space="preserve">JavaScript, TypeScript, Python, Java, Node.js</w:t>
            </w:r>
          </w:p>
          <w:p>
            <w:pPr>
              <w:spacing w:line="240"/>
              <w:ind w:left="350" w:hanging="350"/>
            </w:pPr>
            <w:r>
              <w:rPr>
                <w:color w:val="#3C78D8"/>
                <w:sz w:val="11"/>
                <w:szCs w:val="11"/>
              </w:rPr>
              <w:t xml:space="preserve"> ●    </w:t>
            </w:r>
            <w:r>
              <w:t xml:space="preserve">WCAG compliance, JAWS</w:t>
            </w:r>
          </w:p>
        </w:tc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#3C78D8"/>
                <w:sz w:val="11"/>
                <w:szCs w:val="11"/>
              </w:rPr>
              <w:t xml:space="preserve"> ●    </w:t>
            </w:r>
            <w:r>
              <w:t xml:space="preserve">Next.js, React, Vue.js, Express.js, Fastify</w:t>
            </w:r>
          </w:p>
        </w:tc>
        <w:tc>
          <w:tcPr>
            <w:tcMar>
              <w:top w:w="0" w:type="dxa"/>
              <w:bottom w:w="340.1574803149606" w:type="dxa"/>
              <w:end w:w="0" w:type="dxa"/>
              <w:start w:w="0" w:type="dxa"/>
            </w:tcMar>
            <w:gridSpan w:val="2"/>
          </w:tcPr>
          <w:p>
            <w:pPr>
              <w:spacing w:line="240"/>
              <w:ind w:left="350" w:hanging="350"/>
            </w:pPr>
            <w:r>
              <w:rPr>
                <w:color w:val="#3C78D8"/>
                <w:sz w:val="11"/>
                <w:szCs w:val="11"/>
              </w:rPr>
              <w:t xml:space="preserve"> ●    </w:t>
            </w:r>
            <w:r>
              <w:t xml:space="preserve">Google Analytics, Looker Studio, Google Tag Manager, Git, Docker, GitHub Actions</w:t>
            </w:r>
          </w:p>
        </w:tc>
      </w:tr>
      <w:tr>
        <w:tc>
          <w:tcPr>
            <w:tcMar>
              <w:top w:w="155.90551181102364" w:type="dxa"/>
              <w:bottom w:w="155.90551181102364" w:type="dxa"/>
              <w:end w:w="0" w:type="dxa"/>
              <w:start w:w="0" w:type="dxa"/>
            </w:tcMar>
            <w:gridSpan w:val="6"/>
          </w:tcPr>
          <w:p>
            <w:pPr>
              <w:pStyle w:val="Heading2"/>
            </w:pPr>
            <w:r>
              <w:t xml:space="preserve">Projects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Design and Development of ADS User Interface ("Nectar"), ADS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January 2021 — Present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r>
              <w:t xml:space="preserve">Led the design and implementation of a modern web interface using Next.js and TypeScript, focusing on speed, security, and accessibility. Enhanced site performance by 50% and elevated accessibility standards from A to AA.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Web Accessibility Talk at ADASS 2022 and Paper Submission, ADS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October 2022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r>
              <w:t xml:space="preserve">Delivered a presentation on web accessibility challenges and solutions, sharing insights from leading accessibility audits and implementing best practices.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>
            <w:pPr>
              <w:spacing w:line="192"/>
              <w:pStyle w:val="Heading3"/>
            </w:pPr>
            <w:r>
              <w:t xml:space="preserve">Robotic Path Finding Using Simplified Simulated Annealing, Frostburg University</w:t>
            </w:r>
          </w:p>
        </w:tc>
        <w:tc>
          <w:tcPr>
            <w:gridSpan w:val="3"/>
          </w:tcPr>
          <w:p>
            <w:pPr>
              <w:spacing w:line="192"/>
              <w:jc w:val="right"/>
              <w:pStyle w:val="Heading3"/>
            </w:pPr>
            <w:r>
              <w:t xml:space="preserve">August 2012 — December 2012</w:t>
            </w:r>
          </w:p>
        </w:tc>
      </w:tr>
      <w:tr>
        <w:tc>
          <w:tcPr>
            <w:tcMar>
              <w:top w:w="0" w:type="dxa"/>
              <w:bottom w:w="283.46456692913387" w:type="dxa"/>
              <w:end w:w="0" w:type="dxa"/>
              <w:start w:w="0" w:type="dxa"/>
            </w:tcMar>
            <w:gridSpan w:val="6"/>
          </w:tcPr>
          <w:p>
            <w:r>
              <w:t xml:space="preserve">Designed a robot utilizing a simplified Simulated Annealing algorithm for pathfinding, demonstrating advanced problem-solving and programming skills.</w:t>
            </w:r>
          </w:p>
        </w:tc>
      </w:tr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3"/>
          </w:tcPr>
          <w:p/>
        </w:tc>
        <w:tc>
          <w:tcPr>
            <w:gridSpan w:val="3"/>
          </w:tcPr>
          <w:p/>
        </w:tc>
      </w:tr>
    </w:tbl>
    <w:sectPr>
      <w:pgSz w:w="12240" w:h="15840" w:orient="portrait"/>
      <w:pgMar w:top="453.54330708661416" w:right="566.9291338582677" w:bottom="453.54330708661416" w:left="566.9291338582677" w:header="708" w:footer="708" w:gutter="0" w:mirrorMargins="false"/>
      <w:cols w:space="708" w:num="1"/>
      <w:docGrid w:linePitch="360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  <w:pStyle w:val="PageNumber"/>
    </w:pPr>
    <w:r>
      <w:t xml:space="preserve">Page </w:t>
      <w:fldChar w:fldCharType="begin"/>
      <w:instrText xml:space="preserve">PAGE</w:instrText>
      <w:fldChar w:fldCharType="separate"/>
      <w:fldChar w:fldCharType="end"/>
      <w:t xml:space="preserve"> |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after="80" w:line="240"/>
    </w:pPr>
    <w:rPr>
      <w:color w:val="#282828"/>
      <w:sz w:val="20"/>
      <w:szCs w:val="20"/>
      <w:rFonts w:ascii="Source Sans Pro" w:cs="Source Sans Pro" w:eastAsia="Source Sans Pro" w:hAnsi="Source Sans Pro"/>
    </w:rPr>
  </w:style>
  <w:style w:type="paragraph" w:styleId="Heading1">
    <w:name w:val="Heading 1"/>
    <w:rPr>
      <w:color w:val="#3C78D8"/>
      <w:sz w:val="46"/>
      <w:szCs w:val="46"/>
      <w:rFonts w:ascii="IBM Plex Sans" w:cs="IBM Plex Sans" w:eastAsia="IBM Plex Sans" w:hAnsi="IBM Plex Sans"/>
    </w:rPr>
    <w:basedOn w:val="Normal"/>
  </w:style>
  <w:style w:type="paragraph" w:styleId="Heading4">
    <w:name w:val="Heading 4"/>
    <w:pPr>
      <w:spacing w:after="85.03937007874015"/>
    </w:pPr>
    <w:rPr>
      <w:sz w:val="24"/>
      <w:szCs w:val="24"/>
    </w:rPr>
    <w:basedOn w:val="Normal"/>
  </w:style>
  <w:style w:type="paragraph" w:styleId="Heading3">
    <w:name w:val="Heading 3"/>
    <w:rPr>
      <w:color w:val="#3C78D8"/>
      <w:sz w:val="20"/>
      <w:szCs w:val="20"/>
    </w:rPr>
    <w:basedOn w:val="Normal"/>
  </w:style>
  <w:style w:type="paragraph" w:styleId="Heading2">
    <w:name w:val="Heading 2"/>
    <w:rPr>
      <w:color w:val="#3C78D8"/>
      <w:sz w:val="36"/>
      <w:szCs w:val="36"/>
      <w:rFonts w:ascii="IBM Plex Sans" w:cs="IBM Plex Sans" w:eastAsia="IBM Plex Sans" w:hAnsi="IBM Plex Sans"/>
    </w:rPr>
    <w:basedOn w:val="Normal"/>
  </w:style>
  <w:style w:type="paragraph" w:styleId="PageNumber">
    <w:name w:val="Page Number"/>
    <w:rPr>
      <w:color w:val="#3C78D8"/>
      <w:sz w:val="20"/>
      <w:szCs w:val="20"/>
    </w:rPr>
    <w:basedOn w:val="Normal"/>
  </w:style>
  <w:style w:type="character" w:styleId="Hyperlink">
    <w:name w:val="Hyperlink"/>
    <w:rPr>
      <w:u w:val="single"/>
    </w:rPr>
    <w:uiPriority w:val="99"/>
    <w:unhideWhenUsed/>
    <w:basedOn w:val="Normal"/>
  </w:style>
  <w:style w:type="character" w:styleId="SocialProfileLink">
    <w:name w:val="Social Profile Link"/>
    <w:rPr>
      <w:color w:val="#3C78D8"/>
      <w:sz w:val="18"/>
      <w:szCs w:val="18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2098" Type="http://schemas.openxmlformats.org/officeDocument/2006/relationships/hyperlink" Target="mailto:tim@thost.dev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2024-07-26T02:07:25Z</dcterms:created>
  <dcterms:modified xsi:type="dcterms:W3CDTF">2024-07-26T02:07:25Z</dcterms:modified>
</cp:coreProperties>
</file>