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068" w:sz="8" w:space="1"/>
        </w:pBdr>
        <w:spacing w:after="0" w:before="0"/>
      </w:pPr>
    </w:p>
    <w:p>
      <w:pPr>
        <w:spacing w:after="120"/>
      </w:pPr>
    </w:p>
    <w:p>
      <w:pPr>
        <w:spacing w:after="80"/>
        <w:jc w:val="center"/>
      </w:pPr>
      <w:r>
        <w:rPr>
          <w:rFonts w:ascii="Arial" w:cs="Arial" w:eastAsia="Arial" w:hAnsi="Arial"/>
          <w:b/>
          <w:bCs/>
          <w:color w:val="1A1A2E"/>
          <w:sz w:val="52"/>
          <w:szCs w:val="52"/>
        </w:rPr>
        <w:t xml:space="preserve">VEXA</w:t>
      </w:r>
    </w:p>
    <w:p>
      <w:pPr>
        <w:spacing w:after="80"/>
        <w:jc w:val="center"/>
      </w:pPr>
      <w:r>
        <w:rPr>
          <w:rFonts w:ascii="Arial" w:cs="Arial" w:eastAsia="Arial" w:hAnsi="Arial"/>
          <w:color w:val="1F4068"/>
          <w:sz w:val="28"/>
          <w:szCs w:val="28"/>
        </w:rPr>
        <w:t xml:space="preserve">UPI Fraud Detection System</w:t>
      </w:r>
    </w:p>
    <w:p>
      <w:pPr>
        <w:spacing w:after="80"/>
        <w:jc w:val="center"/>
      </w:pPr>
      <w:r>
        <w:rPr>
          <w:rFonts w:ascii="Arial" w:cs="Arial" w:eastAsia="Arial" w:hAnsi="Arial"/>
          <w:i/>
          <w:iCs/>
          <w:color w:val="444444"/>
          <w:sz w:val="22"/>
          <w:szCs w:val="22"/>
        </w:rPr>
        <w:t xml:space="preserve">Global Impact Mapping — UN Sustainable Development Goals</w:t>
      </w:r>
    </w:p>
    <w:p>
      <w:pPr>
        <w:spacing w:after="360"/>
        <w:jc w:val="center"/>
      </w:pPr>
      <w:r>
        <w:rPr>
          <w:rFonts w:ascii="Arial" w:cs="Arial" w:eastAsia="Arial" w:hAnsi="Arial"/>
          <w:color w:val="888888"/>
          <w:sz w:val="20"/>
          <w:szCs w:val="20"/>
        </w:rPr>
        <w:t xml:space="preserve">Challenge 2: TeamVEXA_W3_C2</w:t>
      </w:r>
    </w:p>
    <w:p>
      <w:pPr>
        <w:pBdr>
          <w:bottom w:val="single" w:color="DDDDDD" w:sz="2" w:space="1"/>
        </w:pBdr>
        <w:spacing w:after="360"/>
      </w:pPr>
    </w:p>
    <w:p>
      <w:pPr>
        <w:pStyle w:val="Heading1"/>
      </w:pPr>
      <w:r>
        <w:t xml:space="preserve">Introduction</w:t>
      </w:r>
    </w:p>
    <w:p>
      <w:pPr>
        <w:spacing w:after="240"/>
      </w:pPr>
      <w:r>
        <w:rPr>
          <w:rFonts w:ascii="Arial" w:cs="Arial" w:eastAsia="Arial" w:hAnsi="Arial"/>
          <w:sz w:val="24"/>
          <w:szCs w:val="24"/>
        </w:rPr>
        <w:t xml:space="preserve">VEXA is an AI-powered UPI fraud detection system built to protect digital payment users in India from real-time financial fraud. Using machine learning-based risk scoring, velocity attack detection, and an explainable AI panel, VEXA flags suspicious transactions, freezes compromised accounts, and empowers users to understand exactly why a transaction was blocked. Beyond its technical capabilities, VEXA directly addresses several of the United Nations' 17 Sustainable Development Goals — making it a solution with both immediate fintech impact and long-term global significance.</w:t>
      </w:r>
    </w:p>
    <w:p>
      <w:pPr>
        <w:pBdr>
          <w:bottom w:val="single" w:color="DDDDDD" w:sz="2" w:space="1"/>
        </w:pBdr>
        <w:spacing w:after="360"/>
      </w:pPr>
    </w:p>
    <w:p>
      <w:pPr>
        <w:pStyle w:val="Heading1"/>
      </w:pPr>
      <w:r>
        <w:t xml:space="preserve">Primary Goal: SDG 16 — Peace, Justice &amp; Strong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068"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SDG 16</w:t>
            </w:r>
          </w:p>
        </w:tc>
        <w:tc>
          <w:tcPr>
            <w:tcW w:type="dxa" w:w="7960"/>
            <w:tcBorders>
              <w:top w:val="single" w:color="CCCCCC" w:sz="1"/>
              <w:left w:val="single" w:color="CCCCCC" w:sz="1"/>
              <w:bottom w:val="single" w:color="CCCCCC" w:sz="1"/>
              <w:right w:val="single" w:color="CCCCCC" w:sz="1"/>
            </w:tcBorders>
            <w:shd w:fill="EBF3FA" w:val="clear"/>
            <w:tcMar>
              <w:top w:type="dxa" w:w="120"/>
              <w:left w:type="dxa" w:w="200"/>
              <w:bottom w:type="dxa" w:w="120"/>
              <w:right w:type="dxa" w:w="200"/>
            </w:tcMar>
          </w:tcPr>
          <w:p>
            <w:r>
              <w:rPr>
                <w:rFonts w:ascii="Arial" w:cs="Arial" w:eastAsia="Arial" w:hAnsi="Arial"/>
                <w:b/>
                <w:bCs/>
                <w:color w:val="1F4068"/>
                <w:sz w:val="22"/>
                <w:szCs w:val="22"/>
              </w:rPr>
              <w:t xml:space="preserve">Target 16.4 — Significantly reduce illicit financial flows and strengthen the recovery of stolen assets.</w:t>
            </w:r>
          </w:p>
        </w:tc>
      </w:tr>
    </w:tbl>
    <w:p>
      <w:pPr>
        <w:spacing w:after="160"/>
      </w:pPr>
    </w:p>
    <w:p>
      <w:pPr>
        <w:spacing w:after="200"/>
      </w:pPr>
      <w:r>
        <w:rPr>
          <w:rFonts w:ascii="Arial" w:cs="Arial" w:eastAsia="Arial" w:hAnsi="Arial"/>
          <w:sz w:val="24"/>
          <w:szCs w:val="24"/>
        </w:rPr>
        <w:t xml:space="preserve">SDG 16 is VEXA's most direct alignment. Financial fraud is one of the most prevalent forms of illicit financial flow in emerging digital economies. With over 400 million UPI users in India and fraud incidents rising year-over-year, systems like VEXA serve as critical infrastructure for justice and institutional integrity in the digital payments ecosystem.</w:t>
      </w:r>
    </w:p>
    <w:p>
      <w:pPr>
        <w:spacing w:after="120"/>
      </w:pPr>
      <w:r>
        <w:rPr>
          <w:rFonts w:ascii="Arial" w:cs="Arial" w:eastAsia="Arial" w:hAnsi="Arial"/>
          <w:b/>
          <w:bCs/>
          <w:sz w:val="24"/>
          <w:szCs w:val="24"/>
        </w:rPr>
        <w:t xml:space="preserve">How VEXA addresses this goal:</w:t>
      </w:r>
    </w:p>
    <w:p>
      <w:pPr>
        <w:pStyle w:val="ListParagraph"/>
        <w:numPr>
          <w:ilvl w:val="0"/>
          <w:numId w:val="2"/>
        </w:numPr>
        <w:spacing w:after="100"/>
      </w:pPr>
      <w:r>
        <w:rPr>
          <w:rFonts w:ascii="Arial" w:cs="Arial" w:eastAsia="Arial" w:hAnsi="Arial"/>
          <w:sz w:val="24"/>
          <w:szCs w:val="24"/>
        </w:rPr>
        <w:t xml:space="preserve">Real-time ML-based fraud scoring prevents fraudulent transactions before money is transferred — directly cutting illicit financial flows at the point of origin.</w:t>
      </w:r>
    </w:p>
    <w:p>
      <w:pPr>
        <w:pStyle w:val="ListParagraph"/>
        <w:numPr>
          <w:ilvl w:val="0"/>
          <w:numId w:val="2"/>
        </w:numPr>
        <w:spacing w:after="100"/>
      </w:pPr>
      <w:r>
        <w:rPr>
          <w:rFonts w:ascii="Arial" w:cs="Arial" w:eastAsia="Arial" w:hAnsi="Arial"/>
          <w:sz w:val="24"/>
          <w:szCs w:val="24"/>
        </w:rPr>
        <w:t xml:space="preserve">Velocity attack detection automatically freezes accounts when abnormal transaction bursts are detected, protecting users from rapid fund siphoning.</w:t>
      </w:r>
    </w:p>
    <w:p>
      <w:pPr>
        <w:pStyle w:val="ListParagraph"/>
        <w:numPr>
          <w:ilvl w:val="0"/>
          <w:numId w:val="2"/>
        </w:numPr>
        <w:spacing w:after="100"/>
      </w:pPr>
      <w:r>
        <w:rPr>
          <w:rFonts w:ascii="Arial" w:cs="Arial" w:eastAsia="Arial" w:hAnsi="Arial"/>
          <w:sz w:val="24"/>
          <w:szCs w:val="24"/>
        </w:rPr>
        <w:t xml:space="preserve">The Trusted Registry mechanism allows users to whitelist verified merchants, reducing false positives while maintaining strong institutional detection of genuinely suspicious activity.</w:t>
      </w:r>
    </w:p>
    <w:p>
      <w:pPr>
        <w:pStyle w:val="ListParagraph"/>
        <w:numPr>
          <w:ilvl w:val="0"/>
          <w:numId w:val="2"/>
        </w:numPr>
        <w:spacing w:after="100"/>
      </w:pPr>
      <w:r>
        <w:rPr>
          <w:rFonts w:ascii="Arial" w:cs="Arial" w:eastAsia="Arial" w:hAnsi="Arial"/>
          <w:sz w:val="24"/>
          <w:szCs w:val="24"/>
        </w:rPr>
        <w:t xml:space="preserve">An OTP challenge layer adds a human verification step during freeze events, creating an institutional checkpoint that mirrors the intent of formal financial safeguards.</w:t>
      </w:r>
    </w:p>
    <w:p>
      <w:pPr>
        <w:spacing w:after="280"/>
      </w:pPr>
    </w:p>
    <w:p>
      <w:pPr>
        <w:pStyle w:val="Heading1"/>
      </w:pPr>
      <w:r>
        <w:t xml:space="preserve">Secondary Goal: SDG 10 — Reduced Inequalities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D1367"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SDG 10</w:t>
            </w:r>
          </w:p>
        </w:tc>
        <w:tc>
          <w:tcPr>
            <w:tcW w:type="dxa" w:w="7960"/>
            <w:tcBorders>
              <w:top w:val="single" w:color="CCCCCC" w:sz="1"/>
              <w:left w:val="single" w:color="CCCCCC" w:sz="1"/>
              <w:bottom w:val="single" w:color="CCCCCC" w:sz="1"/>
              <w:right w:val="single" w:color="CCCCCC" w:sz="1"/>
            </w:tcBorders>
            <w:shd w:fill="FDEEF5" w:val="clear"/>
            <w:tcMar>
              <w:top w:type="dxa" w:w="120"/>
              <w:left w:type="dxa" w:w="200"/>
              <w:bottom w:type="dxa" w:w="120"/>
              <w:right w:type="dxa" w:w="200"/>
            </w:tcMar>
          </w:tcPr>
          <w:p>
            <w:r>
              <w:rPr>
                <w:rFonts w:ascii="Arial" w:cs="Arial" w:eastAsia="Arial" w:hAnsi="Arial"/>
                <w:b/>
                <w:bCs/>
                <w:color w:val="991049"/>
                <w:sz w:val="22"/>
                <w:szCs w:val="22"/>
              </w:rPr>
              <w:t xml:space="preserve">Target 10.5 — Improve the regulation and monitoring of financial markets and institutions.</w:t>
            </w:r>
          </w:p>
        </w:tc>
      </w:tr>
    </w:tbl>
    <w:p>
      <w:pPr>
        <w:spacing w:after="160"/>
      </w:pPr>
    </w:p>
    <w:p>
      <w:pPr>
        <w:spacing w:after="200"/>
      </w:pPr>
      <w:r>
        <w:rPr>
          <w:rFonts w:ascii="Arial" w:cs="Arial" w:eastAsia="Arial" w:hAnsi="Arial"/>
          <w:sz w:val="24"/>
          <w:szCs w:val="24"/>
        </w:rPr>
        <w:t xml:space="preserve">Digital payment fraud disproportionately harms low-income users, first-time smartphone owners, and rural populations who are adopting UPI as their first banking touchpoint. These users often lack the financial literacy or resources to recover from fraud losses. VEXA closes this protection gap by providing enterprise-grade fraud detection accessible to every UPI user — regardless of income level.</w:t>
      </w:r>
    </w:p>
    <w:p>
      <w:pPr>
        <w:spacing w:after="120"/>
      </w:pPr>
      <w:r>
        <w:rPr>
          <w:rFonts w:ascii="Arial" w:cs="Arial" w:eastAsia="Arial" w:hAnsi="Arial"/>
          <w:b/>
          <w:bCs/>
          <w:sz w:val="24"/>
          <w:szCs w:val="24"/>
        </w:rPr>
        <w:t xml:space="preserve">How VEXA addresses this goal:</w:t>
      </w:r>
    </w:p>
    <w:p>
      <w:pPr>
        <w:pStyle w:val="ListParagraph"/>
        <w:numPr>
          <w:ilvl w:val="0"/>
          <w:numId w:val="2"/>
        </w:numPr>
        <w:spacing w:after="100"/>
      </w:pPr>
      <w:r>
        <w:rPr>
          <w:rFonts w:ascii="Arial" w:cs="Arial" w:eastAsia="Arial" w:hAnsi="Arial"/>
          <w:sz w:val="24"/>
          <w:szCs w:val="24"/>
        </w:rPr>
        <w:t xml:space="preserve">VEXA's AI explainability panel translates complex fraud signals into plain-language reasons (e.g. 'Unusual device — transaction from an unregistered device') — making fraud protection understandable to non-technical users.</w:t>
      </w:r>
    </w:p>
    <w:p>
      <w:pPr>
        <w:pStyle w:val="ListParagraph"/>
        <w:numPr>
          <w:ilvl w:val="0"/>
          <w:numId w:val="2"/>
        </w:numPr>
        <w:spacing w:after="100"/>
      </w:pPr>
      <w:r>
        <w:rPr>
          <w:rFonts w:ascii="Arial" w:cs="Arial" w:eastAsia="Arial" w:hAnsi="Arial"/>
          <w:sz w:val="24"/>
          <w:szCs w:val="24"/>
        </w:rPr>
        <w:t xml:space="preserve">Automatic account protection requires no user intervention — the system freezes and alerts without demanding the user recognize or report the fraud themselves.</w:t>
      </w:r>
    </w:p>
    <w:p>
      <w:pPr>
        <w:pStyle w:val="ListParagraph"/>
        <w:numPr>
          <w:ilvl w:val="0"/>
          <w:numId w:val="2"/>
        </w:numPr>
        <w:spacing w:after="100"/>
      </w:pPr>
      <w:r>
        <w:rPr>
          <w:rFonts w:ascii="Arial" w:cs="Arial" w:eastAsia="Arial" w:hAnsi="Arial"/>
          <w:sz w:val="24"/>
          <w:szCs w:val="24"/>
        </w:rPr>
        <w:t xml:space="preserve">By operating on UPI infrastructure — India's free, universal payments layer — VEXA's protection extends to the most economically vulnerable segments of the population.</w:t>
      </w:r>
    </w:p>
    <w:p>
      <w:pPr>
        <w:spacing w:after="280"/>
      </w:pPr>
    </w:p>
    <w:p>
      <w:pPr>
        <w:pStyle w:val="Heading1"/>
      </w:pPr>
      <w:r>
        <w:t xml:space="preserve">Supporting Goal: SDG 9 — Industry, Innovation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26C24"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SDG 9</w:t>
            </w:r>
          </w:p>
        </w:tc>
        <w:tc>
          <w:tcPr>
            <w:tcW w:type="dxa" w:w="7960"/>
            <w:tcBorders>
              <w:top w:val="single" w:color="CCCCCC" w:sz="1"/>
              <w:left w:val="single" w:color="CCCCCC" w:sz="1"/>
              <w:bottom w:val="single" w:color="CCCCCC" w:sz="1"/>
              <w:right w:val="single" w:color="CCCCCC" w:sz="1"/>
            </w:tcBorders>
            <w:shd w:fill="FEF3ED" w:val="clear"/>
            <w:tcMar>
              <w:top w:type="dxa" w:w="120"/>
              <w:left w:type="dxa" w:w="200"/>
              <w:bottom w:type="dxa" w:w="120"/>
              <w:right w:type="dxa" w:w="200"/>
            </w:tcMar>
          </w:tcPr>
          <w:p>
            <w:r>
              <w:rPr>
                <w:rFonts w:ascii="Arial" w:cs="Arial" w:eastAsia="Arial" w:hAnsi="Arial"/>
                <w:b/>
                <w:bCs/>
                <w:color w:val="A84B18"/>
                <w:sz w:val="22"/>
                <w:szCs w:val="22"/>
              </w:rPr>
              <w:t xml:space="preserve">Target 9.c — Increase access to information and communications technology and provide universal internet access in developing countries.</w:t>
            </w:r>
          </w:p>
        </w:tc>
      </w:tr>
    </w:tbl>
    <w:p>
      <w:pPr>
        <w:spacing w:after="160"/>
      </w:pPr>
    </w:p>
    <w:p>
      <w:pPr>
        <w:spacing w:after="200"/>
      </w:pPr>
      <w:r>
        <w:rPr>
          <w:rFonts w:ascii="Arial" w:cs="Arial" w:eastAsia="Arial" w:hAnsi="Arial"/>
          <w:sz w:val="24"/>
          <w:szCs w:val="24"/>
        </w:rPr>
        <w:t xml:space="preserve">VEXA demonstrates that AI-powered financial security infrastructure can be built rapidly, at low cost, by student developers — and deployed on top of widely-adopted digital infrastructure. This directly supports SDG 9's vision of resilient, inclusive, and sustainable digital infrastructure in developing economies.</w:t>
      </w:r>
    </w:p>
    <w:p>
      <w:pPr>
        <w:spacing w:after="120"/>
      </w:pPr>
      <w:r>
        <w:rPr>
          <w:rFonts w:ascii="Arial" w:cs="Arial" w:eastAsia="Arial" w:hAnsi="Arial"/>
          <w:b/>
          <w:bCs/>
          <w:sz w:val="24"/>
          <w:szCs w:val="24"/>
        </w:rPr>
        <w:t xml:space="preserve">How VEXA addresses this goal:</w:t>
      </w:r>
    </w:p>
    <w:p>
      <w:pPr>
        <w:pStyle w:val="ListParagraph"/>
        <w:numPr>
          <w:ilvl w:val="0"/>
          <w:numId w:val="2"/>
        </w:numPr>
        <w:spacing w:after="100"/>
      </w:pPr>
      <w:r>
        <w:rPr>
          <w:rFonts w:ascii="Arial" w:cs="Arial" w:eastAsia="Arial" w:hAnsi="Arial"/>
          <w:sz w:val="24"/>
          <w:szCs w:val="24"/>
        </w:rPr>
        <w:t xml:space="preserve">VEXA is built as a lightweight Python/Flask + JavaScript stack that can run on consumer hardware — no cloud infrastructure required — making it deployable by small fintech teams or NBFCs.</w:t>
      </w:r>
    </w:p>
    <w:p>
      <w:pPr>
        <w:pStyle w:val="ListParagraph"/>
        <w:numPr>
          <w:ilvl w:val="0"/>
          <w:numId w:val="2"/>
        </w:numPr>
        <w:spacing w:after="100"/>
      </w:pPr>
      <w:r>
        <w:rPr>
          <w:rFonts w:ascii="Arial" w:cs="Arial" w:eastAsia="Arial" w:hAnsi="Arial"/>
          <w:sz w:val="24"/>
          <w:szCs w:val="24"/>
        </w:rPr>
        <w:t xml:space="preserve">The modular architecture (velocity.py, explainer.py, main.py) demonstrates clean, reusable AI-integrated financial infrastructure that future developers can build on.</w:t>
      </w:r>
    </w:p>
    <w:p>
      <w:pPr>
        <w:pStyle w:val="ListParagraph"/>
        <w:numPr>
          <w:ilvl w:val="0"/>
          <w:numId w:val="2"/>
        </w:numPr>
        <w:spacing w:after="100"/>
      </w:pPr>
      <w:r>
        <w:rPr>
          <w:rFonts w:ascii="Arial" w:cs="Arial" w:eastAsia="Arial" w:hAnsi="Arial"/>
          <w:sz w:val="24"/>
          <w:szCs w:val="24"/>
        </w:rPr>
        <w:t xml:space="preserve">Integration with Claude API for explainability shows how large language models can be layered onto existing rule-based systems to add interpretability — a critical innovation for regulated financial systems.</w:t>
      </w:r>
    </w:p>
    <w:p>
      <w:pPr>
        <w:spacing w:after="360"/>
      </w:pP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2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SDG</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Goal</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VEXA's contribution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Impact level</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333333"/>
                <w:sz w:val="22"/>
                <w:szCs w:val="22"/>
              </w:rPr>
              <w:t xml:space="preserve">16</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333333"/>
                <w:sz w:val="22"/>
                <w:szCs w:val="22"/>
              </w:rPr>
              <w:t xml:space="preserve">Peace, Justice &amp; Strong Institutions</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333333"/>
                <w:sz w:val="22"/>
                <w:szCs w:val="22"/>
              </w:rPr>
              <w:t xml:space="preserve">Real-time fraud blocking, account freeze, OTP challenge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F4068"/>
                <w:sz w:val="22"/>
                <w:szCs w:val="22"/>
              </w:rPr>
              <w:t xml:space="preserve">Primary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Reduced Inequalities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Plain-language AI explanations, automatic protection for all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049"/>
                <w:sz w:val="22"/>
                <w:szCs w:val="22"/>
              </w:rPr>
              <w:t xml:space="preserve">Secondary</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333333"/>
                <w:sz w:val="22"/>
                <w:szCs w:val="22"/>
              </w:rPr>
              <w:t xml:space="preserve">9</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333333"/>
                <w:sz w:val="22"/>
                <w:szCs w:val="22"/>
              </w:rPr>
              <w:t xml:space="preserve">Industry, Innovation &amp; Infrastructure</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333333"/>
                <w:sz w:val="22"/>
                <w:szCs w:val="22"/>
              </w:rPr>
              <w:t xml:space="preserve">Low-cost AI fraud stack deployable on existing UPI infrastructure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A84B18"/>
                <w:sz w:val="22"/>
                <w:szCs w:val="22"/>
              </w:rPr>
              <w:t xml:space="preserve">Supporting</w:t>
            </w:r>
          </w:p>
        </w:tc>
      </w:tr>
    </w:tbl>
    <w:p>
      <w:pPr>
        <w:spacing w:after="400"/>
      </w:pPr>
    </w:p>
    <w:p>
      <w:pPr>
        <w:pStyle w:val="Heading1"/>
      </w:pPr>
      <w:r>
        <w:t xml:space="preserve">Conclusion</w:t>
      </w:r>
    </w:p>
    <w:p>
      <w:pPr>
        <w:spacing w:after="240"/>
      </w:pPr>
      <w:r>
        <w:rPr>
          <w:rFonts w:ascii="Arial" w:cs="Arial" w:eastAsia="Arial" w:hAnsi="Arial"/>
          <w:sz w:val="24"/>
          <w:szCs w:val="24"/>
        </w:rPr>
        <w:t xml:space="preserve">VEXA is more than a hackathon project — it is a working prototype of the kind of AI-driven financial infrastructure that developing economies need to make digital payments safe, equitable, and trustworthy for every citizen. By directly targeting illicit financial flows (SDG 16), protecting vulnerable first-time digital users (SDG 10), and demonstrating a replicable model of low-cost AI fintech (SDG 9), VEXA aligns with the UN's vision of a just, inclusive, and innovative digital future.</w:t>
      </w:r>
    </w:p>
    <w:p>
      <w:pPr>
        <w:pBdr>
          <w:bottom w:val="single" w:color="1F4068" w:sz="8" w:space="1"/>
        </w:pBd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TeamVEXA_W3_C2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0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2026-05-23T18:22:25.630Z</dcterms:created>
  <dcterms:modified xsi:type="dcterms:W3CDTF">2026-05-23T18:22:25.631Z</dcterms:modified>
</cp:coreProperties>
</file>

<file path=docProps/custom.xml><?xml version="1.0" encoding="utf-8"?>
<Properties xmlns="http://schemas.openxmlformats.org/officeDocument/2006/custom-properties" xmlns:vt="http://schemas.openxmlformats.org/officeDocument/2006/docPropsVTypes"/>
</file>