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CE7C8">
      <w:pPr>
        <w:spacing w:before="0" w:after="0" w:line="512" w:lineRule="exact"/>
        <w:ind w:left="1872" w:right="0" w:firstLine="0"/>
        <w:jc w:val="left"/>
        <w:rPr>
          <w:rFonts w:hAnsi="Calibri"/>
          <w:color w:val="000000"/>
          <w:sz w:val="38"/>
          <w:szCs w:val="22"/>
          <w:lang w:val="en-US" w:eastAsia="en-US" w:bidi="ar-SA"/>
        </w:rPr>
      </w:pPr>
      <w:bookmarkStart w:id="0" w:name="br1"/>
      <w:bookmarkEnd w:id="0"/>
      <w:bookmarkStart w:id="1" w:name="br1_0"/>
      <w:bookmarkEnd w:id="1"/>
      <w:r>
        <w:rPr>
          <w:rFonts w:ascii="HGORST+STZhongsong" w:hAnsi="HGORST+STZhongsong" w:cs="HGORST+STZhongsong" w:eastAsiaTheme="minorEastAsia"/>
          <w:color w:val="000000"/>
          <w:sz w:val="38"/>
          <w:szCs w:val="22"/>
          <w:lang w:val="en-US" w:eastAsia="en-US" w:bidi="ar-SA"/>
        </w:rPr>
        <w:t>公平竞争审查制度实施细则</w:t>
      </w:r>
    </w:p>
    <w:p w14:paraId="4CAB60E2">
      <w:pPr>
        <w:spacing w:before="910" w:after="0" w:line="279" w:lineRule="exact"/>
        <w:ind w:left="3343" w:right="0" w:firstLine="0"/>
        <w:jc w:val="left"/>
        <w:rPr>
          <w:rFonts w:hAnsi="Calibri"/>
          <w:color w:val="000000"/>
          <w:sz w:val="27"/>
          <w:szCs w:val="22"/>
          <w:lang w:val="en-US" w:eastAsia="en-US" w:bidi="ar-SA"/>
        </w:rPr>
      </w:pPr>
      <w:r>
        <w:rPr>
          <w:rFonts w:ascii="宋体" w:hAnsi="宋体" w:cs="宋体" w:eastAsiaTheme="minorEastAsia"/>
          <w:color w:val="000000"/>
          <w:sz w:val="27"/>
          <w:szCs w:val="22"/>
          <w:lang w:val="en-US" w:eastAsia="en-US" w:bidi="ar-SA"/>
        </w:rPr>
        <w:t>第一章</w:t>
      </w:r>
      <w:r>
        <w:rPr>
          <w:rFonts w:hAnsi="Calibri" w:eastAsiaTheme="minorEastAsia" w:cstheme="minorBidi"/>
          <w:color w:val="000000"/>
          <w:spacing w:val="203"/>
          <w:sz w:val="27"/>
          <w:szCs w:val="22"/>
          <w:lang w:val="en-US" w:eastAsia="en-US" w:bidi="ar-SA"/>
        </w:rPr>
        <w:t xml:space="preserve"> </w:t>
      </w:r>
      <w:r>
        <w:rPr>
          <w:rFonts w:ascii="宋体" w:hAnsi="宋体" w:cs="宋体" w:eastAsiaTheme="minorEastAsia"/>
          <w:color w:val="000000"/>
          <w:spacing w:val="-1"/>
          <w:sz w:val="27"/>
          <w:szCs w:val="22"/>
          <w:lang w:val="en-US" w:eastAsia="en-US" w:bidi="ar-SA"/>
        </w:rPr>
        <w:t>总则</w:t>
      </w:r>
    </w:p>
    <w:p w14:paraId="408DDD3E">
      <w:pPr>
        <w:spacing w:before="321" w:after="0" w:line="279" w:lineRule="exact"/>
        <w:ind w:left="542" w:right="0" w:firstLine="0"/>
        <w:jc w:val="left"/>
        <w:rPr>
          <w:rFonts w:hAnsi="Calibri"/>
          <w:color w:val="000000"/>
          <w:sz w:val="27"/>
          <w:szCs w:val="22"/>
          <w:lang w:val="en-US" w:eastAsia="en-US" w:bidi="ar-SA"/>
        </w:rPr>
      </w:pPr>
      <w:r>
        <w:rPr>
          <w:rFonts w:ascii="宋体" w:hAnsi="宋体" w:cs="宋体" w:eastAsiaTheme="minorEastAsia"/>
          <w:color w:val="000000"/>
          <w:spacing w:val="1"/>
          <w:sz w:val="27"/>
          <w:szCs w:val="22"/>
          <w:lang w:val="en-US" w:eastAsia="en-US" w:bidi="ar-SA"/>
        </w:rPr>
        <w:t>第一条</w:t>
      </w:r>
      <w:r>
        <w:rPr>
          <w:rFonts w:hAnsi="Calibr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为全面落实公平竞争审查制度，健全公平竞争审查机</w:t>
      </w:r>
    </w:p>
    <w:p w14:paraId="5452811F">
      <w:pPr>
        <w:spacing w:before="321" w:after="0" w:line="279" w:lineRule="exact"/>
        <w:ind w:left="0" w:right="0" w:firstLine="0"/>
        <w:jc w:val="left"/>
        <w:rPr>
          <w:rFonts w:hAnsi="Calibri"/>
          <w:color w:val="000000"/>
          <w:sz w:val="27"/>
          <w:szCs w:val="22"/>
          <w:lang w:val="en-US" w:eastAsia="en-US" w:bidi="ar-SA"/>
        </w:rPr>
      </w:pPr>
      <w:r>
        <w:rPr>
          <w:rFonts w:ascii="宋体" w:hAnsi="宋体" w:cs="宋体" w:eastAsiaTheme="minorEastAsia"/>
          <w:color w:val="000000"/>
          <w:sz w:val="27"/>
          <w:szCs w:val="22"/>
          <w:lang w:val="en-US" w:eastAsia="en-US" w:bidi="ar-SA"/>
        </w:rPr>
        <w:t>制，规范有效开展审查工作，根据《</w:t>
      </w:r>
      <w:r>
        <w:fldChar w:fldCharType="begin"/>
      </w:r>
      <w:r>
        <w:instrText xml:space="preserve"> HYPERLINK "https://www.pkulaw.com/chl/503218397088141cbdfb.html" </w:instrText>
      </w:r>
      <w:r>
        <w:fldChar w:fldCharType="separate"/>
      </w:r>
      <w:r>
        <w:rPr>
          <w:rFonts w:ascii="宋体" w:hAnsi="宋体" w:cs="宋体" w:eastAsiaTheme="minorEastAsia"/>
          <w:color w:val="000000"/>
          <w:sz w:val="27"/>
          <w:szCs w:val="22"/>
          <w:lang w:val="en-US" w:eastAsia="en-US" w:bidi="ar-SA"/>
        </w:rPr>
        <w:t>中华人民共和国反垄断法</w:t>
      </w:r>
      <w:r>
        <w:rPr>
          <w:rFonts w:ascii="宋体" w:hAnsi="宋体" w:cs="宋体" w:eastAsiaTheme="minorEastAsia"/>
          <w:color w:val="000000"/>
          <w:sz w:val="27"/>
          <w:szCs w:val="22"/>
          <w:lang w:val="en-US" w:eastAsia="en-US" w:bidi="ar-SA"/>
        </w:rPr>
        <w:fldChar w:fldCharType="end"/>
      </w:r>
      <w:r>
        <w:rPr>
          <w:rFonts w:ascii="宋体" w:hAnsi="宋体" w:cs="宋体" w:eastAsiaTheme="minorEastAsia"/>
          <w:color w:val="000000"/>
          <w:spacing w:val="-1"/>
          <w:sz w:val="27"/>
          <w:szCs w:val="22"/>
          <w:lang w:val="en-US" w:eastAsia="en-US" w:bidi="ar-SA"/>
        </w:rPr>
        <w:t>》、</w:t>
      </w:r>
    </w:p>
    <w:p w14:paraId="7613E2E1">
      <w:pPr>
        <w:spacing w:before="321" w:after="0" w:line="279" w:lineRule="exact"/>
        <w:ind w:left="0" w:right="0" w:firstLine="0"/>
        <w:jc w:val="left"/>
        <w:rPr>
          <w:rFonts w:hAnsi="Calibri"/>
          <w:color w:val="000000"/>
          <w:sz w:val="27"/>
          <w:szCs w:val="22"/>
          <w:lang w:val="en-US" w:eastAsia="en-US" w:bidi="ar-SA"/>
        </w:rPr>
      </w:pPr>
      <w:r>
        <w:rPr>
          <w:rFonts w:ascii="宋体" w:hAnsi="宋体" w:cs="宋体" w:eastAsiaTheme="minorEastAsia"/>
          <w:color w:val="000000"/>
          <w:spacing w:val="-1"/>
          <w:sz w:val="27"/>
          <w:szCs w:val="22"/>
          <w:lang w:val="en-US" w:eastAsia="en-US" w:bidi="ar-SA"/>
        </w:rPr>
        <w:t>《</w:t>
      </w:r>
      <w:r>
        <w:fldChar w:fldCharType="begin"/>
      </w:r>
      <w:r>
        <w:instrText xml:space="preserve"> HYPERLINK "https://www.pkulaw.com/chl/a87136f6ba497fd7bdfb.html" </w:instrText>
      </w:r>
      <w:r>
        <w:fldChar w:fldCharType="separate"/>
      </w:r>
      <w:r>
        <w:rPr>
          <w:rFonts w:ascii="宋体" w:hAnsi="宋体" w:cs="宋体" w:eastAsiaTheme="minorEastAsia"/>
          <w:color w:val="000000"/>
          <w:sz w:val="27"/>
          <w:szCs w:val="22"/>
          <w:lang w:val="en-US" w:eastAsia="en-US" w:bidi="ar-SA"/>
        </w:rPr>
        <w:t>国务院关于在市场体系建设中建立公平竞争审查制度的意见</w:t>
      </w:r>
      <w:r>
        <w:rPr>
          <w:rFonts w:ascii="宋体" w:hAnsi="宋体" w:cs="宋体" w:eastAsiaTheme="minorEastAsia"/>
          <w:color w:val="000000"/>
          <w:sz w:val="27"/>
          <w:szCs w:val="22"/>
          <w:lang w:val="en-US" w:eastAsia="en-US" w:bidi="ar-SA"/>
        </w:rPr>
        <w:fldChar w:fldCharType="end"/>
      </w:r>
      <w:r>
        <w:rPr>
          <w:rFonts w:ascii="宋体" w:hAnsi="宋体" w:cs="宋体" w:eastAsiaTheme="minorEastAsia"/>
          <w:color w:val="000000"/>
          <w:sz w:val="27"/>
          <w:szCs w:val="22"/>
          <w:lang w:val="en-US" w:eastAsia="en-US" w:bidi="ar-SA"/>
        </w:rPr>
        <w:t>》（国</w:t>
      </w:r>
    </w:p>
    <w:p w14:paraId="340D41FE">
      <w:pPr>
        <w:spacing w:before="321" w:after="0" w:line="279" w:lineRule="exact"/>
        <w:ind w:left="0" w:right="0" w:firstLine="0"/>
        <w:jc w:val="left"/>
        <w:rPr>
          <w:rFonts w:ascii="宋体" w:hAnsi="宋体" w:cs="宋体" w:eastAsiaTheme="minorEastAsia"/>
          <w:color w:val="000000"/>
          <w:sz w:val="27"/>
          <w:szCs w:val="22"/>
          <w:lang w:val="en-US" w:eastAsia="en-US" w:bidi="ar-SA"/>
        </w:rPr>
      </w:pPr>
      <w:r>
        <w:rPr>
          <w:rFonts w:ascii="宋体" w:hAnsi="宋体" w:cs="宋体" w:eastAsiaTheme="minorEastAsia"/>
          <w:color w:val="000000"/>
          <w:sz w:val="27"/>
          <w:szCs w:val="22"/>
          <w:lang w:val="en-US" w:eastAsia="en-US" w:bidi="ar-SA"/>
        </w:rPr>
        <w:t>发〔2016〕34</w:t>
      </w:r>
      <w:r>
        <w:rPr>
          <w:rFonts w:hAnsi="Calibri" w:eastAsiaTheme="minorEastAsia" w:cstheme="minorBidi"/>
          <w:color w:val="000000"/>
          <w:spacing w:val="2"/>
          <w:sz w:val="27"/>
          <w:szCs w:val="22"/>
          <w:lang w:val="en-US" w:eastAsia="en-US" w:bidi="ar-SA"/>
        </w:rPr>
        <w:t xml:space="preserve"> </w:t>
      </w:r>
      <w:r>
        <w:rPr>
          <w:rFonts w:ascii="宋体" w:hAnsi="宋体" w:cs="宋体" w:eastAsiaTheme="minorEastAsia"/>
          <w:color w:val="000000"/>
          <w:sz w:val="27"/>
          <w:szCs w:val="22"/>
          <w:lang w:val="en-US" w:eastAsia="en-US" w:bidi="ar-SA"/>
        </w:rPr>
        <w:t>号，以下简称《意见》），制定本细则。</w:t>
      </w:r>
    </w:p>
    <w:p w14:paraId="76504B4F">
      <w:pPr>
        <w:spacing w:before="321" w:after="0" w:line="279" w:lineRule="exact"/>
        <w:ind w:left="0" w:right="0" w:firstLine="0"/>
        <w:jc w:val="left"/>
        <w:rPr>
          <w:rFonts w:ascii="宋体" w:hAnsi="宋体" w:cs="宋体" w:eastAsiaTheme="minorEastAsia"/>
          <w:color w:val="000000"/>
          <w:sz w:val="27"/>
          <w:szCs w:val="22"/>
          <w:lang w:val="en-US" w:eastAsia="en-US" w:bidi="ar-SA"/>
        </w:rPr>
      </w:pPr>
    </w:p>
    <w:p w14:paraId="34C6DCBE">
      <w:pPr>
        <w:numPr>
          <w:numId w:val="0"/>
        </w:numPr>
        <w:spacing w:before="321" w:after="0" w:line="279" w:lineRule="exact"/>
        <w:ind w:leftChars="0" w:right="0" w:rightChars="0" w:firstLine="540" w:firstLineChars="200"/>
        <w:jc w:val="left"/>
        <w:rPr>
          <w:rFonts w:hint="default" w:ascii="宋体" w:hAnsi="宋体" w:cs="宋体" w:eastAsiaTheme="minorEastAsia"/>
          <w:color w:val="000000"/>
          <w:sz w:val="27"/>
          <w:szCs w:val="22"/>
          <w:lang w:val="en-US" w:eastAsia="zh-CN" w:bidi="ar-SA"/>
        </w:rPr>
      </w:pPr>
      <w:r>
        <w:rPr>
          <w:rFonts w:hint="eastAsia" w:ascii="宋体" w:hAnsi="宋体" w:cs="宋体" w:eastAsiaTheme="minorEastAsia"/>
          <w:color w:val="000000"/>
          <w:sz w:val="27"/>
          <w:szCs w:val="22"/>
          <w:lang w:val="en-US" w:eastAsia="zh-CN" w:bidi="ar-SA"/>
        </w:rPr>
        <w:t xml:space="preserve">第二条  </w:t>
      </w:r>
      <w:bookmarkStart w:id="17" w:name="_GoBack"/>
      <w:bookmarkEnd w:id="17"/>
      <w:r>
        <w:rPr>
          <w:rFonts w:hint="eastAsia" w:ascii="宋体" w:hAnsi="宋体" w:cs="宋体" w:eastAsiaTheme="minorEastAsia"/>
          <w:color w:val="000000"/>
          <w:sz w:val="27"/>
          <w:szCs w:val="22"/>
          <w:lang w:val="en-US" w:eastAsia="zh-CN" w:bidi="ar-SA"/>
        </w:rPr>
        <w:t>行政机关以及法律、法规授权的具有管理公共事务职能的阻止</w:t>
      </w:r>
    </w:p>
    <w:p w14:paraId="6B9A6CDB">
      <w:pPr>
        <w:spacing w:before="321" w:after="0" w:line="279" w:lineRule="exact"/>
        <w:ind w:left="542" w:right="0" w:firstLine="0"/>
        <w:jc w:val="left"/>
        <w:rPr>
          <w:rFonts w:hAnsi="Calibri"/>
          <w:color w:val="000000"/>
          <w:sz w:val="27"/>
          <w:szCs w:val="22"/>
          <w:lang w:val="en-US" w:eastAsia="en-US" w:bidi="ar-SA"/>
        </w:rPr>
      </w:pPr>
      <w:r>
        <w:rPr>
          <w:rFonts w:ascii="宋体" w:hAnsi="宋体" w:cs="宋体" w:eastAsiaTheme="minorEastAsia"/>
          <w:color w:val="000000"/>
          <w:spacing w:val="1"/>
          <w:sz w:val="27"/>
          <w:szCs w:val="22"/>
          <w:lang w:val="en-US" w:eastAsia="en-US" w:bidi="ar-SA"/>
        </w:rPr>
        <w:t>第三条</w:t>
      </w:r>
      <w:r>
        <w:rPr>
          <w:rFonts w:hAnsi="Calibr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涉及市场主体经济活动的行政法规、国务院制定的政策</w:t>
      </w:r>
    </w:p>
    <w:p w14:paraId="3095F059">
      <w:pPr>
        <w:spacing w:before="321" w:after="0" w:line="279" w:lineRule="exact"/>
        <w:ind w:left="0" w:right="0" w:firstLine="0"/>
        <w:jc w:val="left"/>
        <w:rPr>
          <w:rFonts w:hAnsi="Calibri"/>
          <w:color w:val="000000"/>
          <w:sz w:val="27"/>
          <w:szCs w:val="22"/>
          <w:lang w:val="en-US" w:eastAsia="en-US" w:bidi="ar-SA"/>
        </w:rPr>
      </w:pPr>
      <w:r>
        <w:rPr>
          <w:rFonts w:ascii="宋体" w:hAnsi="宋体" w:cs="宋体" w:eastAsiaTheme="minorEastAsia"/>
          <w:color w:val="000000"/>
          <w:sz w:val="27"/>
          <w:szCs w:val="22"/>
          <w:lang w:val="en-US" w:eastAsia="en-US" w:bidi="ar-SA"/>
        </w:rPr>
        <w:t>措施，以及政府部门负责起草的地方性法规、自治条例和单行条例，</w:t>
      </w:r>
    </w:p>
    <w:p w14:paraId="7370F30A">
      <w:pPr>
        <w:spacing w:before="321" w:after="0" w:line="279" w:lineRule="exact"/>
        <w:ind w:left="0" w:right="0" w:firstLine="0"/>
        <w:jc w:val="left"/>
        <w:rPr>
          <w:rFonts w:hAnsi="Calibri"/>
          <w:color w:val="000000"/>
          <w:sz w:val="27"/>
          <w:szCs w:val="22"/>
          <w:lang w:val="en-US" w:eastAsia="en-US" w:bidi="ar-SA"/>
        </w:rPr>
      </w:pPr>
      <w:r>
        <w:rPr>
          <w:rFonts w:ascii="宋体" w:hAnsi="宋体" w:cs="宋体" w:eastAsiaTheme="minorEastAsia"/>
          <w:color w:val="000000"/>
          <w:sz w:val="27"/>
          <w:szCs w:val="22"/>
          <w:lang w:val="en-US" w:eastAsia="en-US" w:bidi="ar-SA"/>
        </w:rPr>
        <w:t>由起草部门在起草过程中按照本细则规定进行公平竞争审查。未经公</w:t>
      </w:r>
    </w:p>
    <w:p w14:paraId="22F3DAF2">
      <w:pPr>
        <w:spacing w:before="321" w:after="0" w:line="279" w:lineRule="exact"/>
        <w:ind w:left="0" w:right="0" w:firstLine="0"/>
        <w:jc w:val="left"/>
        <w:rPr>
          <w:rFonts w:hAnsi="Calibri"/>
          <w:color w:val="000000"/>
          <w:sz w:val="27"/>
          <w:szCs w:val="22"/>
          <w:lang w:val="en-US" w:eastAsia="en-US" w:bidi="ar-SA"/>
        </w:rPr>
      </w:pPr>
      <w:r>
        <w:rPr>
          <w:rFonts w:ascii="宋体" w:hAnsi="宋体" w:cs="宋体" w:eastAsiaTheme="minorEastAsia"/>
          <w:color w:val="000000"/>
          <w:sz w:val="27"/>
          <w:szCs w:val="22"/>
          <w:lang w:val="en-US" w:eastAsia="en-US" w:bidi="ar-SA"/>
        </w:rPr>
        <w:t>平竞争审查的，不得提交审议。</w:t>
      </w:r>
    </w:p>
    <w:p w14:paraId="49733EA7">
      <w:pPr>
        <w:spacing w:before="321" w:after="0" w:line="279" w:lineRule="exact"/>
        <w:ind w:left="540" w:right="0" w:firstLine="0"/>
        <w:jc w:val="left"/>
        <w:rPr>
          <w:rFonts w:hAnsi="Calibri"/>
          <w:color w:val="000000"/>
          <w:sz w:val="27"/>
          <w:szCs w:val="22"/>
          <w:lang w:val="en-US" w:eastAsia="en-US" w:bidi="ar-SA"/>
        </w:rPr>
      </w:pPr>
      <w:r>
        <w:rPr>
          <w:rFonts w:ascii="宋体" w:hAnsi="宋体" w:cs="宋体" w:eastAsiaTheme="minorEastAsia"/>
          <w:color w:val="000000"/>
          <w:sz w:val="27"/>
          <w:szCs w:val="22"/>
          <w:lang w:val="en-US" w:eastAsia="en-US" w:bidi="ar-SA"/>
        </w:rPr>
        <w:t>以县级以上地方各级人民政府名义出台的政策措施，由起草部门</w:t>
      </w:r>
    </w:p>
    <w:p w14:paraId="2BAF313D">
      <w:pPr>
        <w:spacing w:before="321" w:after="0" w:line="279" w:lineRule="exact"/>
        <w:ind w:left="0" w:right="0" w:firstLine="0"/>
        <w:jc w:val="left"/>
        <w:rPr>
          <w:rFonts w:hAnsi="Calibri"/>
          <w:color w:val="000000"/>
          <w:sz w:val="27"/>
          <w:szCs w:val="22"/>
          <w:lang w:val="en-US" w:eastAsia="en-US" w:bidi="ar-SA"/>
        </w:rPr>
      </w:pPr>
      <w:r>
        <w:rPr>
          <w:rFonts w:ascii="宋体" w:hAnsi="宋体" w:cs="宋体" w:eastAsiaTheme="minorEastAsia"/>
          <w:color w:val="000000"/>
          <w:sz w:val="27"/>
          <w:szCs w:val="22"/>
          <w:lang w:val="en-US" w:eastAsia="en-US" w:bidi="ar-SA"/>
        </w:rPr>
        <w:t>或者本级人民政府指定的相关部门进行公平竞争审查。起草部门在审</w:t>
      </w:r>
    </w:p>
    <w:p w14:paraId="7F068701">
      <w:pPr>
        <w:spacing w:before="721" w:after="0" w:line="209" w:lineRule="exact"/>
        <w:ind w:left="4109" w:right="0" w:firstLine="0"/>
        <w:jc w:val="left"/>
        <w:rPr>
          <w:rFonts w:hAnsi="Calibri"/>
          <w:color w:val="000000"/>
          <w:sz w:val="18"/>
          <w:szCs w:val="22"/>
          <w:lang w:val="en-US" w:eastAsia="en-US" w:bidi="ar-SA"/>
        </w:rPr>
        <w:sectPr>
          <w:pgSz w:w="11900" w:h="16820"/>
          <w:pgMar w:top="1490" w:right="100" w:bottom="0" w:left="1800" w:header="720" w:footer="720" w:gutter="0"/>
          <w:pgNumType w:start="1"/>
          <w:cols w:space="720" w:num="1"/>
          <w:docGrid w:linePitch="1" w:charSpace="0"/>
        </w:sectPr>
      </w:pPr>
      <w:r>
        <w:rPr>
          <w:rFonts w:ascii="CTFJRF+TimesNewRomanPSMT" w:hAnsi="Calibri" w:eastAsiaTheme="minorEastAsia" w:cstheme="minorBidi"/>
          <w:color w:val="000000"/>
          <w:sz w:val="18"/>
          <w:szCs w:val="22"/>
          <w:lang w:val="en-US" w:eastAsia="en-US" w:bidi="ar-SA"/>
        </w:rPr>
        <w:t>1</w:t>
      </w:r>
    </w:p>
    <w:p w14:paraId="28899BA5">
      <w:pPr>
        <w:spacing w:before="0" w:after="0" w:line="279" w:lineRule="exact"/>
        <w:ind w:left="0" w:right="0" w:firstLine="0"/>
        <w:jc w:val="left"/>
        <w:rPr>
          <w:rFonts w:hAnsiTheme="minorHAnsi" w:eastAsiaTheme="minorEastAsia" w:cstheme="minorBidi"/>
          <w:color w:val="000000"/>
          <w:sz w:val="27"/>
          <w:szCs w:val="22"/>
          <w:lang w:val="en-US" w:eastAsia="en-US" w:bidi="ar-SA"/>
        </w:rPr>
      </w:pPr>
      <w:bookmarkStart w:id="2" w:name="br1_1"/>
      <w:bookmarkEnd w:id="2"/>
      <w:r>
        <w:rPr>
          <w:rFonts w:ascii="宋体" w:hAnsi="宋体" w:cs="宋体" w:eastAsiaTheme="minorEastAsia"/>
          <w:color w:val="000000"/>
          <w:sz w:val="27"/>
          <w:szCs w:val="22"/>
          <w:lang w:val="en-US" w:eastAsia="en-US" w:bidi="ar-SA"/>
        </w:rPr>
        <w:t>查过程中，可以会同本级市场监管部门进行公平竞争审查。未经审查</w:t>
      </w:r>
    </w:p>
    <w:p w14:paraId="30DE8439">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的，不得提交审议。</w:t>
      </w:r>
    </w:p>
    <w:p w14:paraId="442176F3">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以多个部门名义联合制定出台的政策措施，由牵头部门负责公平</w:t>
      </w:r>
    </w:p>
    <w:p w14:paraId="516E0D52">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竞争审查，其他部门在各自职责范围内参与公平竞争审查。政策措施</w:t>
      </w:r>
    </w:p>
    <w:p w14:paraId="016DA445">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涉及其他部门职权的，政策制定机关在公平竞争审查中应当充分征求</w:t>
      </w:r>
    </w:p>
    <w:p w14:paraId="75521D46">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其意见。</w:t>
      </w:r>
    </w:p>
    <w:p w14:paraId="6BB199BE">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第四条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市场监管总局、发展改革委、财政部、商务部会同有关</w:t>
      </w:r>
    </w:p>
    <w:p w14:paraId="2A62F65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部门，建立健全公平竞争审查工作部际联席会议制度，统筹协调和监</w:t>
      </w:r>
    </w:p>
    <w:p w14:paraId="23360527">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督指导全国公平竞争审查工作。</w:t>
      </w:r>
    </w:p>
    <w:p w14:paraId="2E5D1C20">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县级以上地方各级人民政府负责建立健全本地区公平竞争审查工</w:t>
      </w:r>
    </w:p>
    <w:p w14:paraId="528146F5">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作联席会议制度（以下简称联席会议），统筹协调和监督指导本地区</w:t>
      </w:r>
    </w:p>
    <w:p w14:paraId="679A9AED">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公平竞争审查工作，原则上由本级人民政府分管负责同志担任联席会</w:t>
      </w:r>
    </w:p>
    <w:p w14:paraId="57E64AD4">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议召集人。联席会议办公室设在市场监管部门，承担联席会议日常工</w:t>
      </w:r>
    </w:p>
    <w:p w14:paraId="28527ADE">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作。</w:t>
      </w:r>
    </w:p>
    <w:p w14:paraId="564A6F0B">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地方各级联席会议应当每年向本级人民政府和上一级联席会议报</w:t>
      </w:r>
    </w:p>
    <w:p w14:paraId="59A47D1A">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告本地区公平竞争审查制度实施情况，接受其指导和监督。</w:t>
      </w:r>
    </w:p>
    <w:p w14:paraId="52992ACE">
      <w:pPr>
        <w:spacing w:before="321" w:after="0" w:line="279" w:lineRule="exact"/>
        <w:ind w:left="2803"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第二章</w:t>
      </w:r>
      <w:r>
        <w:rPr>
          <w:rFonts w:hAnsiTheme="minorHAnsi" w:eastAsiaTheme="minorEastAsia" w:cstheme="minorBidi"/>
          <w:color w:val="000000"/>
          <w:spacing w:val="203"/>
          <w:sz w:val="27"/>
          <w:szCs w:val="22"/>
          <w:lang w:val="en-US" w:eastAsia="en-US" w:bidi="ar-SA"/>
        </w:rPr>
        <w:t xml:space="preserve"> </w:t>
      </w:r>
      <w:r>
        <w:rPr>
          <w:rFonts w:ascii="宋体" w:hAnsi="宋体" w:cs="宋体" w:eastAsiaTheme="minorEastAsia"/>
          <w:color w:val="000000"/>
          <w:sz w:val="27"/>
          <w:szCs w:val="22"/>
          <w:lang w:val="en-US" w:eastAsia="en-US" w:bidi="ar-SA"/>
        </w:rPr>
        <w:t>审查机制和程序</w:t>
      </w:r>
    </w:p>
    <w:p w14:paraId="637019FF">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第五条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政策制定机关应当建立健全公平竞争内部审查机制，明</w:t>
      </w:r>
    </w:p>
    <w:p w14:paraId="7DB16968">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确审查机构和程序，可以由政策制定机关的具体业务机构负责，也可</w:t>
      </w:r>
    </w:p>
    <w:p w14:paraId="5EFCE958">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以采取内部特定机构统一审查或者由具体业务机构初审后提交特定机</w:t>
      </w:r>
    </w:p>
    <w:p w14:paraId="000A4C7B">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构复核等方式。</w:t>
      </w:r>
    </w:p>
    <w:p w14:paraId="46DA1FCA">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第六条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政策制定机关开展公平竞争审查应当遵循审查基本流程</w:t>
      </w:r>
    </w:p>
    <w:p w14:paraId="641C5FE8">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（可参考附件</w:t>
      </w:r>
      <w:r>
        <w:rPr>
          <w:rFonts w:hAnsiTheme="minorHAnsi" w:eastAsiaTheme="minorEastAsia" w:cstheme="minorBidi"/>
          <w:color w:val="000000"/>
          <w:spacing w:val="1"/>
          <w:sz w:val="27"/>
          <w:szCs w:val="22"/>
          <w:lang w:val="en-US" w:eastAsia="en-US" w:bidi="ar-SA"/>
        </w:rPr>
        <w:t xml:space="preserve"> </w:t>
      </w:r>
      <w:r>
        <w:rPr>
          <w:rFonts w:ascii="宋体" w:hAnsi="宋体" w:cs="宋体" w:eastAsiaTheme="minorEastAsia"/>
          <w:color w:val="000000"/>
          <w:sz w:val="27"/>
          <w:szCs w:val="22"/>
          <w:lang w:val="en-US" w:eastAsia="en-US" w:bidi="ar-SA"/>
        </w:rPr>
        <w:t>1），识别相关政策措施是否属于审查对象、判断是否违</w:t>
      </w:r>
    </w:p>
    <w:p w14:paraId="746094EE">
      <w:pPr>
        <w:spacing w:before="721" w:after="0" w:line="209" w:lineRule="exact"/>
        <w:ind w:left="4109" w:right="0" w:firstLine="0"/>
        <w:jc w:val="left"/>
        <w:rPr>
          <w:rFonts w:hAnsiTheme="minorHAnsi" w:eastAsiaTheme="minorEastAsia" w:cstheme="minorBidi"/>
          <w:color w:val="000000"/>
          <w:sz w:val="18"/>
          <w:szCs w:val="22"/>
          <w:lang w:val="en-US" w:eastAsia="en-US" w:bidi="ar-SA"/>
        </w:rPr>
        <w:sectPr>
          <w:pgSz w:w="11900" w:h="16820"/>
          <w:pgMar w:top="1713" w:right="100" w:bottom="0" w:left="1800" w:header="720" w:footer="720" w:gutter="0"/>
          <w:pgNumType w:start="1"/>
          <w:cols w:space="720" w:num="1"/>
          <w:docGrid w:linePitch="1" w:charSpace="0"/>
        </w:sectPr>
      </w:pPr>
      <w:r>
        <w:rPr>
          <w:rFonts w:ascii="RUCNUU+TimesNewRomanPSMT" w:hAnsiTheme="minorHAnsi" w:eastAsiaTheme="minorEastAsia" w:cstheme="minorBidi"/>
          <w:color w:val="000000"/>
          <w:sz w:val="18"/>
          <w:szCs w:val="22"/>
          <w:lang w:val="en-US" w:eastAsia="en-US" w:bidi="ar-SA"/>
        </w:rPr>
        <w:t>2</w:t>
      </w:r>
    </w:p>
    <w:p w14:paraId="675E696B">
      <w:pPr>
        <w:spacing w:before="0" w:after="0" w:line="279" w:lineRule="exact"/>
        <w:ind w:left="0" w:right="0" w:firstLine="0"/>
        <w:jc w:val="left"/>
        <w:rPr>
          <w:rFonts w:hAnsiTheme="minorHAnsi" w:eastAsiaTheme="minorEastAsia" w:cstheme="minorBidi"/>
          <w:color w:val="000000"/>
          <w:sz w:val="27"/>
          <w:szCs w:val="22"/>
          <w:lang w:val="en-US" w:eastAsia="en-US" w:bidi="ar-SA"/>
        </w:rPr>
      </w:pPr>
      <w:bookmarkStart w:id="3" w:name="br1_2"/>
      <w:bookmarkEnd w:id="3"/>
      <w:r>
        <w:rPr>
          <w:rFonts w:ascii="宋体" w:hAnsi="宋体" w:cs="宋体" w:eastAsiaTheme="minorEastAsia"/>
          <w:color w:val="000000"/>
          <w:sz w:val="27"/>
          <w:szCs w:val="22"/>
          <w:lang w:val="en-US" w:eastAsia="en-US" w:bidi="ar-SA"/>
        </w:rPr>
        <w:t>反审查标准、分析是否适用例外规定。属于审查对象的，经审查后应</w:t>
      </w:r>
    </w:p>
    <w:p w14:paraId="288B3C4A">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当形成明确的书面审查结论。审查结论应当包括政策措施名称、涉及</w:t>
      </w:r>
    </w:p>
    <w:p w14:paraId="33B3DDD4">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行业领域、性质类别、起草机构、审查机构、征求意见情况、审查结</w:t>
      </w:r>
    </w:p>
    <w:p w14:paraId="1C19E2F5">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论、适用例外规定情况、审查机构主要负责人意见等内容（可参考附</w:t>
      </w:r>
    </w:p>
    <w:p w14:paraId="64A739CE">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件</w:t>
      </w:r>
      <w:r>
        <w:rPr>
          <w:rFonts w:hAnsiTheme="minorHAnsi" w:eastAsiaTheme="minorEastAsia" w:cstheme="minorBidi"/>
          <w:color w:val="000000"/>
          <w:spacing w:val="-1"/>
          <w:sz w:val="27"/>
          <w:szCs w:val="22"/>
          <w:lang w:val="en-US" w:eastAsia="en-US" w:bidi="ar-SA"/>
        </w:rPr>
        <w:t xml:space="preserve"> </w:t>
      </w:r>
      <w:r>
        <w:rPr>
          <w:rFonts w:ascii="宋体" w:hAnsi="宋体" w:cs="宋体" w:eastAsiaTheme="minorEastAsia"/>
          <w:color w:val="000000"/>
          <w:sz w:val="27"/>
          <w:szCs w:val="22"/>
          <w:lang w:val="en-US" w:eastAsia="en-US" w:bidi="ar-SA"/>
        </w:rPr>
        <w:t>2）。政策措施出台后，审查结论由政策制定机关存档备查。</w:t>
      </w:r>
    </w:p>
    <w:p w14:paraId="2FBF84C6">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未形成书面审查结论出台政策措施的，视为未进行公平竞争审</w:t>
      </w:r>
    </w:p>
    <w:p w14:paraId="3BB8F561">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查。</w:t>
      </w:r>
    </w:p>
    <w:p w14:paraId="743B14D8">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第七条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政策制定机关开展公平竞争审查，应当以适当方式征求</w:t>
      </w:r>
    </w:p>
    <w:p w14:paraId="39E30291">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利害关系人意见，或者通过政府部门网站、政务新媒体等便于社会公</w:t>
      </w:r>
    </w:p>
    <w:p w14:paraId="3D449C3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众知晓的方式公开征求意见，并在书面审查结论中说明征求意见情</w:t>
      </w:r>
    </w:p>
    <w:p w14:paraId="7FE803C4">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况。</w:t>
      </w:r>
    </w:p>
    <w:p w14:paraId="395B3791">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在起草政策措施的其他环节已征求过利害关系人意见或者向社会</w:t>
      </w:r>
    </w:p>
    <w:p w14:paraId="654F6F57">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公开征求意见的，可以不再专门就公平竞争审查问题征求意见。对出</w:t>
      </w:r>
    </w:p>
    <w:p w14:paraId="64280F41">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台前需要保密或者有正当理由需要限定知悉范围的政策措施，由政策</w:t>
      </w:r>
    </w:p>
    <w:p w14:paraId="3CCF3ADF">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制定机关按照相关法律法规处理。</w:t>
      </w:r>
    </w:p>
    <w:p w14:paraId="1ACAA85F">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利害关系人指参与相关市场竞争的经营者、上下游经营者、行业</w:t>
      </w:r>
    </w:p>
    <w:p w14:paraId="78F1CC01">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协会商会、消费者以及政策措施可能影响其公平参与市场竞争的其他</w:t>
      </w:r>
    </w:p>
    <w:p w14:paraId="32A8264C">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市场主体。</w:t>
      </w:r>
    </w:p>
    <w:p w14:paraId="05BC8B31">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第八条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政策制定机关进行公平竞争审查，可以咨询专家学者、</w:t>
      </w:r>
    </w:p>
    <w:p w14:paraId="091CC8E6">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法律顾问、专业机构的意见。征求上述方面意见的，应当在书面审查</w:t>
      </w:r>
    </w:p>
    <w:p w14:paraId="1F7ECE3A">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结论中说明有关情况。</w:t>
      </w:r>
    </w:p>
    <w:p w14:paraId="4FDF5A75">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各级联席会议办公室可以根据实际工作需要，建立公平竞争审查</w:t>
      </w:r>
    </w:p>
    <w:p w14:paraId="79832861">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工作专家库，便于政策制定机关进行咨询。</w:t>
      </w:r>
    </w:p>
    <w:p w14:paraId="1179D22A">
      <w:pPr>
        <w:spacing w:before="721" w:after="0" w:line="209" w:lineRule="exact"/>
        <w:ind w:left="4109" w:right="0" w:firstLine="0"/>
        <w:jc w:val="left"/>
        <w:rPr>
          <w:rFonts w:hAnsiTheme="minorHAnsi" w:eastAsiaTheme="minorEastAsia" w:cstheme="minorBidi"/>
          <w:color w:val="000000"/>
          <w:sz w:val="18"/>
          <w:szCs w:val="22"/>
          <w:lang w:val="en-US" w:eastAsia="en-US" w:bidi="ar-SA"/>
        </w:rPr>
        <w:sectPr>
          <w:pgSz w:w="11900" w:h="16820"/>
          <w:pgMar w:top="1713" w:right="100" w:bottom="0" w:left="1800" w:header="720" w:footer="720" w:gutter="0"/>
          <w:pgNumType w:start="1"/>
          <w:cols w:space="720" w:num="1"/>
          <w:docGrid w:linePitch="1" w:charSpace="0"/>
        </w:sectPr>
      </w:pPr>
      <w:r>
        <w:rPr>
          <w:rFonts w:ascii="ETANHV+TimesNewRomanPSMT" w:hAnsiTheme="minorHAnsi" w:eastAsiaTheme="minorEastAsia" w:cstheme="minorBidi"/>
          <w:color w:val="000000"/>
          <w:sz w:val="18"/>
          <w:szCs w:val="22"/>
          <w:lang w:val="en-US" w:eastAsia="en-US" w:bidi="ar-SA"/>
        </w:rPr>
        <w:t>3</w:t>
      </w:r>
    </w:p>
    <w:p w14:paraId="75C3FF6E">
      <w:pPr>
        <w:spacing w:before="0" w:after="0" w:line="279" w:lineRule="exact"/>
        <w:ind w:left="542" w:right="0" w:firstLine="0"/>
        <w:jc w:val="left"/>
        <w:rPr>
          <w:rFonts w:hAnsiTheme="minorHAnsi" w:eastAsiaTheme="minorEastAsia" w:cstheme="minorBidi"/>
          <w:color w:val="000000"/>
          <w:sz w:val="27"/>
          <w:szCs w:val="22"/>
          <w:lang w:val="en-US" w:eastAsia="en-US" w:bidi="ar-SA"/>
        </w:rPr>
      </w:pPr>
      <w:bookmarkStart w:id="4" w:name="br1_3"/>
      <w:bookmarkEnd w:id="4"/>
      <w:r>
        <w:rPr>
          <w:rFonts w:ascii="宋体" w:hAnsi="宋体" w:cs="宋体" w:eastAsiaTheme="minorEastAsia"/>
          <w:color w:val="000000"/>
          <w:spacing w:val="1"/>
          <w:sz w:val="27"/>
          <w:szCs w:val="22"/>
          <w:lang w:val="en-US" w:eastAsia="en-US" w:bidi="ar-SA"/>
        </w:rPr>
        <w:t>第九条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政策制定机关可以就公平竞争审查中遇到的具体问题，</w:t>
      </w:r>
    </w:p>
    <w:p w14:paraId="7DAE3DF1">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向本级联席会议办公室提出咨询。提出咨询请求的政策制定机关，应</w:t>
      </w:r>
    </w:p>
    <w:p w14:paraId="44C7A725">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当提供书面咨询函、政策措施文稿、起草说明、相关法律法规依据及</w:t>
      </w:r>
    </w:p>
    <w:p w14:paraId="0079DC5C">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其他相关材料。联席会议办公室应当在收到书面咨询函后及时研究回</w:t>
      </w:r>
    </w:p>
    <w:p w14:paraId="20CE6C0C">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复。</w:t>
      </w:r>
    </w:p>
    <w:p w14:paraId="496974A3">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对涉及重大公共利益，且在制定过程中被多个单位或者个人反映</w:t>
      </w:r>
    </w:p>
    <w:p w14:paraId="5742681B">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或者举报涉嫌排除、限制竞争的政策措施，本级联席会议办公室可以</w:t>
      </w:r>
    </w:p>
    <w:p w14:paraId="6B4EEEAB">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主动向政策制定机关提出公平竞争审查意见。</w:t>
      </w:r>
    </w:p>
    <w:p w14:paraId="1715DF20">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第十条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对多个部门联合制定或者涉及多个部门职责的政策措</w:t>
      </w:r>
    </w:p>
    <w:p w14:paraId="2B26CF77">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施，在公平竞争审查中出现较大争议或者部门意见难以协调一致时，</w:t>
      </w:r>
    </w:p>
    <w:p w14:paraId="0818377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政策制定机关可以提请本级联席会议协调。联席会议办公室认为确有</w:t>
      </w:r>
    </w:p>
    <w:p w14:paraId="30E2D96F">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必要的，可以根据相关工作规则召开会议进行协调。仍无法协调一致</w:t>
      </w:r>
    </w:p>
    <w:p w14:paraId="098FC654">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的，由政策制定机关提交上级机关决定。</w:t>
      </w:r>
    </w:p>
    <w:p w14:paraId="4ADAFEFC">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第十一条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政策制定机关应当对本年度公平竞争审查工作进行总</w:t>
      </w:r>
    </w:p>
    <w:p w14:paraId="1173A45E">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结，于次年</w:t>
      </w:r>
      <w:r>
        <w:rPr>
          <w:rFonts w:hAnsiTheme="minorHAnsi" w:eastAsiaTheme="minorEastAsia" w:cstheme="minorBidi"/>
          <w:color w:val="000000"/>
          <w:spacing w:val="-1"/>
          <w:sz w:val="27"/>
          <w:szCs w:val="22"/>
          <w:lang w:val="en-US" w:eastAsia="en-US" w:bidi="ar-SA"/>
        </w:rPr>
        <w:t xml:space="preserve"> </w:t>
      </w:r>
      <w:r>
        <w:rPr>
          <w:rFonts w:ascii="宋体" w:hAnsiTheme="minorHAnsi" w:eastAsiaTheme="minorEastAsia" w:cstheme="minorBidi"/>
          <w:color w:val="000000"/>
          <w:sz w:val="27"/>
          <w:szCs w:val="22"/>
          <w:lang w:val="en-US" w:eastAsia="en-US" w:bidi="ar-SA"/>
        </w:rPr>
        <w:t>1</w:t>
      </w:r>
      <w:r>
        <w:rPr>
          <w:rFonts w:hAnsiTheme="minorHAnsi" w:eastAsiaTheme="minorEastAsia" w:cstheme="minorBidi"/>
          <w:color w:val="000000"/>
          <w:spacing w:val="1"/>
          <w:sz w:val="27"/>
          <w:szCs w:val="22"/>
          <w:lang w:val="en-US" w:eastAsia="en-US" w:bidi="ar-SA"/>
        </w:rPr>
        <w:t xml:space="preserve"> </w:t>
      </w:r>
      <w:r>
        <w:rPr>
          <w:rFonts w:ascii="宋体" w:hAnsi="宋体" w:cs="宋体" w:eastAsiaTheme="minorEastAsia"/>
          <w:color w:val="000000"/>
          <w:sz w:val="27"/>
          <w:szCs w:val="22"/>
          <w:lang w:val="en-US" w:eastAsia="en-US" w:bidi="ar-SA"/>
        </w:rPr>
        <w:t>月</w:t>
      </w:r>
      <w:r>
        <w:rPr>
          <w:rFonts w:hAnsiTheme="minorHAnsi" w:eastAsiaTheme="minorEastAsia" w:cstheme="minorBidi"/>
          <w:color w:val="000000"/>
          <w:spacing w:val="-1"/>
          <w:sz w:val="27"/>
          <w:szCs w:val="22"/>
          <w:lang w:val="en-US" w:eastAsia="en-US" w:bidi="ar-SA"/>
        </w:rPr>
        <w:t xml:space="preserve"> </w:t>
      </w:r>
      <w:r>
        <w:rPr>
          <w:rFonts w:ascii="宋体" w:hAnsiTheme="minorHAnsi" w:eastAsiaTheme="minorEastAsia" w:cstheme="minorBidi"/>
          <w:color w:val="000000"/>
          <w:spacing w:val="-1"/>
          <w:sz w:val="27"/>
          <w:szCs w:val="22"/>
          <w:lang w:val="en-US" w:eastAsia="en-US" w:bidi="ar-SA"/>
        </w:rPr>
        <w:t>15</w:t>
      </w:r>
      <w:r>
        <w:rPr>
          <w:rFonts w:hAnsiTheme="minorHAnsi" w:eastAsiaTheme="minorEastAsia" w:cstheme="minorBidi"/>
          <w:color w:val="000000"/>
          <w:spacing w:val="2"/>
          <w:sz w:val="27"/>
          <w:szCs w:val="22"/>
          <w:lang w:val="en-US" w:eastAsia="en-US" w:bidi="ar-SA"/>
        </w:rPr>
        <w:t xml:space="preserve"> </w:t>
      </w:r>
      <w:r>
        <w:rPr>
          <w:rFonts w:ascii="宋体" w:hAnsi="宋体" w:cs="宋体" w:eastAsiaTheme="minorEastAsia"/>
          <w:color w:val="000000"/>
          <w:sz w:val="27"/>
          <w:szCs w:val="22"/>
          <w:lang w:val="en-US" w:eastAsia="en-US" w:bidi="ar-SA"/>
        </w:rPr>
        <w:t>日前将书面总结报告报送本级联席会议办公室。</w:t>
      </w:r>
    </w:p>
    <w:p w14:paraId="2DEF0CED">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地方各级联席会议办公室汇总形成本级公平竞争审查工作总体情</w:t>
      </w:r>
    </w:p>
    <w:p w14:paraId="4B662F1D">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况，于次年</w:t>
      </w:r>
      <w:r>
        <w:rPr>
          <w:rFonts w:hAnsiTheme="minorHAnsi" w:eastAsiaTheme="minorEastAsia" w:cstheme="minorBidi"/>
          <w:color w:val="000000"/>
          <w:spacing w:val="-1"/>
          <w:sz w:val="27"/>
          <w:szCs w:val="22"/>
          <w:lang w:val="en-US" w:eastAsia="en-US" w:bidi="ar-SA"/>
        </w:rPr>
        <w:t xml:space="preserve"> </w:t>
      </w:r>
      <w:r>
        <w:rPr>
          <w:rFonts w:ascii="宋体" w:hAnsiTheme="minorHAnsi" w:eastAsiaTheme="minorEastAsia" w:cstheme="minorBidi"/>
          <w:color w:val="000000"/>
          <w:sz w:val="27"/>
          <w:szCs w:val="22"/>
          <w:lang w:val="en-US" w:eastAsia="en-US" w:bidi="ar-SA"/>
        </w:rPr>
        <w:t>1</w:t>
      </w:r>
      <w:r>
        <w:rPr>
          <w:rFonts w:hAnsiTheme="minorHAnsi" w:eastAsiaTheme="minorEastAsia" w:cstheme="minorBidi"/>
          <w:color w:val="000000"/>
          <w:spacing w:val="1"/>
          <w:sz w:val="27"/>
          <w:szCs w:val="22"/>
          <w:lang w:val="en-US" w:eastAsia="en-US" w:bidi="ar-SA"/>
        </w:rPr>
        <w:t xml:space="preserve"> </w:t>
      </w:r>
      <w:r>
        <w:rPr>
          <w:rFonts w:ascii="宋体" w:hAnsi="宋体" w:cs="宋体" w:eastAsiaTheme="minorEastAsia"/>
          <w:color w:val="000000"/>
          <w:sz w:val="27"/>
          <w:szCs w:val="22"/>
          <w:lang w:val="en-US" w:eastAsia="en-US" w:bidi="ar-SA"/>
        </w:rPr>
        <w:t>月</w:t>
      </w:r>
      <w:r>
        <w:rPr>
          <w:rFonts w:hAnsiTheme="minorHAnsi" w:eastAsiaTheme="minorEastAsia" w:cstheme="minorBidi"/>
          <w:color w:val="000000"/>
          <w:spacing w:val="-1"/>
          <w:sz w:val="27"/>
          <w:szCs w:val="22"/>
          <w:lang w:val="en-US" w:eastAsia="en-US" w:bidi="ar-SA"/>
        </w:rPr>
        <w:t xml:space="preserve"> </w:t>
      </w:r>
      <w:r>
        <w:rPr>
          <w:rFonts w:ascii="宋体" w:hAnsiTheme="minorHAnsi" w:eastAsiaTheme="minorEastAsia" w:cstheme="minorBidi"/>
          <w:color w:val="000000"/>
          <w:spacing w:val="-1"/>
          <w:sz w:val="27"/>
          <w:szCs w:val="22"/>
          <w:lang w:val="en-US" w:eastAsia="en-US" w:bidi="ar-SA"/>
        </w:rPr>
        <w:t>20</w:t>
      </w:r>
      <w:r>
        <w:rPr>
          <w:rFonts w:hAnsiTheme="minorHAnsi" w:eastAsiaTheme="minorEastAsia" w:cstheme="minorBidi"/>
          <w:color w:val="000000"/>
          <w:spacing w:val="2"/>
          <w:sz w:val="27"/>
          <w:szCs w:val="22"/>
          <w:lang w:val="en-US" w:eastAsia="en-US" w:bidi="ar-SA"/>
        </w:rPr>
        <w:t xml:space="preserve"> </w:t>
      </w:r>
      <w:r>
        <w:rPr>
          <w:rFonts w:ascii="宋体" w:hAnsi="宋体" w:cs="宋体" w:eastAsiaTheme="minorEastAsia"/>
          <w:color w:val="000000"/>
          <w:sz w:val="27"/>
          <w:szCs w:val="22"/>
          <w:lang w:val="en-US" w:eastAsia="en-US" w:bidi="ar-SA"/>
        </w:rPr>
        <w:t>日前报送本级人民政府和上一级联席会议办公室，</w:t>
      </w:r>
    </w:p>
    <w:p w14:paraId="37112DF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并以适当方式向社会公开。</w:t>
      </w:r>
    </w:p>
    <w:p w14:paraId="1D236CBE">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第十二条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对经公平竞争审查后出台的政策措施，政策制定机关</w:t>
      </w:r>
    </w:p>
    <w:p w14:paraId="2F0C15FC">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应当对其影响统一市场和公平竞争的情况进行定期评估。评估报告应</w:t>
      </w:r>
    </w:p>
    <w:p w14:paraId="402C05B4">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当向社会公开征求意见，评估结果应当向社会公开。经评估认为妨碍</w:t>
      </w:r>
    </w:p>
    <w:p w14:paraId="72C6874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统一市场和公平竞争的，应当及时废止或者修改完善。定期评估可以</w:t>
      </w:r>
    </w:p>
    <w:p w14:paraId="451D450A">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每三年进行一次，或者在定期清理规章、规范性文件时一并评估。</w:t>
      </w:r>
    </w:p>
    <w:p w14:paraId="73E230EF">
      <w:pPr>
        <w:spacing w:before="721" w:after="0" w:line="209" w:lineRule="exact"/>
        <w:ind w:left="4109" w:right="0" w:firstLine="0"/>
        <w:jc w:val="left"/>
        <w:rPr>
          <w:rFonts w:hAnsiTheme="minorHAnsi" w:eastAsiaTheme="minorEastAsia" w:cstheme="minorBidi"/>
          <w:color w:val="000000"/>
          <w:sz w:val="18"/>
          <w:szCs w:val="22"/>
          <w:lang w:val="en-US" w:eastAsia="en-US" w:bidi="ar-SA"/>
        </w:rPr>
        <w:sectPr>
          <w:pgSz w:w="11900" w:h="16820"/>
          <w:pgMar w:top="1713" w:right="100" w:bottom="0" w:left="1800" w:header="720" w:footer="720" w:gutter="0"/>
          <w:pgNumType w:start="1"/>
          <w:cols w:space="720" w:num="1"/>
          <w:docGrid w:linePitch="1" w:charSpace="0"/>
        </w:sectPr>
      </w:pPr>
      <w:r>
        <w:rPr>
          <w:rFonts w:ascii="QFCSRH+TimesNewRomanPSMT" w:hAnsiTheme="minorHAnsi" w:eastAsiaTheme="minorEastAsia" w:cstheme="minorBidi"/>
          <w:color w:val="000000"/>
          <w:sz w:val="18"/>
          <w:szCs w:val="22"/>
          <w:lang w:val="en-US" w:eastAsia="en-US" w:bidi="ar-SA"/>
        </w:rPr>
        <w:t>4</w:t>
      </w:r>
    </w:p>
    <w:p w14:paraId="4AA99D77">
      <w:pPr>
        <w:spacing w:before="0" w:after="0" w:line="279" w:lineRule="exact"/>
        <w:ind w:left="3209" w:right="0" w:firstLine="0"/>
        <w:jc w:val="left"/>
        <w:rPr>
          <w:rFonts w:hAnsiTheme="minorHAnsi" w:eastAsiaTheme="minorEastAsia" w:cstheme="minorBidi"/>
          <w:color w:val="000000"/>
          <w:sz w:val="27"/>
          <w:szCs w:val="22"/>
          <w:lang w:val="en-US" w:eastAsia="en-US" w:bidi="ar-SA"/>
        </w:rPr>
      </w:pPr>
      <w:bookmarkStart w:id="5" w:name="br1_4"/>
      <w:bookmarkEnd w:id="5"/>
      <w:r>
        <w:rPr>
          <w:rFonts w:ascii="宋体" w:hAnsi="宋体" w:cs="宋体" w:eastAsiaTheme="minorEastAsia"/>
          <w:color w:val="000000"/>
          <w:sz w:val="27"/>
          <w:szCs w:val="22"/>
          <w:lang w:val="en-US" w:eastAsia="en-US" w:bidi="ar-SA"/>
        </w:rPr>
        <w:t>第三章</w:t>
      </w:r>
      <w:r>
        <w:rPr>
          <w:rFonts w:hAnsiTheme="minorHAnsi" w:eastAsiaTheme="minorEastAsia" w:cstheme="minorBidi"/>
          <w:color w:val="000000"/>
          <w:spacing w:val="203"/>
          <w:sz w:val="27"/>
          <w:szCs w:val="22"/>
          <w:lang w:val="en-US" w:eastAsia="en-US" w:bidi="ar-SA"/>
        </w:rPr>
        <w:t xml:space="preserve"> </w:t>
      </w:r>
      <w:r>
        <w:rPr>
          <w:rFonts w:ascii="宋体" w:hAnsi="宋体" w:cs="宋体" w:eastAsiaTheme="minorEastAsia"/>
          <w:color w:val="000000"/>
          <w:sz w:val="27"/>
          <w:szCs w:val="22"/>
          <w:lang w:val="en-US" w:eastAsia="en-US" w:bidi="ar-SA"/>
        </w:rPr>
        <w:t>审查标准</w:t>
      </w:r>
    </w:p>
    <w:p w14:paraId="6AEE05F7">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第十三条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市场准入和退出标准。</w:t>
      </w:r>
    </w:p>
    <w:p w14:paraId="28AFB9B2">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（一）不得设置不合理或者歧视性的准入和退出条件，包括但不</w:t>
      </w:r>
    </w:p>
    <w:p w14:paraId="029B3594">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限于：</w:t>
      </w:r>
    </w:p>
    <w:p w14:paraId="66A91492">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1.设置明显不必要或者超出实际需要的准入和退出条件，排斥或</w:t>
      </w:r>
    </w:p>
    <w:p w14:paraId="4A960B8A">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者限制经营者参与市场竞争；</w:t>
      </w:r>
    </w:p>
    <w:p w14:paraId="5E36EE18">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2.没有法律、行政法规或者国务院规定依据，对不同所有制、地</w:t>
      </w:r>
    </w:p>
    <w:p w14:paraId="38551235">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区、组织形式的经营者实施不合理的差别化待遇，设置不平等的市场</w:t>
      </w:r>
    </w:p>
    <w:p w14:paraId="061CE06C">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准入和退出条件；</w:t>
      </w:r>
    </w:p>
    <w:p w14:paraId="128A1B10">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3.没有法律、行政法规或者国务院规定依据，以备案、登记、注</w:t>
      </w:r>
    </w:p>
    <w:p w14:paraId="4C056C59">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册、目录、年检、年报、监制、认定、认证、认可、检验、监测、审</w:t>
      </w:r>
    </w:p>
    <w:p w14:paraId="65100446">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定、指定、配号、复检、复审、换证、要求设立分支机构以及其他任</w:t>
      </w:r>
    </w:p>
    <w:p w14:paraId="5E3E4F8C">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何形式，设定或者变相设定市场准入障碍；</w:t>
      </w:r>
    </w:p>
    <w:p w14:paraId="751268DB">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4.没有法律、行政法规或者国务院规定依据，对企业注销、破</w:t>
      </w:r>
    </w:p>
    <w:p w14:paraId="1BBBF838">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产、挂牌转让、搬迁转移等设定或者变相设定市场退出障碍；</w:t>
      </w:r>
    </w:p>
    <w:p w14:paraId="5D9FF250">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5.以行政许可、行政检查、行政处罚、行政强制等方式，强制或</w:t>
      </w:r>
    </w:p>
    <w:p w14:paraId="250E3E3B">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者变相强制企业转让技术，设定或者变相设定市场准入和退出障碍。</w:t>
      </w:r>
    </w:p>
    <w:p w14:paraId="33A39CDE">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（二）未经公平竞争不得授予经营者特许经营权，包括但不限</w:t>
      </w:r>
    </w:p>
    <w:p w14:paraId="7ECDB07D">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于：</w:t>
      </w:r>
    </w:p>
    <w:p w14:paraId="3EC57523">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1.在一般竞争性领域实施特许经营或者以特许经营为名增设行政</w:t>
      </w:r>
    </w:p>
    <w:p w14:paraId="7B88BAEA">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许可；</w:t>
      </w:r>
    </w:p>
    <w:p w14:paraId="4E466940">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2.未明确特许经营权期限或者未经法定程序延长特许经营权期</w:t>
      </w:r>
    </w:p>
    <w:p w14:paraId="6899BC3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限；</w:t>
      </w:r>
    </w:p>
    <w:p w14:paraId="2D1147EB">
      <w:pPr>
        <w:spacing w:before="721" w:after="0" w:line="209" w:lineRule="exact"/>
        <w:ind w:left="4109" w:right="0" w:firstLine="0"/>
        <w:jc w:val="left"/>
        <w:rPr>
          <w:rFonts w:hAnsiTheme="minorHAnsi" w:eastAsiaTheme="minorEastAsia" w:cstheme="minorBidi"/>
          <w:color w:val="000000"/>
          <w:sz w:val="18"/>
          <w:szCs w:val="22"/>
          <w:lang w:val="en-US" w:eastAsia="en-US" w:bidi="ar-SA"/>
        </w:rPr>
        <w:sectPr>
          <w:pgSz w:w="11900" w:h="16820"/>
          <w:pgMar w:top="1713" w:right="100" w:bottom="0" w:left="1800" w:header="720" w:footer="720" w:gutter="0"/>
          <w:pgNumType w:start="1"/>
          <w:cols w:space="720" w:num="1"/>
          <w:docGrid w:linePitch="1" w:charSpace="0"/>
        </w:sectPr>
      </w:pPr>
      <w:r>
        <w:rPr>
          <w:rFonts w:ascii="RJTGNK+TimesNewRomanPSMT" w:hAnsiTheme="minorHAnsi" w:eastAsiaTheme="minorEastAsia" w:cstheme="minorBidi"/>
          <w:color w:val="000000"/>
          <w:sz w:val="18"/>
          <w:szCs w:val="22"/>
          <w:lang w:val="en-US" w:eastAsia="en-US" w:bidi="ar-SA"/>
        </w:rPr>
        <w:t>5</w:t>
      </w:r>
    </w:p>
    <w:p w14:paraId="0A993FF5">
      <w:pPr>
        <w:spacing w:before="0" w:after="0" w:line="279" w:lineRule="exact"/>
        <w:ind w:left="540" w:right="0" w:firstLine="0"/>
        <w:jc w:val="left"/>
        <w:rPr>
          <w:rFonts w:hAnsiTheme="minorHAnsi" w:eastAsiaTheme="minorEastAsia" w:cstheme="minorBidi"/>
          <w:color w:val="000000"/>
          <w:sz w:val="27"/>
          <w:szCs w:val="22"/>
          <w:lang w:val="en-US" w:eastAsia="en-US" w:bidi="ar-SA"/>
        </w:rPr>
      </w:pPr>
      <w:bookmarkStart w:id="6" w:name="br1_5"/>
      <w:bookmarkEnd w:id="6"/>
      <w:r>
        <w:rPr>
          <w:rFonts w:ascii="宋体" w:hAnsi="宋体" w:cs="宋体" w:eastAsiaTheme="minorEastAsia"/>
          <w:color w:val="000000"/>
          <w:sz w:val="27"/>
          <w:szCs w:val="22"/>
          <w:lang w:val="en-US" w:eastAsia="en-US" w:bidi="ar-SA"/>
        </w:rPr>
        <w:t>3.未依法采取招标、竞争性谈判等竞争方式，直接将特许经营权</w:t>
      </w:r>
    </w:p>
    <w:p w14:paraId="7C27E141">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授予特定经营者；</w:t>
      </w:r>
    </w:p>
    <w:p w14:paraId="1D873F61">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4.设置歧视性条件，使经营者无法公平参与特许经营权竞争。</w:t>
      </w:r>
    </w:p>
    <w:p w14:paraId="197EF396">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（三）不得限定经营、购买、使用特定经营者提供的商品和服</w:t>
      </w:r>
    </w:p>
    <w:p w14:paraId="5072740C">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务，包括但不限于：</w:t>
      </w:r>
    </w:p>
    <w:p w14:paraId="226D63E2">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1.以明确要求、暗示、拒绝或者拖延行政审批、重复检查、不予</w:t>
      </w:r>
    </w:p>
    <w:p w14:paraId="38D61415">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接入平台或者网络、违法违规给予奖励补贴等方式，限定或者变相限</w:t>
      </w:r>
    </w:p>
    <w:p w14:paraId="4DA4B8F1">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定经营、购买、使用特定经营者提供的商品和服务；</w:t>
      </w:r>
    </w:p>
    <w:p w14:paraId="41E38ED8">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2.在招标投标、政府采购中限定投标人所在地、所有制形式、组</w:t>
      </w:r>
    </w:p>
    <w:p w14:paraId="6F11196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织形式，或者设定其他不合理的条件排斥或者限制经营者参与招标投</w:t>
      </w:r>
    </w:p>
    <w:p w14:paraId="73AD47E9">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标、政府采购活动；</w:t>
      </w:r>
    </w:p>
    <w:p w14:paraId="4A6FE48C">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3.没有法律、行政法规或者国务院规定依据，通过设置不合理的</w:t>
      </w:r>
    </w:p>
    <w:p w14:paraId="023F84DB">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项目库、名录库、备选库、资格库等条件，排斥或限制潜在经营者提</w:t>
      </w:r>
    </w:p>
    <w:p w14:paraId="06BB10C5">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供商品和服务。</w:t>
      </w:r>
    </w:p>
    <w:p w14:paraId="1321A8FF">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（四）不得设置没有法律、行政法规或者国务院规定依据的审批</w:t>
      </w:r>
    </w:p>
    <w:p w14:paraId="59AF60F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或者具有行政审批性质的事前备案程序，包括但不限于：</w:t>
      </w:r>
    </w:p>
    <w:p w14:paraId="695BA9CD">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1.没有法律、行政法规或者国务院规定依据，增设行政审批事</w:t>
      </w:r>
    </w:p>
    <w:p w14:paraId="070E0FDD">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项，增加行政审批环节、条件和程序；</w:t>
      </w:r>
    </w:p>
    <w:p w14:paraId="70835FA3">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2.没有法律、行政法规或者国务院规定依据，设置具有行政审批</w:t>
      </w:r>
    </w:p>
    <w:p w14:paraId="01315ECB">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性质的前置性备案程序。</w:t>
      </w:r>
    </w:p>
    <w:p w14:paraId="267F1C2E">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（五）不得对</w:t>
      </w:r>
      <w:r>
        <w:fldChar w:fldCharType="begin"/>
      </w:r>
      <w:r>
        <w:instrText xml:space="preserve"> HYPERLINK "https://www.pkulaw.com/chl/0034c9a92059f448bdfb.html" </w:instrText>
      </w:r>
      <w:r>
        <w:fldChar w:fldCharType="separate"/>
      </w:r>
      <w:r>
        <w:rPr>
          <w:rFonts w:ascii="宋体" w:hAnsi="宋体" w:cs="宋体" w:eastAsiaTheme="minorEastAsia"/>
          <w:color w:val="000000"/>
          <w:sz w:val="27"/>
          <w:szCs w:val="22"/>
          <w:lang w:val="en-US" w:eastAsia="en-US" w:bidi="ar-SA"/>
        </w:rPr>
        <w:t>市场准入负面清单</w:t>
      </w:r>
      <w:r>
        <w:rPr>
          <w:rFonts w:ascii="宋体" w:hAnsi="宋体" w:cs="宋体" w:eastAsiaTheme="minorEastAsia"/>
          <w:color w:val="000000"/>
          <w:sz w:val="27"/>
          <w:szCs w:val="22"/>
          <w:lang w:val="en-US" w:eastAsia="en-US" w:bidi="ar-SA"/>
        </w:rPr>
        <w:fldChar w:fldCharType="end"/>
      </w:r>
      <w:r>
        <w:rPr>
          <w:rFonts w:ascii="宋体" w:hAnsi="宋体" w:cs="宋体" w:eastAsiaTheme="minorEastAsia"/>
          <w:color w:val="000000"/>
          <w:sz w:val="27"/>
          <w:szCs w:val="22"/>
          <w:lang w:val="en-US" w:eastAsia="en-US" w:bidi="ar-SA"/>
        </w:rPr>
        <w:t>以外的行业、领域、业务等设置</w:t>
      </w:r>
    </w:p>
    <w:p w14:paraId="5CF6421E">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审批程序，主要指没有法律、行政法规或者国务院规定依据，采取禁</w:t>
      </w:r>
    </w:p>
    <w:p w14:paraId="310C4FA9">
      <w:pPr>
        <w:spacing w:before="1321" w:after="0" w:line="209" w:lineRule="exact"/>
        <w:ind w:left="4109" w:right="0" w:firstLine="0"/>
        <w:jc w:val="left"/>
        <w:rPr>
          <w:rFonts w:hAnsiTheme="minorHAnsi" w:eastAsiaTheme="minorEastAsia" w:cstheme="minorBidi"/>
          <w:color w:val="000000"/>
          <w:sz w:val="18"/>
          <w:szCs w:val="22"/>
          <w:lang w:val="en-US" w:eastAsia="en-US" w:bidi="ar-SA"/>
        </w:rPr>
        <w:sectPr>
          <w:pgSz w:w="11900" w:h="16820"/>
          <w:pgMar w:top="1713" w:right="100" w:bottom="0" w:left="1800" w:header="720" w:footer="720" w:gutter="0"/>
          <w:pgNumType w:start="1"/>
          <w:cols w:space="720" w:num="1"/>
          <w:docGrid w:linePitch="1" w:charSpace="0"/>
        </w:sectPr>
      </w:pPr>
      <w:r>
        <w:rPr>
          <w:rFonts w:ascii="STEOGC+TimesNewRomanPSMT" w:hAnsiTheme="minorHAnsi" w:eastAsiaTheme="minorEastAsia" w:cstheme="minorBidi"/>
          <w:color w:val="000000"/>
          <w:sz w:val="18"/>
          <w:szCs w:val="22"/>
          <w:lang w:val="en-US" w:eastAsia="en-US" w:bidi="ar-SA"/>
        </w:rPr>
        <w:t>6</w:t>
      </w:r>
    </w:p>
    <w:p w14:paraId="26B09BA6">
      <w:pPr>
        <w:spacing w:before="0" w:after="0" w:line="279" w:lineRule="exact"/>
        <w:ind w:left="0" w:right="0" w:firstLine="0"/>
        <w:jc w:val="left"/>
        <w:rPr>
          <w:rFonts w:hAnsiTheme="minorHAnsi" w:eastAsiaTheme="minorEastAsia" w:cstheme="minorBidi"/>
          <w:color w:val="000000"/>
          <w:sz w:val="27"/>
          <w:szCs w:val="22"/>
          <w:lang w:val="en-US" w:eastAsia="en-US" w:bidi="ar-SA"/>
        </w:rPr>
      </w:pPr>
      <w:bookmarkStart w:id="7" w:name="br1_6"/>
      <w:bookmarkEnd w:id="7"/>
      <w:r>
        <w:rPr>
          <w:rFonts w:ascii="宋体" w:hAnsi="宋体" w:cs="宋体" w:eastAsiaTheme="minorEastAsia"/>
          <w:color w:val="000000"/>
          <w:sz w:val="27"/>
          <w:szCs w:val="22"/>
          <w:lang w:val="en-US" w:eastAsia="en-US" w:bidi="ar-SA"/>
        </w:rPr>
        <w:t>止进入、限制市场主体资质、限制股权比例、限制经营范围和商业模</w:t>
      </w:r>
    </w:p>
    <w:p w14:paraId="09B8465B">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式等方式，限制或者变相限制市场准入。</w:t>
      </w:r>
    </w:p>
    <w:p w14:paraId="3BA6C1EB">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第十四条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商品和要素自由流动标准。</w:t>
      </w:r>
    </w:p>
    <w:p w14:paraId="532E2B83">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（一）不得对外地和进口商品、服务实行歧视性价格和歧视性补</w:t>
      </w:r>
    </w:p>
    <w:p w14:paraId="785DB20B">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贴政策，包括但不限于：</w:t>
      </w:r>
    </w:p>
    <w:p w14:paraId="5C2F99C0">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1.制定政府定价或者政府指导价时，对外地和进口同类商品、服</w:t>
      </w:r>
    </w:p>
    <w:p w14:paraId="09CA1F7A">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务制定歧视性价格；</w:t>
      </w:r>
    </w:p>
    <w:p w14:paraId="25848136">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2.对相关商品、服务进行补贴时，对外地同类商品、服务，国际</w:t>
      </w:r>
    </w:p>
    <w:p w14:paraId="42F8382E">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经贸协定允许外的进口同类商品以及我国作出国际承诺的进口同类服</w:t>
      </w:r>
    </w:p>
    <w:p w14:paraId="032CA560">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务不予补贴或者给予较低补贴。</w:t>
      </w:r>
    </w:p>
    <w:p w14:paraId="1BF4B058">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（二）不得限制外地和进口商品、服务进入本地市场或者阻碍本</w:t>
      </w:r>
    </w:p>
    <w:p w14:paraId="725A5BEA">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地商品运出、服务输出，包括但不限于：</w:t>
      </w:r>
    </w:p>
    <w:p w14:paraId="46E9CCEF">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1.对外地商品、服务规定与本地同类商品、服务不同的技术要</w:t>
      </w:r>
    </w:p>
    <w:p w14:paraId="13E4E52C">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求、检验标准，或者采取重复检验、重复认证等歧视性技术措施；</w:t>
      </w:r>
    </w:p>
    <w:p w14:paraId="087A7863">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2.对进口商品规定与本地同类商品不同的技术要求、检验标准，</w:t>
      </w:r>
    </w:p>
    <w:p w14:paraId="2A91CFD6">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或者采取重复检验、重复认证等歧视性技术措施；</w:t>
      </w:r>
    </w:p>
    <w:p w14:paraId="64705B0E">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3.没有法律、行政法规或者国务院规定依据，对进口服务规定与</w:t>
      </w:r>
    </w:p>
    <w:p w14:paraId="31E2B797">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本地同类服务不同的技术要求、检验标准，或者采取重复检验、重复</w:t>
      </w:r>
    </w:p>
    <w:p w14:paraId="40EBAEC5">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认证等歧视性技术措施；</w:t>
      </w:r>
    </w:p>
    <w:p w14:paraId="3FCB1ED3">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4.设置专门针对外地和进口商品、服务的专营、专卖、审批、许</w:t>
      </w:r>
    </w:p>
    <w:p w14:paraId="2359616B">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可、备案，或者规定不同的条件、程序和期限等；</w:t>
      </w:r>
    </w:p>
    <w:p w14:paraId="72C3CEAC">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5.在道路、车站、港口、航空港或者本行政区域边界设置关卡，</w:t>
      </w:r>
    </w:p>
    <w:p w14:paraId="4AEA197B">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阻碍外地和进口商品、服务进入本地市场或者本地商品运出和服务输</w:t>
      </w:r>
    </w:p>
    <w:p w14:paraId="79628DF2">
      <w:pPr>
        <w:spacing w:before="721" w:after="0" w:line="209" w:lineRule="exact"/>
        <w:ind w:left="4109" w:right="0" w:firstLine="0"/>
        <w:jc w:val="left"/>
        <w:rPr>
          <w:rFonts w:hAnsiTheme="minorHAnsi" w:eastAsiaTheme="minorEastAsia" w:cstheme="minorBidi"/>
          <w:color w:val="000000"/>
          <w:sz w:val="18"/>
          <w:szCs w:val="22"/>
          <w:lang w:val="en-US" w:eastAsia="en-US" w:bidi="ar-SA"/>
        </w:rPr>
        <w:sectPr>
          <w:pgSz w:w="11900" w:h="16820"/>
          <w:pgMar w:top="1713" w:right="100" w:bottom="0" w:left="1800" w:header="720" w:footer="720" w:gutter="0"/>
          <w:pgNumType w:start="1"/>
          <w:cols w:space="720" w:num="1"/>
          <w:docGrid w:linePitch="1" w:charSpace="0"/>
        </w:sectPr>
      </w:pPr>
      <w:r>
        <w:rPr>
          <w:rFonts w:ascii="EPLOMT+TimesNewRomanPSMT" w:hAnsiTheme="minorHAnsi" w:eastAsiaTheme="minorEastAsia" w:cstheme="minorBidi"/>
          <w:color w:val="000000"/>
          <w:sz w:val="18"/>
          <w:szCs w:val="22"/>
          <w:lang w:val="en-US" w:eastAsia="en-US" w:bidi="ar-SA"/>
        </w:rPr>
        <w:t>7</w:t>
      </w:r>
    </w:p>
    <w:p w14:paraId="37CFD0C2">
      <w:pPr>
        <w:spacing w:before="0" w:after="0" w:line="279" w:lineRule="exact"/>
        <w:ind w:left="0" w:right="0" w:firstLine="0"/>
        <w:jc w:val="left"/>
        <w:rPr>
          <w:rFonts w:hAnsiTheme="minorHAnsi" w:eastAsiaTheme="minorEastAsia" w:cstheme="minorBidi"/>
          <w:color w:val="000000"/>
          <w:sz w:val="27"/>
          <w:szCs w:val="22"/>
          <w:lang w:val="en-US" w:eastAsia="en-US" w:bidi="ar-SA"/>
        </w:rPr>
      </w:pPr>
      <w:bookmarkStart w:id="8" w:name="br1_7"/>
      <w:bookmarkEnd w:id="8"/>
      <w:r>
        <w:rPr>
          <w:rFonts w:ascii="宋体" w:hAnsi="宋体" w:cs="宋体" w:eastAsiaTheme="minorEastAsia"/>
          <w:color w:val="000000"/>
          <w:spacing w:val="-1"/>
          <w:sz w:val="27"/>
          <w:szCs w:val="22"/>
          <w:lang w:val="en-US" w:eastAsia="en-US" w:bidi="ar-SA"/>
        </w:rPr>
        <w:t>出；</w:t>
      </w:r>
    </w:p>
    <w:p w14:paraId="7BCE1F12">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6.通过软件或者互联网设置屏蔽以及采取其他手段，阻碍外地和</w:t>
      </w:r>
    </w:p>
    <w:p w14:paraId="04208607">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进口商品、服务进入本地市场或者本地商品运出和服务输出。</w:t>
      </w:r>
    </w:p>
    <w:p w14:paraId="7EB7590D">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（三）不得排斥或者限制外地经营者参加本地招标投标活动，包</w:t>
      </w:r>
    </w:p>
    <w:p w14:paraId="3F4315B7">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括但不限于：</w:t>
      </w:r>
    </w:p>
    <w:p w14:paraId="6639E042">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1.不依法及时、有效、完整地发布招标信息；</w:t>
      </w:r>
    </w:p>
    <w:p w14:paraId="3558ABE5">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2.直接规定外地经营者不能参与本地特定的招标投标活动；</w:t>
      </w:r>
    </w:p>
    <w:p w14:paraId="42B200D7">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3.对外地经营者设定歧视性的资质资格要求或者评标评审标准；</w:t>
      </w:r>
    </w:p>
    <w:p w14:paraId="4E6BFDF8">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4.将经营者在本地区的业绩、所获得的奖项荣誉作为投标条件、</w:t>
      </w:r>
    </w:p>
    <w:p w14:paraId="224B9FD7">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加分条件、中标条件或者用于评价企业信用等级，限制或者变相限制</w:t>
      </w:r>
    </w:p>
    <w:p w14:paraId="0F3F145F">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外地经营者参加本地招标投标活动；</w:t>
      </w:r>
    </w:p>
    <w:p w14:paraId="6B87BB98">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5.没有法律、行政法规或者国务院规定依据，要求经营者在本地</w:t>
      </w:r>
    </w:p>
    <w:p w14:paraId="0B998BDB">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注册设立分支机构，在本地拥有一定办公面积，在本地缴纳社会保险</w:t>
      </w:r>
    </w:p>
    <w:p w14:paraId="72599CE6">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等，限制或者变相限制外地经营者参加本地招标投标活动；</w:t>
      </w:r>
    </w:p>
    <w:p w14:paraId="38CF5885">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6.通过设定与招标项目的具体特点和实际需要不相适应或者与合</w:t>
      </w:r>
    </w:p>
    <w:p w14:paraId="4D775761">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同履行无关的资格、技术和商务条件，限制或者变相限制外地经营者</w:t>
      </w:r>
    </w:p>
    <w:p w14:paraId="5FE72109">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参加本地招标投标活动。</w:t>
      </w:r>
    </w:p>
    <w:p w14:paraId="240D85C4">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（四）不得排斥、限制或者强制外地经营者在本地投资或者设立</w:t>
      </w:r>
    </w:p>
    <w:p w14:paraId="418A925F">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分支机构，包括但不限于：</w:t>
      </w:r>
    </w:p>
    <w:p w14:paraId="1D48E71A">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1.直接拒绝外地经营者在本地投资或者设立分支机构；</w:t>
      </w:r>
    </w:p>
    <w:p w14:paraId="03309C37">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2.没有法律、行政法规或者国务院规定依据，对外地经营者在本</w:t>
      </w:r>
    </w:p>
    <w:p w14:paraId="3A76679A">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地投资的规模、方式以及设立分支机构的地址、模式等进行限制；</w:t>
      </w:r>
    </w:p>
    <w:p w14:paraId="078925B8">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3.没有法律、行政法规或者国务院规定依据，直接强制外地经营</w:t>
      </w:r>
    </w:p>
    <w:p w14:paraId="7DDE1611">
      <w:pPr>
        <w:spacing w:before="721" w:after="0" w:line="209" w:lineRule="exact"/>
        <w:ind w:left="4109" w:right="0" w:firstLine="0"/>
        <w:jc w:val="left"/>
        <w:rPr>
          <w:rFonts w:hAnsiTheme="minorHAnsi" w:eastAsiaTheme="minorEastAsia" w:cstheme="minorBidi"/>
          <w:color w:val="000000"/>
          <w:sz w:val="18"/>
          <w:szCs w:val="22"/>
          <w:lang w:val="en-US" w:eastAsia="en-US" w:bidi="ar-SA"/>
        </w:rPr>
        <w:sectPr>
          <w:pgSz w:w="11900" w:h="16820"/>
          <w:pgMar w:top="1713" w:right="100" w:bottom="0" w:left="1800" w:header="720" w:footer="720" w:gutter="0"/>
          <w:pgNumType w:start="1"/>
          <w:cols w:space="720" w:num="1"/>
          <w:docGrid w:linePitch="1" w:charSpace="0"/>
        </w:sectPr>
      </w:pPr>
      <w:r>
        <w:rPr>
          <w:rFonts w:ascii="QTGMVF+TimesNewRomanPSMT" w:hAnsiTheme="minorHAnsi" w:eastAsiaTheme="minorEastAsia" w:cstheme="minorBidi"/>
          <w:color w:val="000000"/>
          <w:sz w:val="18"/>
          <w:szCs w:val="22"/>
          <w:lang w:val="en-US" w:eastAsia="en-US" w:bidi="ar-SA"/>
        </w:rPr>
        <w:t>8</w:t>
      </w:r>
    </w:p>
    <w:p w14:paraId="5395405F">
      <w:pPr>
        <w:spacing w:before="0" w:after="0" w:line="279" w:lineRule="exact"/>
        <w:ind w:left="0" w:right="0" w:firstLine="0"/>
        <w:jc w:val="left"/>
        <w:rPr>
          <w:rFonts w:hAnsiTheme="minorHAnsi" w:eastAsiaTheme="minorEastAsia" w:cstheme="minorBidi"/>
          <w:color w:val="000000"/>
          <w:sz w:val="27"/>
          <w:szCs w:val="22"/>
          <w:lang w:val="en-US" w:eastAsia="en-US" w:bidi="ar-SA"/>
        </w:rPr>
      </w:pPr>
      <w:bookmarkStart w:id="9" w:name="br1_8"/>
      <w:bookmarkEnd w:id="9"/>
      <w:r>
        <w:rPr>
          <w:rFonts w:ascii="宋体" w:hAnsi="宋体" w:cs="宋体" w:eastAsiaTheme="minorEastAsia"/>
          <w:color w:val="000000"/>
          <w:sz w:val="27"/>
          <w:szCs w:val="22"/>
          <w:lang w:val="en-US" w:eastAsia="en-US" w:bidi="ar-SA"/>
        </w:rPr>
        <w:t>者在本地投资或者设立分支机构；</w:t>
      </w:r>
    </w:p>
    <w:p w14:paraId="22EA181B">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4.没有法律、行政法规或者国务院规定依据，将在本地投资或者</w:t>
      </w:r>
    </w:p>
    <w:p w14:paraId="729382AA">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设立分支机构作为参与本地招标投标、享受补贴和优惠政策等的必要</w:t>
      </w:r>
    </w:p>
    <w:p w14:paraId="704BB45D">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条件，变相强制外地经营者在本地投资或者设立分支机构。</w:t>
      </w:r>
    </w:p>
    <w:p w14:paraId="7797CB3B">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（五）不得对外地经营者在本地的投资或者设立的分支机构实行</w:t>
      </w:r>
    </w:p>
    <w:p w14:paraId="3905FD86">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歧视性待遇，侵害其合法权益，包括但不限于：</w:t>
      </w:r>
    </w:p>
    <w:p w14:paraId="7BF22EFF">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1.对外地经营者在本地的投资不给予与本地经营者同等的政策待</w:t>
      </w:r>
    </w:p>
    <w:p w14:paraId="22B10A28">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遇；</w:t>
      </w:r>
    </w:p>
    <w:p w14:paraId="4376F503">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2.对外地经营者在本地设立的分支机构在经营规模、经营方式、</w:t>
      </w:r>
    </w:p>
    <w:p w14:paraId="152A80A0">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税费缴纳等方面规定与本地经营者不同的要求；</w:t>
      </w:r>
    </w:p>
    <w:p w14:paraId="47E44A5F">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3.在节能环保、安全生产、健康卫生、工程质量、市场监管等方</w:t>
      </w:r>
    </w:p>
    <w:p w14:paraId="39403A56">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面，对外地经营者在本地设立的分支机构规定歧视性监管标准和要</w:t>
      </w:r>
    </w:p>
    <w:p w14:paraId="4878F2B6">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求。</w:t>
      </w:r>
    </w:p>
    <w:p w14:paraId="3E32FD9B">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第十五条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影响生产经营成本标准。</w:t>
      </w:r>
    </w:p>
    <w:p w14:paraId="448AA6D0">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（一）不得违法给予特定经营者优惠政策，包括但不限于：</w:t>
      </w:r>
    </w:p>
    <w:p w14:paraId="3C35BD0F">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1.没有法律、行政法规或者国务院规定依据，给予特定经营者财</w:t>
      </w:r>
    </w:p>
    <w:p w14:paraId="142AB151">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政奖励和补贴；</w:t>
      </w:r>
    </w:p>
    <w:p w14:paraId="690E52FD">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2.没有专门的税收法律、法规和国务院规定依据，给予特定经营</w:t>
      </w:r>
    </w:p>
    <w:p w14:paraId="5B5A4C17">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者税收优惠政策；</w:t>
      </w:r>
    </w:p>
    <w:p w14:paraId="4C8DD3D9">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3.没有法律、行政法规或者国务院规定依据，在土地、劳动力、</w:t>
      </w:r>
    </w:p>
    <w:p w14:paraId="07027F0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资本、技术、数据等要素获取方面，给予特定经营者优惠政策；</w:t>
      </w:r>
    </w:p>
    <w:p w14:paraId="3F1A0526">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4.没有法律、行政法规或者国务院规定依据，在环保标准、排污</w:t>
      </w:r>
    </w:p>
    <w:p w14:paraId="3A5700EB">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权限等方面给予特定经营者特殊待遇；</w:t>
      </w:r>
    </w:p>
    <w:p w14:paraId="0A20787A">
      <w:pPr>
        <w:spacing w:before="721" w:after="0" w:line="209" w:lineRule="exact"/>
        <w:ind w:left="4109" w:right="0" w:firstLine="0"/>
        <w:jc w:val="left"/>
        <w:rPr>
          <w:rFonts w:hAnsiTheme="minorHAnsi" w:eastAsiaTheme="minorEastAsia" w:cstheme="minorBidi"/>
          <w:color w:val="000000"/>
          <w:sz w:val="18"/>
          <w:szCs w:val="22"/>
          <w:lang w:val="en-US" w:eastAsia="en-US" w:bidi="ar-SA"/>
        </w:rPr>
        <w:sectPr>
          <w:pgSz w:w="11900" w:h="16820"/>
          <w:pgMar w:top="1713" w:right="100" w:bottom="0" w:left="1800" w:header="720" w:footer="720" w:gutter="0"/>
          <w:pgNumType w:start="1"/>
          <w:cols w:space="720" w:num="1"/>
          <w:docGrid w:linePitch="1" w:charSpace="0"/>
        </w:sectPr>
      </w:pPr>
      <w:r>
        <w:rPr>
          <w:rFonts w:ascii="RRCLEP+TimesNewRomanPSMT" w:hAnsiTheme="minorHAnsi" w:eastAsiaTheme="minorEastAsia" w:cstheme="minorBidi"/>
          <w:color w:val="000000"/>
          <w:sz w:val="18"/>
          <w:szCs w:val="22"/>
          <w:lang w:val="en-US" w:eastAsia="en-US" w:bidi="ar-SA"/>
        </w:rPr>
        <w:t>9</w:t>
      </w:r>
    </w:p>
    <w:p w14:paraId="6440E770">
      <w:pPr>
        <w:spacing w:before="0" w:after="0" w:line="279" w:lineRule="exact"/>
        <w:ind w:left="540" w:right="0" w:firstLine="0"/>
        <w:jc w:val="left"/>
        <w:rPr>
          <w:rFonts w:hAnsiTheme="minorHAnsi" w:eastAsiaTheme="minorEastAsia" w:cstheme="minorBidi"/>
          <w:color w:val="000000"/>
          <w:sz w:val="27"/>
          <w:szCs w:val="22"/>
          <w:lang w:val="en-US" w:eastAsia="en-US" w:bidi="ar-SA"/>
        </w:rPr>
      </w:pPr>
      <w:bookmarkStart w:id="10" w:name="br1_9"/>
      <w:bookmarkEnd w:id="10"/>
      <w:r>
        <w:rPr>
          <w:rFonts w:ascii="宋体" w:hAnsi="宋体" w:cs="宋体" w:eastAsiaTheme="minorEastAsia"/>
          <w:color w:val="000000"/>
          <w:sz w:val="27"/>
          <w:szCs w:val="22"/>
          <w:lang w:val="en-US" w:eastAsia="en-US" w:bidi="ar-SA"/>
        </w:rPr>
        <w:t>5.没有法律、行政法规或者国务院规定依据，对特定经营者减</w:t>
      </w:r>
    </w:p>
    <w:p w14:paraId="4F756645">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免、缓征或停征行政事业性收费、政府性基金、住房公积金等。</w:t>
      </w:r>
    </w:p>
    <w:p w14:paraId="1BABAE6F">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给予特定经营者的优惠政策应当依法公开。</w:t>
      </w:r>
    </w:p>
    <w:p w14:paraId="69912F18">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（二）安排财政支出一般不得与特定经营者缴纳的税收或非税收</w:t>
      </w:r>
    </w:p>
    <w:p w14:paraId="5C1ACE7D">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入挂钩，主要指根据特定经营者缴纳的税收或者非税收入情况，采取</w:t>
      </w:r>
    </w:p>
    <w:p w14:paraId="7CFE205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列收列支或者违法违规采取先征后返、即征即退等形式，对特定经营</w:t>
      </w:r>
    </w:p>
    <w:p w14:paraId="049348CA">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者进行返还，或者给予特定经营者财政奖励或补贴、减免土地等自然</w:t>
      </w:r>
    </w:p>
    <w:p w14:paraId="3064FD91">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资源有偿使用收入等优惠政策。</w:t>
      </w:r>
    </w:p>
    <w:p w14:paraId="155E3306">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（三）不得违法违规减免或者缓征特定经营者应当缴纳的社会保</w:t>
      </w:r>
    </w:p>
    <w:p w14:paraId="6672CBCD">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险费用，主要指没有法律、行政法规或者国务院规定依据，根据经营</w:t>
      </w:r>
    </w:p>
    <w:p w14:paraId="0BEDEC8B">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者规模、所有制形式、组织形式、地区等因素，减免或者缓征特定经</w:t>
      </w:r>
    </w:p>
    <w:p w14:paraId="691F6E14">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营者需要缴纳的基本养老保险费、基本医疗保险费、失业保险费、工</w:t>
      </w:r>
    </w:p>
    <w:p w14:paraId="2CD3CA65">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伤保险费、生育保险费等。</w:t>
      </w:r>
    </w:p>
    <w:p w14:paraId="224A76B8">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（四）不得在法律规定之外要求经营者提供或扣留经营者各类保</w:t>
      </w:r>
    </w:p>
    <w:p w14:paraId="2E4F5D88">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证金，包括但不限于：</w:t>
      </w:r>
    </w:p>
    <w:p w14:paraId="6ACE44F8">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1.没有法律、行政法规依据或者经国务院批准，要求经营者交纳</w:t>
      </w:r>
    </w:p>
    <w:p w14:paraId="64095F46">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各类保证金；</w:t>
      </w:r>
    </w:p>
    <w:p w14:paraId="48DF9585">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2.限定只能以现金形式交纳投标保证金或履约保证金；</w:t>
      </w:r>
    </w:p>
    <w:p w14:paraId="26FE6C34">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3.在经营者履行相关程序或者完成相关事项后，不依法退还经营</w:t>
      </w:r>
    </w:p>
    <w:p w14:paraId="4E2D8F5C">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者交纳的保证金及银行同期存款利息。</w:t>
      </w:r>
    </w:p>
    <w:p w14:paraId="03F856D7">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第十六条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影响生产经营行为标准。</w:t>
      </w:r>
    </w:p>
    <w:p w14:paraId="3FC95359">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（一）不得强制经营者从事《</w:t>
      </w:r>
      <w:r>
        <w:fldChar w:fldCharType="begin"/>
      </w:r>
      <w:r>
        <w:instrText xml:space="preserve"> HYPERLINK "https://www.pkulaw.com/chl/503218397088141cbdfb.html" </w:instrText>
      </w:r>
      <w:r>
        <w:fldChar w:fldCharType="separate"/>
      </w:r>
      <w:r>
        <w:rPr>
          <w:rFonts w:ascii="宋体" w:hAnsi="宋体" w:cs="宋体" w:eastAsiaTheme="minorEastAsia"/>
          <w:color w:val="000000"/>
          <w:sz w:val="27"/>
          <w:szCs w:val="22"/>
          <w:lang w:val="en-US" w:eastAsia="en-US" w:bidi="ar-SA"/>
        </w:rPr>
        <w:t>中华人民共和国反垄断法</w:t>
      </w:r>
      <w:r>
        <w:rPr>
          <w:rFonts w:ascii="宋体" w:hAnsi="宋体" w:cs="宋体" w:eastAsiaTheme="minorEastAsia"/>
          <w:color w:val="000000"/>
          <w:sz w:val="27"/>
          <w:szCs w:val="22"/>
          <w:lang w:val="en-US" w:eastAsia="en-US" w:bidi="ar-SA"/>
        </w:rPr>
        <w:fldChar w:fldCharType="end"/>
      </w:r>
      <w:r>
        <w:rPr>
          <w:rFonts w:ascii="宋体" w:hAnsi="宋体" w:cs="宋体" w:eastAsiaTheme="minorEastAsia"/>
          <w:color w:val="000000"/>
          <w:sz w:val="27"/>
          <w:szCs w:val="22"/>
          <w:lang w:val="en-US" w:eastAsia="en-US" w:bidi="ar-SA"/>
        </w:rPr>
        <w:t>》禁止的</w:t>
      </w:r>
    </w:p>
    <w:p w14:paraId="1F5E395F">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垄断行为，主要指以行政命令、行政授权、行政指导等方式或者通过</w:t>
      </w:r>
    </w:p>
    <w:p w14:paraId="67842A66">
      <w:pPr>
        <w:spacing w:before="721" w:after="0" w:line="209" w:lineRule="exact"/>
        <w:ind w:left="4063" w:right="0" w:firstLine="0"/>
        <w:jc w:val="left"/>
        <w:rPr>
          <w:rFonts w:hAnsiTheme="minorHAnsi" w:eastAsiaTheme="minorEastAsia" w:cstheme="minorBidi"/>
          <w:color w:val="000000"/>
          <w:sz w:val="18"/>
          <w:szCs w:val="22"/>
          <w:lang w:val="en-US" w:eastAsia="en-US" w:bidi="ar-SA"/>
        </w:rPr>
        <w:sectPr>
          <w:pgSz w:w="11900" w:h="16820"/>
          <w:pgMar w:top="1713" w:right="100" w:bottom="0" w:left="1800" w:header="720" w:footer="720" w:gutter="0"/>
          <w:pgNumType w:start="1"/>
          <w:cols w:space="720" w:num="1"/>
          <w:docGrid w:linePitch="1" w:charSpace="0"/>
        </w:sectPr>
      </w:pPr>
      <w:r>
        <w:rPr>
          <w:rFonts w:ascii="UFJBHI+TimesNewRomanPSMT" w:hAnsiTheme="minorHAnsi" w:eastAsiaTheme="minorEastAsia" w:cstheme="minorBidi"/>
          <w:color w:val="000000"/>
          <w:spacing w:val="1"/>
          <w:sz w:val="18"/>
          <w:szCs w:val="22"/>
          <w:lang w:val="en-US" w:eastAsia="en-US" w:bidi="ar-SA"/>
        </w:rPr>
        <w:t>10</w:t>
      </w:r>
    </w:p>
    <w:p w14:paraId="46CE5847">
      <w:pPr>
        <w:spacing w:before="0" w:after="0" w:line="279" w:lineRule="exact"/>
        <w:ind w:left="0" w:right="0" w:firstLine="0"/>
        <w:jc w:val="left"/>
        <w:rPr>
          <w:rFonts w:hAnsiTheme="minorHAnsi" w:eastAsiaTheme="minorEastAsia" w:cstheme="minorBidi"/>
          <w:color w:val="000000"/>
          <w:sz w:val="27"/>
          <w:szCs w:val="22"/>
          <w:lang w:val="en-US" w:eastAsia="en-US" w:bidi="ar-SA"/>
        </w:rPr>
      </w:pPr>
      <w:bookmarkStart w:id="11" w:name="br1_10"/>
      <w:bookmarkEnd w:id="11"/>
      <w:r>
        <w:rPr>
          <w:rFonts w:ascii="宋体" w:hAnsi="宋体" w:cs="宋体" w:eastAsiaTheme="minorEastAsia"/>
          <w:color w:val="000000"/>
          <w:sz w:val="27"/>
          <w:szCs w:val="22"/>
          <w:lang w:val="en-US" w:eastAsia="en-US" w:bidi="ar-SA"/>
        </w:rPr>
        <w:t>行业协会商会，强制、组织或者引导经营者达成垄断协议、滥用市场</w:t>
      </w:r>
    </w:p>
    <w:p w14:paraId="1919C81C">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支配地位，以及实施具有或者可能具有排除、限制竞争效果的经营者</w:t>
      </w:r>
    </w:p>
    <w:p w14:paraId="6C9268A7">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集中等行为。</w:t>
      </w:r>
    </w:p>
    <w:p w14:paraId="4AFC6E4B">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（二）不得违法披露或者违法要求经营者披露生产经营敏感信</w:t>
      </w:r>
    </w:p>
    <w:p w14:paraId="634FD2A0">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息，为经营者实施垄断行为提供便利条件。生产经营敏感信息是指除</w:t>
      </w:r>
    </w:p>
    <w:p w14:paraId="14D506BD">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依据法律、行政法规或者国务院规定需要公开之外，生产经营者未主</w:t>
      </w:r>
    </w:p>
    <w:p w14:paraId="4BA62E3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动公开，通过公开渠道无法采集的生产经营数据。主要包括：拟定价</w:t>
      </w:r>
    </w:p>
    <w:p w14:paraId="45B46707">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格、成本、营业收入、利润、生产数量、销售数量、生产销售计划、</w:t>
      </w:r>
    </w:p>
    <w:p w14:paraId="555B0751">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进出口数量、经销商信息、终端客户信息等。</w:t>
      </w:r>
    </w:p>
    <w:p w14:paraId="01426783">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（三）不得超越定价权限进行政府定价，包括但不限于：</w:t>
      </w:r>
    </w:p>
    <w:p w14:paraId="216850EA">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1.对实行政府指导价的商品、服务进行政府定价；</w:t>
      </w:r>
    </w:p>
    <w:p w14:paraId="264E2724">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2.对不属于本级政府定价目录范围内的商品、服务制定政府定价</w:t>
      </w:r>
    </w:p>
    <w:p w14:paraId="4955E78A">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或者政府指导价；</w:t>
      </w:r>
    </w:p>
    <w:p w14:paraId="059E2258">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3.违反《</w:t>
      </w:r>
      <w:r>
        <w:fldChar w:fldCharType="begin"/>
      </w:r>
      <w:r>
        <w:instrText xml:space="preserve"> HYPERLINK "https://www.pkulaw.com/chl/584c8399d99f19dbbdfb.html" </w:instrText>
      </w:r>
      <w:r>
        <w:fldChar w:fldCharType="separate"/>
      </w:r>
      <w:r>
        <w:rPr>
          <w:rFonts w:ascii="宋体" w:hAnsi="宋体" w:cs="宋体" w:eastAsiaTheme="minorEastAsia"/>
          <w:color w:val="000000"/>
          <w:sz w:val="27"/>
          <w:szCs w:val="22"/>
          <w:lang w:val="en-US" w:eastAsia="en-US" w:bidi="ar-SA"/>
        </w:rPr>
        <w:t>中华人民共和国价格法</w:t>
      </w:r>
      <w:r>
        <w:rPr>
          <w:rFonts w:ascii="宋体" w:hAnsi="宋体" w:cs="宋体" w:eastAsiaTheme="minorEastAsia"/>
          <w:color w:val="000000"/>
          <w:sz w:val="27"/>
          <w:szCs w:val="22"/>
          <w:lang w:val="en-US" w:eastAsia="en-US" w:bidi="ar-SA"/>
        </w:rPr>
        <w:fldChar w:fldCharType="end"/>
      </w:r>
      <w:r>
        <w:rPr>
          <w:rFonts w:ascii="宋体" w:hAnsi="宋体" w:cs="宋体" w:eastAsiaTheme="minorEastAsia"/>
          <w:color w:val="000000"/>
          <w:sz w:val="27"/>
          <w:szCs w:val="22"/>
          <w:lang w:val="en-US" w:eastAsia="en-US" w:bidi="ar-SA"/>
        </w:rPr>
        <w:t>》等法律法规采取价格干预措</w:t>
      </w:r>
    </w:p>
    <w:p w14:paraId="351E012F">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施。</w:t>
      </w:r>
    </w:p>
    <w:p w14:paraId="4FD33E4E">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（四）不得违法干预实行市场调节价的商品和服务的价格水平，</w:t>
      </w:r>
    </w:p>
    <w:p w14:paraId="7AB4290A">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包括但不限于：</w:t>
      </w:r>
    </w:p>
    <w:p w14:paraId="026B295C">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1.制定公布商品和服务的统一执行价、参考价；</w:t>
      </w:r>
    </w:p>
    <w:p w14:paraId="09610E38">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2.规定商品和服务的最高或者最低限价；</w:t>
      </w:r>
    </w:p>
    <w:p w14:paraId="4350C043">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3.干预影响商品和服务价格水平的手续费、折扣或者其他费用。</w:t>
      </w:r>
    </w:p>
    <w:p w14:paraId="0C97D540">
      <w:pPr>
        <w:spacing w:before="321" w:after="0" w:line="279" w:lineRule="exact"/>
        <w:ind w:left="3209"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第四章</w:t>
      </w:r>
      <w:r>
        <w:rPr>
          <w:rFonts w:hAnsiTheme="minorHAnsi" w:eastAsiaTheme="minorEastAsia" w:cstheme="minorBidi"/>
          <w:color w:val="000000"/>
          <w:spacing w:val="203"/>
          <w:sz w:val="27"/>
          <w:szCs w:val="22"/>
          <w:lang w:val="en-US" w:eastAsia="en-US" w:bidi="ar-SA"/>
        </w:rPr>
        <w:t xml:space="preserve"> </w:t>
      </w:r>
      <w:r>
        <w:rPr>
          <w:rFonts w:ascii="宋体" w:hAnsi="宋体" w:cs="宋体" w:eastAsiaTheme="minorEastAsia"/>
          <w:color w:val="000000"/>
          <w:sz w:val="27"/>
          <w:szCs w:val="22"/>
          <w:lang w:val="en-US" w:eastAsia="en-US" w:bidi="ar-SA"/>
        </w:rPr>
        <w:t>例外规定</w:t>
      </w:r>
    </w:p>
    <w:p w14:paraId="3E0C711F">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第十七条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属于下列情形之一的政策措施，虽然在一定程度上具</w:t>
      </w:r>
    </w:p>
    <w:p w14:paraId="1E5A3C24">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有限制竞争的效果，但在符合规定的情况下可以出台实施：</w:t>
      </w:r>
    </w:p>
    <w:p w14:paraId="508F4725">
      <w:pPr>
        <w:spacing w:before="721" w:after="0" w:line="209" w:lineRule="exact"/>
        <w:ind w:left="4063" w:right="0" w:firstLine="0"/>
        <w:jc w:val="left"/>
        <w:rPr>
          <w:rFonts w:hAnsiTheme="minorHAnsi" w:eastAsiaTheme="minorEastAsia" w:cstheme="minorBidi"/>
          <w:color w:val="000000"/>
          <w:sz w:val="18"/>
          <w:szCs w:val="22"/>
          <w:lang w:val="en-US" w:eastAsia="en-US" w:bidi="ar-SA"/>
        </w:rPr>
        <w:sectPr>
          <w:pgSz w:w="11900" w:h="16820"/>
          <w:pgMar w:top="1713" w:right="100" w:bottom="0" w:left="1800" w:header="720" w:footer="720" w:gutter="0"/>
          <w:pgNumType w:start="1"/>
          <w:cols w:space="720" w:num="1"/>
          <w:docGrid w:linePitch="1" w:charSpace="0"/>
        </w:sectPr>
      </w:pPr>
      <w:r>
        <w:rPr>
          <w:rFonts w:ascii="CAJOEL+TimesNewRomanPSMT" w:hAnsiTheme="minorHAnsi" w:eastAsiaTheme="minorEastAsia" w:cstheme="minorBidi"/>
          <w:color w:val="000000"/>
          <w:spacing w:val="1"/>
          <w:sz w:val="18"/>
          <w:szCs w:val="22"/>
          <w:lang w:val="en-US" w:eastAsia="en-US" w:bidi="ar-SA"/>
        </w:rPr>
        <w:t>11</w:t>
      </w:r>
    </w:p>
    <w:p w14:paraId="7D262619">
      <w:pPr>
        <w:spacing w:before="0" w:after="0" w:line="279" w:lineRule="exact"/>
        <w:ind w:left="540" w:right="0" w:firstLine="0"/>
        <w:jc w:val="left"/>
        <w:rPr>
          <w:rFonts w:hAnsiTheme="minorHAnsi" w:eastAsiaTheme="minorEastAsia" w:cstheme="minorBidi"/>
          <w:color w:val="000000"/>
          <w:sz w:val="27"/>
          <w:szCs w:val="22"/>
          <w:lang w:val="en-US" w:eastAsia="en-US" w:bidi="ar-SA"/>
        </w:rPr>
      </w:pPr>
      <w:bookmarkStart w:id="12" w:name="br1_11"/>
      <w:bookmarkEnd w:id="12"/>
      <w:r>
        <w:rPr>
          <w:rFonts w:ascii="宋体" w:hAnsi="宋体" w:cs="宋体" w:eastAsiaTheme="minorEastAsia"/>
          <w:color w:val="000000"/>
          <w:sz w:val="27"/>
          <w:szCs w:val="22"/>
          <w:lang w:val="en-US" w:eastAsia="en-US" w:bidi="ar-SA"/>
        </w:rPr>
        <w:t>（一）维护国家经济安全、文化安全、科技安全或者涉及国防建</w:t>
      </w:r>
    </w:p>
    <w:p w14:paraId="17339C1D">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设的；</w:t>
      </w:r>
    </w:p>
    <w:p w14:paraId="5D31E3DF">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（二）为实现扶贫开发、救灾救助等社会保障目的；</w:t>
      </w:r>
    </w:p>
    <w:p w14:paraId="1FC37FA9">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（三）为实现节约能源资源、保护生态环境、维护公共卫生健康</w:t>
      </w:r>
    </w:p>
    <w:p w14:paraId="3768244E">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安全等社会公共利益的；</w:t>
      </w:r>
    </w:p>
    <w:p w14:paraId="4112952E">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（四）法律、行政法规规定的其他情形。</w:t>
      </w:r>
    </w:p>
    <w:p w14:paraId="380C4644">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属于前款第一项至第三项情形的，政策制定机关应当说明相关政</w:t>
      </w:r>
    </w:p>
    <w:p w14:paraId="564722A5">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策措施对实现政策目的不可或缺，且不会严重限制市场竞争，并明确</w:t>
      </w:r>
    </w:p>
    <w:p w14:paraId="150E17F4">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实施期限。</w:t>
      </w:r>
    </w:p>
    <w:p w14:paraId="771E4BE3">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第十八条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政策制定机关应当在书面审查结论中说明政策措施是</w:t>
      </w:r>
    </w:p>
    <w:p w14:paraId="6964677A">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否适用例外规定。认为适用例外规定的，应当对符合适用例外规定的</w:t>
      </w:r>
    </w:p>
    <w:p w14:paraId="42C0FDFF">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情形和条件进行详细说明。</w:t>
      </w:r>
    </w:p>
    <w:p w14:paraId="5C6D050F">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第十九条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政策制定机关应当逐年评估适用例外规定的政策措施</w:t>
      </w:r>
    </w:p>
    <w:p w14:paraId="71D39ECE">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的实施效果，形成书面评估报告。实施期限到期或者未达到预期效果</w:t>
      </w:r>
    </w:p>
    <w:p w14:paraId="6290F00A">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的政策措施，应当及时停止执行或者进行调整。</w:t>
      </w:r>
    </w:p>
    <w:p w14:paraId="1B630A9C">
      <w:pPr>
        <w:spacing w:before="321" w:after="0" w:line="279" w:lineRule="exact"/>
        <w:ind w:left="307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第五章</w:t>
      </w:r>
      <w:r>
        <w:rPr>
          <w:rFonts w:hAnsiTheme="minorHAnsi" w:eastAsiaTheme="minorEastAsia" w:cstheme="minorBidi"/>
          <w:color w:val="000000"/>
          <w:spacing w:val="203"/>
          <w:sz w:val="27"/>
          <w:szCs w:val="22"/>
          <w:lang w:val="en-US" w:eastAsia="en-US" w:bidi="ar-SA"/>
        </w:rPr>
        <w:t xml:space="preserve"> </w:t>
      </w:r>
      <w:r>
        <w:rPr>
          <w:rFonts w:ascii="宋体" w:hAnsi="宋体" w:cs="宋体" w:eastAsiaTheme="minorEastAsia"/>
          <w:color w:val="000000"/>
          <w:sz w:val="27"/>
          <w:szCs w:val="22"/>
          <w:lang w:val="en-US" w:eastAsia="en-US" w:bidi="ar-SA"/>
        </w:rPr>
        <w:t>第三方评估</w:t>
      </w:r>
    </w:p>
    <w:p w14:paraId="6C3173EE">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第二十条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政策制定机关可以根据工作实际，委托具备相应评估</w:t>
      </w:r>
    </w:p>
    <w:p w14:paraId="184A87B9">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能力的高等院校、科研院所、专业咨询公司等第三方机构，对有关政</w:t>
      </w:r>
    </w:p>
    <w:p w14:paraId="1E45BC3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策措施进行公平竞争评估，或者对公平竞争审查有关工作进行评估。</w:t>
      </w:r>
    </w:p>
    <w:p w14:paraId="3DD676BC">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各级联席会议办公室可以委托第三方机构，对本地公平竞争审查</w:t>
      </w:r>
    </w:p>
    <w:p w14:paraId="656D1719">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制度总体实施情况开展评估。</w:t>
      </w:r>
    </w:p>
    <w:p w14:paraId="4B14AF98">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第二十一条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政策制定机关在开展公平竞争审查工作的以下阶段</w:t>
      </w:r>
    </w:p>
    <w:p w14:paraId="67C4D235">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和环节，均可以采取第三方评估方式进行：</w:t>
      </w:r>
    </w:p>
    <w:p w14:paraId="2637D1CB">
      <w:pPr>
        <w:spacing w:before="721" w:after="0" w:line="209" w:lineRule="exact"/>
        <w:ind w:left="4063" w:right="0" w:firstLine="0"/>
        <w:jc w:val="left"/>
        <w:rPr>
          <w:rFonts w:hAnsiTheme="minorHAnsi" w:eastAsiaTheme="minorEastAsia" w:cstheme="minorBidi"/>
          <w:color w:val="000000"/>
          <w:sz w:val="18"/>
          <w:szCs w:val="22"/>
          <w:lang w:val="en-US" w:eastAsia="en-US" w:bidi="ar-SA"/>
        </w:rPr>
        <w:sectPr>
          <w:pgSz w:w="11900" w:h="16820"/>
          <w:pgMar w:top="1713" w:right="100" w:bottom="0" w:left="1800" w:header="720" w:footer="720" w:gutter="0"/>
          <w:pgNumType w:start="1"/>
          <w:cols w:space="720" w:num="1"/>
          <w:docGrid w:linePitch="1" w:charSpace="0"/>
        </w:sectPr>
      </w:pPr>
      <w:r>
        <w:rPr>
          <w:rFonts w:ascii="IQTOFL+TimesNewRomanPSMT" w:hAnsiTheme="minorHAnsi" w:eastAsiaTheme="minorEastAsia" w:cstheme="minorBidi"/>
          <w:color w:val="000000"/>
          <w:spacing w:val="1"/>
          <w:sz w:val="18"/>
          <w:szCs w:val="22"/>
          <w:lang w:val="en-US" w:eastAsia="en-US" w:bidi="ar-SA"/>
        </w:rPr>
        <w:t>12</w:t>
      </w:r>
    </w:p>
    <w:p w14:paraId="3F934B2E">
      <w:pPr>
        <w:spacing w:before="0" w:after="0" w:line="279" w:lineRule="exact"/>
        <w:ind w:left="540" w:right="0" w:firstLine="0"/>
        <w:jc w:val="left"/>
        <w:rPr>
          <w:rFonts w:hAnsiTheme="minorHAnsi" w:eastAsiaTheme="minorEastAsia" w:cstheme="minorBidi"/>
          <w:color w:val="000000"/>
          <w:sz w:val="27"/>
          <w:szCs w:val="22"/>
          <w:lang w:val="en-US" w:eastAsia="en-US" w:bidi="ar-SA"/>
        </w:rPr>
      </w:pPr>
      <w:bookmarkStart w:id="13" w:name="br1_12"/>
      <w:bookmarkEnd w:id="13"/>
      <w:r>
        <w:rPr>
          <w:rFonts w:ascii="宋体" w:hAnsi="宋体" w:cs="宋体" w:eastAsiaTheme="minorEastAsia"/>
          <w:color w:val="000000"/>
          <w:sz w:val="27"/>
          <w:szCs w:val="22"/>
          <w:lang w:val="en-US" w:eastAsia="en-US" w:bidi="ar-SA"/>
        </w:rPr>
        <w:t>（一）对拟出台的政策措施进行公平竞争审查；</w:t>
      </w:r>
    </w:p>
    <w:p w14:paraId="6903978B">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（二）对经公平竞争审查出台的政策措施进行定期评估；</w:t>
      </w:r>
    </w:p>
    <w:p w14:paraId="173A75AC">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（三）对适用例外规定出台的政策措施进行逐年评估；</w:t>
      </w:r>
    </w:p>
    <w:p w14:paraId="5A2C7BDC">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（四）对公平竞争审查制度实施情况进行综合评价；</w:t>
      </w:r>
    </w:p>
    <w:p w14:paraId="03161E81">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（五）与公平竞争审查工作相关的其他阶段和环节。</w:t>
      </w:r>
    </w:p>
    <w:p w14:paraId="70AA453D">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第二十二条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对拟出台的政策措施进行公平竞争审查时，存在以</w:t>
      </w:r>
    </w:p>
    <w:p w14:paraId="75245B49">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下情形之一的，应当引入第三方评估：</w:t>
      </w:r>
    </w:p>
    <w:p w14:paraId="6E6611D7">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（一）政策制定机关拟适用例外规定的；</w:t>
      </w:r>
    </w:p>
    <w:p w14:paraId="32A25DCB">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（二）被多个单位或者个人反映或者举报涉嫌违反公平竞争审查</w:t>
      </w:r>
    </w:p>
    <w:p w14:paraId="5650F33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标准的。</w:t>
      </w:r>
    </w:p>
    <w:p w14:paraId="0ED90010">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第二十三条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第三方评估结果作为政策制定机关开展公平竞争审</w:t>
      </w:r>
    </w:p>
    <w:p w14:paraId="58371B9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查、评价制度实施成效、制定工作推进方案的重要参考。对拟出台的</w:t>
      </w:r>
    </w:p>
    <w:p w14:paraId="7567BF3D">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政策措施进行第三方评估的，政策制定机关应当在书面审查结论中说</w:t>
      </w:r>
    </w:p>
    <w:p w14:paraId="76483E8D">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明评估情况。最终做出的审查结论与第三方评估结果不一致的，应当</w:t>
      </w:r>
    </w:p>
    <w:p w14:paraId="1C6AD5EF">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在书面审查结论中说明理由。</w:t>
      </w:r>
    </w:p>
    <w:p w14:paraId="1339AD09">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第二十四条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第三方评估经费纳入预算管理。政策制定机关依法</w:t>
      </w:r>
    </w:p>
    <w:p w14:paraId="382E1AD2">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依规做好第三方评估经费保障。</w:t>
      </w:r>
    </w:p>
    <w:p w14:paraId="1556C9B9">
      <w:pPr>
        <w:spacing w:before="321" w:after="0" w:line="279" w:lineRule="exact"/>
        <w:ind w:left="2803"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第六章</w:t>
      </w:r>
      <w:r>
        <w:rPr>
          <w:rFonts w:hAnsiTheme="minorHAnsi" w:eastAsiaTheme="minorEastAsia" w:cstheme="minorBidi"/>
          <w:color w:val="000000"/>
          <w:spacing w:val="203"/>
          <w:sz w:val="27"/>
          <w:szCs w:val="22"/>
          <w:lang w:val="en-US" w:eastAsia="en-US" w:bidi="ar-SA"/>
        </w:rPr>
        <w:t xml:space="preserve"> </w:t>
      </w:r>
      <w:r>
        <w:rPr>
          <w:rFonts w:ascii="宋体" w:hAnsi="宋体" w:cs="宋体" w:eastAsiaTheme="minorEastAsia"/>
          <w:color w:val="000000"/>
          <w:sz w:val="27"/>
          <w:szCs w:val="22"/>
          <w:lang w:val="en-US" w:eastAsia="en-US" w:bidi="ar-SA"/>
        </w:rPr>
        <w:t>监督与责任追究</w:t>
      </w:r>
    </w:p>
    <w:p w14:paraId="5B3A65C9">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第二十五条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政策制定机关涉嫌未进行公平竞争审查或者违反审</w:t>
      </w:r>
    </w:p>
    <w:p w14:paraId="3F59E8E7">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查标准出台政策措施的，任何单位和个人可以向政策制定机关反映，</w:t>
      </w:r>
    </w:p>
    <w:p w14:paraId="49705BF1">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也可以向政策制定机关的上级机关或者本级及以上市场监管部门举</w:t>
      </w:r>
    </w:p>
    <w:p w14:paraId="194E9EC1">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报。反映或者举报采用书面形式并提供相关事实依据的，有关部门要</w:t>
      </w:r>
    </w:p>
    <w:p w14:paraId="55B9E6C3">
      <w:pPr>
        <w:spacing w:before="1321" w:after="0" w:line="209" w:lineRule="exact"/>
        <w:ind w:left="4063" w:right="0" w:firstLine="0"/>
        <w:jc w:val="left"/>
        <w:rPr>
          <w:rFonts w:hAnsiTheme="minorHAnsi" w:eastAsiaTheme="minorEastAsia" w:cstheme="minorBidi"/>
          <w:color w:val="000000"/>
          <w:sz w:val="18"/>
          <w:szCs w:val="22"/>
          <w:lang w:val="en-US" w:eastAsia="en-US" w:bidi="ar-SA"/>
        </w:rPr>
        <w:sectPr>
          <w:pgSz w:w="11900" w:h="16820"/>
          <w:pgMar w:top="1713" w:right="100" w:bottom="0" w:left="1800" w:header="720" w:footer="720" w:gutter="0"/>
          <w:pgNumType w:start="1"/>
          <w:cols w:space="720" w:num="1"/>
          <w:docGrid w:linePitch="1" w:charSpace="0"/>
        </w:sectPr>
      </w:pPr>
      <w:r>
        <w:rPr>
          <w:rFonts w:ascii="GSEVJL+TimesNewRomanPSMT" w:hAnsiTheme="minorHAnsi" w:eastAsiaTheme="minorEastAsia" w:cstheme="minorBidi"/>
          <w:color w:val="000000"/>
          <w:spacing w:val="1"/>
          <w:sz w:val="18"/>
          <w:szCs w:val="22"/>
          <w:lang w:val="en-US" w:eastAsia="en-US" w:bidi="ar-SA"/>
        </w:rPr>
        <w:t>13</w:t>
      </w:r>
    </w:p>
    <w:p w14:paraId="3D681C8D">
      <w:pPr>
        <w:spacing w:before="0" w:after="0" w:line="279" w:lineRule="exact"/>
        <w:ind w:left="0" w:right="0" w:firstLine="0"/>
        <w:jc w:val="left"/>
        <w:rPr>
          <w:rFonts w:hAnsiTheme="minorHAnsi" w:eastAsiaTheme="minorEastAsia" w:cstheme="minorBidi"/>
          <w:color w:val="000000"/>
          <w:sz w:val="27"/>
          <w:szCs w:val="22"/>
          <w:lang w:val="en-US" w:eastAsia="en-US" w:bidi="ar-SA"/>
        </w:rPr>
      </w:pPr>
      <w:bookmarkStart w:id="14" w:name="br1_13"/>
      <w:bookmarkEnd w:id="14"/>
      <w:r>
        <w:rPr>
          <w:rFonts w:ascii="宋体" w:hAnsi="宋体" w:cs="宋体" w:eastAsiaTheme="minorEastAsia"/>
          <w:color w:val="000000"/>
          <w:sz w:val="27"/>
          <w:szCs w:val="22"/>
          <w:lang w:val="en-US" w:eastAsia="en-US" w:bidi="ar-SA"/>
        </w:rPr>
        <w:t>及时予以处理。涉嫌违反《</w:t>
      </w:r>
      <w:r>
        <w:fldChar w:fldCharType="begin"/>
      </w:r>
      <w:r>
        <w:instrText xml:space="preserve"> HYPERLINK "https://www.pkulaw.com/chl/503218397088141cbdfb.html" </w:instrText>
      </w:r>
      <w:r>
        <w:fldChar w:fldCharType="separate"/>
      </w:r>
      <w:r>
        <w:rPr>
          <w:rFonts w:ascii="宋体" w:hAnsi="宋体" w:cs="宋体" w:eastAsiaTheme="minorEastAsia"/>
          <w:color w:val="000000"/>
          <w:sz w:val="27"/>
          <w:szCs w:val="22"/>
          <w:lang w:val="en-US" w:eastAsia="en-US" w:bidi="ar-SA"/>
        </w:rPr>
        <w:t>中华人民共和国反垄断法</w:t>
      </w:r>
      <w:r>
        <w:rPr>
          <w:rFonts w:ascii="宋体" w:hAnsi="宋体" w:cs="宋体" w:eastAsiaTheme="minorEastAsia"/>
          <w:color w:val="000000"/>
          <w:sz w:val="27"/>
          <w:szCs w:val="22"/>
          <w:lang w:val="en-US" w:eastAsia="en-US" w:bidi="ar-SA"/>
        </w:rPr>
        <w:fldChar w:fldCharType="end"/>
      </w:r>
      <w:r>
        <w:rPr>
          <w:rFonts w:ascii="宋体" w:hAnsi="宋体" w:cs="宋体" w:eastAsiaTheme="minorEastAsia"/>
          <w:color w:val="000000"/>
          <w:sz w:val="27"/>
          <w:szCs w:val="22"/>
          <w:lang w:val="en-US" w:eastAsia="en-US" w:bidi="ar-SA"/>
        </w:rPr>
        <w:t>》的，由反垄断</w:t>
      </w:r>
    </w:p>
    <w:p w14:paraId="1830F4D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执法机构依法调查。</w:t>
      </w:r>
    </w:p>
    <w:p w14:paraId="02A6D695">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第二十六条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政策制定机关未进行公平竞争审查出台政策措施</w:t>
      </w:r>
    </w:p>
    <w:p w14:paraId="4821AF0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的，应当及时补做审查。发现存在违反公平竞争审查标准问题的，应</w:t>
      </w:r>
    </w:p>
    <w:p w14:paraId="4B5B3D67">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当按照相关程序停止执行或者调整相关政策措施。停止执行或者调整</w:t>
      </w:r>
    </w:p>
    <w:p w14:paraId="3A6FB650">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相关政策措施的，应当依照《</w:t>
      </w:r>
      <w:r>
        <w:fldChar w:fldCharType="begin"/>
      </w:r>
      <w:r>
        <w:instrText xml:space="preserve"> HYPERLINK "https://www.pkulaw.com/chl/25167d137cfd5e55bdfb.html" </w:instrText>
      </w:r>
      <w:r>
        <w:fldChar w:fldCharType="separate"/>
      </w:r>
      <w:r>
        <w:rPr>
          <w:rFonts w:ascii="宋体" w:hAnsi="宋体" w:cs="宋体" w:eastAsiaTheme="minorEastAsia"/>
          <w:color w:val="000000"/>
          <w:sz w:val="27"/>
          <w:szCs w:val="22"/>
          <w:lang w:val="en-US" w:eastAsia="en-US" w:bidi="ar-SA"/>
        </w:rPr>
        <w:t>中华人民共和国政府信息公开条例</w:t>
      </w:r>
      <w:r>
        <w:rPr>
          <w:rFonts w:ascii="宋体" w:hAnsi="宋体" w:cs="宋体" w:eastAsiaTheme="minorEastAsia"/>
          <w:color w:val="000000"/>
          <w:sz w:val="27"/>
          <w:szCs w:val="22"/>
          <w:lang w:val="en-US" w:eastAsia="en-US" w:bidi="ar-SA"/>
        </w:rPr>
        <w:fldChar w:fldCharType="end"/>
      </w:r>
      <w:r>
        <w:rPr>
          <w:rFonts w:ascii="宋体" w:hAnsi="宋体" w:cs="宋体" w:eastAsiaTheme="minorEastAsia"/>
          <w:color w:val="000000"/>
          <w:spacing w:val="-1"/>
          <w:sz w:val="27"/>
          <w:szCs w:val="22"/>
          <w:lang w:val="en-US" w:eastAsia="en-US" w:bidi="ar-SA"/>
        </w:rPr>
        <w:t>》要</w:t>
      </w:r>
    </w:p>
    <w:p w14:paraId="3B06B32E">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求向社会公开。</w:t>
      </w:r>
    </w:p>
    <w:p w14:paraId="13ACC488">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第二十七条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政策制定机关的上级机关经核实认定政策制定机关</w:t>
      </w:r>
    </w:p>
    <w:p w14:paraId="5DF511D4">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未进行公平竞争审查或者违反审查标准出台政策措施的，应当责令其</w:t>
      </w:r>
    </w:p>
    <w:p w14:paraId="1A254154">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改正；拒不改正或者不及时改正的，对直接负责的主管人员和其他直</w:t>
      </w:r>
    </w:p>
    <w:p w14:paraId="59CEA65C">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接责任人员依据《</w:t>
      </w:r>
      <w:r>
        <w:fldChar w:fldCharType="begin"/>
      </w:r>
      <w:r>
        <w:instrText xml:space="preserve"> HYPERLINK "https://www.pkulaw.com/chl/c8054098b4b25952bdfb.html" </w:instrText>
      </w:r>
      <w:r>
        <w:fldChar w:fldCharType="separate"/>
      </w:r>
      <w:r>
        <w:rPr>
          <w:rFonts w:ascii="宋体" w:hAnsi="宋体" w:cs="宋体" w:eastAsiaTheme="minorEastAsia"/>
          <w:color w:val="000000"/>
          <w:sz w:val="27"/>
          <w:szCs w:val="22"/>
          <w:lang w:val="en-US" w:eastAsia="en-US" w:bidi="ar-SA"/>
        </w:rPr>
        <w:t>中华人民共和国公务员法</w:t>
      </w:r>
      <w:r>
        <w:rPr>
          <w:rFonts w:ascii="宋体" w:hAnsi="宋体" w:cs="宋体" w:eastAsiaTheme="minorEastAsia"/>
          <w:color w:val="000000"/>
          <w:sz w:val="27"/>
          <w:szCs w:val="22"/>
          <w:lang w:val="en-US" w:eastAsia="en-US" w:bidi="ar-SA"/>
        </w:rPr>
        <w:fldChar w:fldCharType="end"/>
      </w:r>
      <w:r>
        <w:rPr>
          <w:rFonts w:ascii="宋体" w:hAnsi="宋体" w:cs="宋体" w:eastAsiaTheme="minorEastAsia"/>
          <w:color w:val="000000"/>
          <w:sz w:val="27"/>
          <w:szCs w:val="22"/>
          <w:lang w:val="en-US" w:eastAsia="en-US" w:bidi="ar-SA"/>
        </w:rPr>
        <w:t>》、《</w:t>
      </w:r>
      <w:r>
        <w:fldChar w:fldCharType="begin"/>
      </w:r>
      <w:r>
        <w:instrText xml:space="preserve"> HYPERLINK "https://www.pkulaw.com/chl/393631dede9eaab0bdfb.html" </w:instrText>
      </w:r>
      <w:r>
        <w:fldChar w:fldCharType="separate"/>
      </w:r>
      <w:r>
        <w:rPr>
          <w:rFonts w:ascii="宋体" w:hAnsi="宋体" w:cs="宋体" w:eastAsiaTheme="minorEastAsia"/>
          <w:color w:val="000000"/>
          <w:sz w:val="27"/>
          <w:szCs w:val="22"/>
          <w:lang w:val="en-US" w:eastAsia="en-US" w:bidi="ar-SA"/>
        </w:rPr>
        <w:t>中华人民共和国公</w:t>
      </w:r>
      <w:r>
        <w:rPr>
          <w:rFonts w:ascii="宋体" w:hAnsi="宋体" w:cs="宋体" w:eastAsiaTheme="minorEastAsia"/>
          <w:color w:val="000000"/>
          <w:sz w:val="27"/>
          <w:szCs w:val="22"/>
          <w:lang w:val="en-US" w:eastAsia="en-US" w:bidi="ar-SA"/>
        </w:rPr>
        <w:fldChar w:fldCharType="end"/>
      </w:r>
    </w:p>
    <w:p w14:paraId="06B9049F">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职人员政务处分法》、《</w:t>
      </w:r>
      <w:r>
        <w:fldChar w:fldCharType="begin"/>
      </w:r>
      <w:r>
        <w:instrText xml:space="preserve"> HYPERLINK "https://www.pkulaw.com/chl/4c8141753b4b24d5bdfb.html" </w:instrText>
      </w:r>
      <w:r>
        <w:fldChar w:fldCharType="separate"/>
      </w:r>
      <w:r>
        <w:rPr>
          <w:rFonts w:ascii="宋体" w:hAnsi="宋体" w:cs="宋体" w:eastAsiaTheme="minorEastAsia"/>
          <w:color w:val="000000"/>
          <w:sz w:val="27"/>
          <w:szCs w:val="22"/>
          <w:lang w:val="en-US" w:eastAsia="en-US" w:bidi="ar-SA"/>
        </w:rPr>
        <w:t>行政机关公务员处分条例</w:t>
      </w:r>
      <w:r>
        <w:rPr>
          <w:rFonts w:ascii="宋体" w:hAnsi="宋体" w:cs="宋体" w:eastAsiaTheme="minorEastAsia"/>
          <w:color w:val="000000"/>
          <w:sz w:val="27"/>
          <w:szCs w:val="22"/>
          <w:lang w:val="en-US" w:eastAsia="en-US" w:bidi="ar-SA"/>
        </w:rPr>
        <w:fldChar w:fldCharType="end"/>
      </w:r>
      <w:r>
        <w:rPr>
          <w:rFonts w:ascii="宋体" w:hAnsi="宋体" w:cs="宋体" w:eastAsiaTheme="minorEastAsia"/>
          <w:color w:val="000000"/>
          <w:sz w:val="27"/>
          <w:szCs w:val="22"/>
          <w:lang w:val="en-US" w:eastAsia="en-US" w:bidi="ar-SA"/>
        </w:rPr>
        <w:t>》等法律法规给予</w:t>
      </w:r>
    </w:p>
    <w:p w14:paraId="227E474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处分。本级及以上市场监管部门可以向政策制定机关或者其上级机关</w:t>
      </w:r>
    </w:p>
    <w:p w14:paraId="5A831CA8">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提出整改建议；整改情况要及时向有关方面反馈。违反《</w:t>
      </w:r>
      <w:r>
        <w:fldChar w:fldCharType="begin"/>
      </w:r>
      <w:r>
        <w:instrText xml:space="preserve"> HYPERLINK "https://www.pkulaw.com/chl/503218397088141cbdfb.html" </w:instrText>
      </w:r>
      <w:r>
        <w:fldChar w:fldCharType="separate"/>
      </w:r>
      <w:r>
        <w:rPr>
          <w:rFonts w:ascii="宋体" w:hAnsi="宋体" w:cs="宋体" w:eastAsiaTheme="minorEastAsia"/>
          <w:color w:val="000000"/>
          <w:sz w:val="27"/>
          <w:szCs w:val="22"/>
          <w:lang w:val="en-US" w:eastAsia="en-US" w:bidi="ar-SA"/>
        </w:rPr>
        <w:t>中华人民共</w:t>
      </w:r>
      <w:r>
        <w:rPr>
          <w:rFonts w:ascii="宋体" w:hAnsi="宋体" w:cs="宋体" w:eastAsiaTheme="minorEastAsia"/>
          <w:color w:val="000000"/>
          <w:sz w:val="27"/>
          <w:szCs w:val="22"/>
          <w:lang w:val="en-US" w:eastAsia="en-US" w:bidi="ar-SA"/>
        </w:rPr>
        <w:fldChar w:fldCharType="end"/>
      </w:r>
    </w:p>
    <w:p w14:paraId="2CD714B7">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和国反垄断法》的，反垄断执法机构可以向有关上级机关提出依法处</w:t>
      </w:r>
    </w:p>
    <w:p w14:paraId="374842DE">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理的建议。相关处理决定和建议依法向社会公开。</w:t>
      </w:r>
    </w:p>
    <w:p w14:paraId="3FC20F89">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第二十八条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市场监管总局负责牵头组织政策措施抽查，检查有</w:t>
      </w:r>
    </w:p>
    <w:p w14:paraId="46D5317E">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关政策措施是否履行审查程序、审查流程是否规范、审查结论是否准</w:t>
      </w:r>
    </w:p>
    <w:p w14:paraId="74B39013">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确等。对市场主体反映比较强烈、问题比较集中、滥用行政权力排除</w:t>
      </w:r>
    </w:p>
    <w:p w14:paraId="3EB766FF">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限制竞争行为多发的行业和地区，进行重点抽查。抽查结果及时反馈</w:t>
      </w:r>
    </w:p>
    <w:p w14:paraId="5E58F02F">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被抽查单位，并以适当方式向社会公开。对抽查发现的排除、限制竞</w:t>
      </w:r>
    </w:p>
    <w:p w14:paraId="1178BA40">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争问题，被抽查单位应当及时整改。</w:t>
      </w:r>
    </w:p>
    <w:p w14:paraId="5EC8EF1F">
      <w:pPr>
        <w:spacing w:before="321" w:after="0" w:line="279" w:lineRule="exact"/>
        <w:ind w:left="54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各地应当结合实际，建立本地区政策措施抽查机制。</w:t>
      </w:r>
    </w:p>
    <w:p w14:paraId="69FA6F70">
      <w:pPr>
        <w:spacing w:before="721" w:after="0" w:line="209" w:lineRule="exact"/>
        <w:ind w:left="4063" w:right="0" w:firstLine="0"/>
        <w:jc w:val="left"/>
        <w:rPr>
          <w:rFonts w:hAnsiTheme="minorHAnsi" w:eastAsiaTheme="minorEastAsia" w:cstheme="minorBidi"/>
          <w:color w:val="000000"/>
          <w:sz w:val="18"/>
          <w:szCs w:val="22"/>
          <w:lang w:val="en-US" w:eastAsia="en-US" w:bidi="ar-SA"/>
        </w:rPr>
        <w:sectPr>
          <w:pgSz w:w="11900" w:h="16820"/>
          <w:pgMar w:top="1713" w:right="100" w:bottom="0" w:left="1800" w:header="720" w:footer="720" w:gutter="0"/>
          <w:pgNumType w:start="1"/>
          <w:cols w:space="720" w:num="1"/>
          <w:docGrid w:linePitch="1" w:charSpace="0"/>
        </w:sectPr>
      </w:pPr>
      <w:r>
        <w:rPr>
          <w:rFonts w:ascii="OJFAEG+TimesNewRomanPSMT" w:hAnsiTheme="minorHAnsi" w:eastAsiaTheme="minorEastAsia" w:cstheme="minorBidi"/>
          <w:color w:val="000000"/>
          <w:spacing w:val="1"/>
          <w:sz w:val="18"/>
          <w:szCs w:val="22"/>
          <w:lang w:val="en-US" w:eastAsia="en-US" w:bidi="ar-SA"/>
        </w:rPr>
        <w:t>14</w:t>
      </w:r>
    </w:p>
    <w:p w14:paraId="39AEE9D0">
      <w:pPr>
        <w:spacing w:before="0" w:after="0" w:line="279" w:lineRule="exact"/>
        <w:ind w:left="542" w:right="0" w:firstLine="0"/>
        <w:jc w:val="left"/>
        <w:rPr>
          <w:rFonts w:hAnsiTheme="minorHAnsi" w:eastAsiaTheme="minorEastAsia" w:cstheme="minorBidi"/>
          <w:color w:val="000000"/>
          <w:sz w:val="27"/>
          <w:szCs w:val="22"/>
          <w:lang w:val="en-US" w:eastAsia="en-US" w:bidi="ar-SA"/>
        </w:rPr>
      </w:pPr>
      <w:bookmarkStart w:id="15" w:name="br1_14"/>
      <w:bookmarkEnd w:id="15"/>
      <w:bookmarkStart w:id="16" w:name="br1_15"/>
      <w:bookmarkEnd w:id="16"/>
      <w:r>
        <w:rPr>
          <w:rFonts w:ascii="宋体" w:hAnsi="宋体" w:cs="宋体" w:eastAsiaTheme="minorEastAsia"/>
          <w:color w:val="000000"/>
          <w:spacing w:val="1"/>
          <w:sz w:val="27"/>
          <w:szCs w:val="22"/>
          <w:lang w:val="en-US" w:eastAsia="en-US" w:bidi="ar-SA"/>
        </w:rPr>
        <w:t>第二十九条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县级以上地方各级人民政府建立健全公平竞争审查</w:t>
      </w:r>
    </w:p>
    <w:p w14:paraId="64D0E957">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考核制度，对落实公平竞争审查制度成效显著的单位予以表扬激励，</w:t>
      </w:r>
    </w:p>
    <w:p w14:paraId="2BFEF084">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对工作推进不力的进行督促整改，对工作中出现问题并造成不良后果</w:t>
      </w:r>
    </w:p>
    <w:p w14:paraId="59BA2601">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的依法依规严肃处理。</w:t>
      </w:r>
    </w:p>
    <w:p w14:paraId="5FDAD888">
      <w:pPr>
        <w:spacing w:before="321" w:after="0" w:line="279" w:lineRule="exact"/>
        <w:ind w:left="3478"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第七章</w:t>
      </w:r>
      <w:r>
        <w:rPr>
          <w:rFonts w:hAnsiTheme="minorHAnsi" w:eastAsiaTheme="minorEastAsia" w:cstheme="minorBidi"/>
          <w:color w:val="000000"/>
          <w:spacing w:val="203"/>
          <w:sz w:val="27"/>
          <w:szCs w:val="22"/>
          <w:lang w:val="en-US" w:eastAsia="en-US" w:bidi="ar-SA"/>
        </w:rPr>
        <w:t xml:space="preserve"> </w:t>
      </w:r>
      <w:r>
        <w:rPr>
          <w:rFonts w:ascii="宋体" w:hAnsi="宋体" w:cs="宋体" w:eastAsiaTheme="minorEastAsia"/>
          <w:color w:val="000000"/>
          <w:spacing w:val="-1"/>
          <w:sz w:val="27"/>
          <w:szCs w:val="22"/>
          <w:lang w:val="en-US" w:eastAsia="en-US" w:bidi="ar-SA"/>
        </w:rPr>
        <w:t>附则</w:t>
      </w:r>
    </w:p>
    <w:p w14:paraId="53A54584">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第三十条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各地区、各部门在遵循《意见》和本细则规定的基础</w:t>
      </w:r>
    </w:p>
    <w:p w14:paraId="52A54415">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上，可以根据本地区、本行业实际情况，制定公平竞争审查工作办法</w:t>
      </w:r>
    </w:p>
    <w:p w14:paraId="42489472">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和具体措施。</w:t>
      </w:r>
    </w:p>
    <w:p w14:paraId="67AF3637">
      <w:pPr>
        <w:spacing w:before="321" w:after="0" w:line="279" w:lineRule="exact"/>
        <w:ind w:left="542"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pacing w:val="1"/>
          <w:sz w:val="27"/>
          <w:szCs w:val="22"/>
          <w:lang w:val="en-US" w:eastAsia="en-US" w:bidi="ar-SA"/>
        </w:rPr>
        <w:t>第三十一条</w:t>
      </w:r>
      <w:r>
        <w:rPr>
          <w:rFonts w:hAnsiTheme="minorHAnsi" w:eastAsiaTheme="minorEastAsia" w:cstheme="minorBidi"/>
          <w:color w:val="000000"/>
          <w:spacing w:val="204"/>
          <w:sz w:val="27"/>
          <w:szCs w:val="22"/>
          <w:lang w:val="en-US" w:eastAsia="en-US" w:bidi="ar-SA"/>
        </w:rPr>
        <w:t xml:space="preserve"> </w:t>
      </w:r>
      <w:r>
        <w:rPr>
          <w:rFonts w:ascii="宋体" w:hAnsi="宋体" w:cs="宋体" w:eastAsiaTheme="minorEastAsia"/>
          <w:color w:val="000000"/>
          <w:sz w:val="27"/>
          <w:szCs w:val="22"/>
          <w:lang w:val="en-US" w:eastAsia="en-US" w:bidi="ar-SA"/>
        </w:rPr>
        <w:t>本细则自公布之日起实施。《公平竞争审查制度实</w:t>
      </w:r>
    </w:p>
    <w:p w14:paraId="339F22B0">
      <w:pPr>
        <w:spacing w:before="321" w:after="0" w:line="279" w:lineRule="exact"/>
        <w:ind w:left="0" w:right="0" w:firstLine="0"/>
        <w:jc w:val="left"/>
        <w:rPr>
          <w:rFonts w:hAnsiTheme="minorHAnsi" w:eastAsiaTheme="minorEastAsia" w:cstheme="minorBidi"/>
          <w:color w:val="000000"/>
          <w:sz w:val="27"/>
          <w:szCs w:val="22"/>
          <w:lang w:val="en-US" w:eastAsia="en-US" w:bidi="ar-SA"/>
        </w:rPr>
      </w:pPr>
      <w:r>
        <w:rPr>
          <w:rFonts w:ascii="宋体" w:hAnsi="宋体" w:cs="宋体" w:eastAsiaTheme="minorEastAsia"/>
          <w:color w:val="000000"/>
          <w:sz w:val="27"/>
          <w:szCs w:val="22"/>
          <w:lang w:val="en-US" w:eastAsia="en-US" w:bidi="ar-SA"/>
        </w:rPr>
        <w:t>施细则（暂行）》（发改价监〔2017〕1849</w:t>
      </w:r>
      <w:r>
        <w:rPr>
          <w:rFonts w:hAnsiTheme="minorHAnsi" w:eastAsiaTheme="minorEastAsia" w:cstheme="minorBidi"/>
          <w:color w:val="000000"/>
          <w:spacing w:val="2"/>
          <w:sz w:val="27"/>
          <w:szCs w:val="22"/>
          <w:lang w:val="en-US" w:eastAsia="en-US" w:bidi="ar-SA"/>
        </w:rPr>
        <w:t xml:space="preserve"> </w:t>
      </w:r>
      <w:r>
        <w:rPr>
          <w:rFonts w:ascii="宋体" w:hAnsi="宋体" w:cs="宋体" w:eastAsiaTheme="minorEastAsia"/>
          <w:color w:val="000000"/>
          <w:sz w:val="27"/>
          <w:szCs w:val="22"/>
          <w:lang w:val="en-US" w:eastAsia="en-US" w:bidi="ar-SA"/>
        </w:rPr>
        <w:t>号）同时废止。</w:t>
      </w:r>
    </w:p>
    <w:p w14:paraId="606B0EC0">
      <w:pPr>
        <w:spacing w:before="5844" w:after="0" w:line="209" w:lineRule="exact"/>
        <w:ind w:right="0"/>
        <w:jc w:val="left"/>
        <w:rPr>
          <w:rFonts w:hAnsiTheme="minorHAnsi" w:eastAsiaTheme="minorEastAsia" w:cstheme="minorBidi"/>
          <w:color w:val="000000"/>
          <w:sz w:val="18"/>
          <w:szCs w:val="22"/>
          <w:lang w:val="en-US" w:eastAsia="en-US" w:bidi="ar-SA"/>
        </w:rPr>
      </w:pPr>
    </w:p>
    <w:sectPr>
      <w:pgSz w:w="11900" w:h="16820"/>
      <w:pgMar w:top="1828" w:right="100" w:bottom="0" w:left="1800" w:header="720" w:footer="720" w:gutter="0"/>
      <w:pgNumType w:start="1"/>
      <w:cols w:space="720" w:num="1"/>
      <w:docGrid w:linePitch="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HGORST+STZhongsong">
    <w:altName w:val="Poor Richard"/>
    <w:panose1 w:val="02000500000000000000"/>
    <w:charset w:val="01"/>
    <w:family w:val="auto"/>
    <w:pitch w:val="default"/>
    <w:sig w:usb0="00000000" w:usb1="00000000" w:usb2="01010101" w:usb3="01010101" w:csb0="01010101" w:csb1="01010101"/>
  </w:font>
  <w:font w:name="CTFJRF+TimesNewRomanPSMT">
    <w:altName w:val="Poor Richard"/>
    <w:panose1 w:val="02000500000000000000"/>
    <w:charset w:val="01"/>
    <w:family w:val="auto"/>
    <w:pitch w:val="default"/>
    <w:sig w:usb0="00000000" w:usb1="00000000" w:usb2="01010101" w:usb3="01010101" w:csb0="01010101" w:csb1="01010101"/>
  </w:font>
  <w:font w:name="RUCNUU+TimesNewRomanPSMT">
    <w:altName w:val="Poor Richard"/>
    <w:panose1 w:val="02000500000000000000"/>
    <w:charset w:val="01"/>
    <w:family w:val="auto"/>
    <w:pitch w:val="default"/>
    <w:sig w:usb0="00000000" w:usb1="00000000" w:usb2="01010101" w:usb3="01010101" w:csb0="01010101" w:csb1="01010101"/>
  </w:font>
  <w:font w:name="ETANHV+TimesNewRomanPSMT">
    <w:altName w:val="Poor Richard"/>
    <w:panose1 w:val="02000500000000000000"/>
    <w:charset w:val="01"/>
    <w:family w:val="auto"/>
    <w:pitch w:val="default"/>
    <w:sig w:usb0="00000000" w:usb1="00000000" w:usb2="01010101" w:usb3="01010101" w:csb0="01010101" w:csb1="01010101"/>
  </w:font>
  <w:font w:name="QFCSRH+TimesNewRomanPSMT">
    <w:altName w:val="Poor Richard"/>
    <w:panose1 w:val="02000500000000000000"/>
    <w:charset w:val="01"/>
    <w:family w:val="auto"/>
    <w:pitch w:val="default"/>
    <w:sig w:usb0="00000000" w:usb1="00000000" w:usb2="01010101" w:usb3="01010101" w:csb0="01010101" w:csb1="01010101"/>
  </w:font>
  <w:font w:name="RJTGNK+TimesNewRomanPSMT">
    <w:altName w:val="Poor Richard"/>
    <w:panose1 w:val="02000500000000000000"/>
    <w:charset w:val="01"/>
    <w:family w:val="auto"/>
    <w:pitch w:val="default"/>
    <w:sig w:usb0="00000000" w:usb1="00000000" w:usb2="01010101" w:usb3="01010101" w:csb0="01010101" w:csb1="01010101"/>
  </w:font>
  <w:font w:name="STEOGC+TimesNewRomanPSMT">
    <w:altName w:val="Poor Richard"/>
    <w:panose1 w:val="02000500000000000000"/>
    <w:charset w:val="01"/>
    <w:family w:val="auto"/>
    <w:pitch w:val="default"/>
    <w:sig w:usb0="00000000" w:usb1="00000000" w:usb2="01010101" w:usb3="01010101" w:csb0="01010101" w:csb1="01010101"/>
  </w:font>
  <w:font w:name="EPLOMT+TimesNewRomanPSMT">
    <w:altName w:val="Poor Richard"/>
    <w:panose1 w:val="02000500000000000000"/>
    <w:charset w:val="01"/>
    <w:family w:val="auto"/>
    <w:pitch w:val="default"/>
    <w:sig w:usb0="00000000" w:usb1="00000000" w:usb2="01010101" w:usb3="01010101" w:csb0="01010101" w:csb1="01010101"/>
  </w:font>
  <w:font w:name="QTGMVF+TimesNewRomanPSMT">
    <w:altName w:val="Poor Richard"/>
    <w:panose1 w:val="02000500000000000000"/>
    <w:charset w:val="01"/>
    <w:family w:val="auto"/>
    <w:pitch w:val="default"/>
    <w:sig w:usb0="00000000" w:usb1="00000000" w:usb2="01010101" w:usb3="01010101" w:csb0="01010101" w:csb1="01010101"/>
  </w:font>
  <w:font w:name="RRCLEP+TimesNewRomanPSMT">
    <w:altName w:val="Poor Richard"/>
    <w:panose1 w:val="02000500000000000000"/>
    <w:charset w:val="01"/>
    <w:family w:val="auto"/>
    <w:pitch w:val="default"/>
    <w:sig w:usb0="00000000" w:usb1="00000000" w:usb2="01010101" w:usb3="01010101" w:csb0="01010101" w:csb1="01010101"/>
  </w:font>
  <w:font w:name="UFJBHI+TimesNewRomanPSMT">
    <w:altName w:val="Poor Richard"/>
    <w:panose1 w:val="02000500000000000000"/>
    <w:charset w:val="01"/>
    <w:family w:val="auto"/>
    <w:pitch w:val="default"/>
    <w:sig w:usb0="00000000" w:usb1="00000000" w:usb2="01010101" w:usb3="01010101" w:csb0="01010101" w:csb1="01010101"/>
  </w:font>
  <w:font w:name="CAJOEL+TimesNewRomanPSMT">
    <w:altName w:val="Poor Richard"/>
    <w:panose1 w:val="02000500000000000000"/>
    <w:charset w:val="01"/>
    <w:family w:val="auto"/>
    <w:pitch w:val="default"/>
    <w:sig w:usb0="00000000" w:usb1="00000000" w:usb2="01010101" w:usb3="01010101" w:csb0="01010101" w:csb1="01010101"/>
  </w:font>
  <w:font w:name="IQTOFL+TimesNewRomanPSMT">
    <w:altName w:val="Poor Richard"/>
    <w:panose1 w:val="02000500000000000000"/>
    <w:charset w:val="01"/>
    <w:family w:val="auto"/>
    <w:pitch w:val="default"/>
    <w:sig w:usb0="00000000" w:usb1="00000000" w:usb2="01010101" w:usb3="01010101" w:csb0="01010101" w:csb1="01010101"/>
  </w:font>
  <w:font w:name="GSEVJL+TimesNewRomanPSMT">
    <w:altName w:val="Poor Richard"/>
    <w:panose1 w:val="02000500000000000000"/>
    <w:charset w:val="01"/>
    <w:family w:val="auto"/>
    <w:pitch w:val="default"/>
    <w:sig w:usb0="00000000" w:usb1="00000000" w:usb2="01010101" w:usb3="01010101" w:csb0="01010101" w:csb1="01010101"/>
  </w:font>
  <w:font w:name="OJFAEG+TimesNewRomanPSMT">
    <w:altName w:val="Poor Richard"/>
    <w:panose1 w:val="02000500000000000000"/>
    <w:charset w:val="01"/>
    <w:family w:val="auto"/>
    <w:pitch w:val="default"/>
    <w:sig w:usb0="00000000" w:usb1="00000000" w:usb2="01010101" w:usb3="01010101" w:csb0="01010101" w:csb1="01010101"/>
  </w:font>
  <w:font w:name="LRPAOM+TimesNewRomanPSMT">
    <w:altName w:val="Poor Richard"/>
    <w:panose1 w:val="02000500000000000000"/>
    <w:charset w:val="01"/>
    <w:family w:val="auto"/>
    <w:pitch w:val="default"/>
    <w:sig w:usb0="00000000" w:usb1="00000000" w:usb2="01010101" w:usb3="01010101" w:csb0="01010101" w:csb1="01010101"/>
  </w:font>
  <w:font w:name="TRRIOB+TimesNewRomanPSMT">
    <w:altName w:val="Poor Richard"/>
    <w:panose1 w:val="02000500000000000000"/>
    <w:charset w:val="01"/>
    <w:family w:val="auto"/>
    <w:pitch w:val="default"/>
    <w:sig w:usb0="00000000" w:usb1="00000000" w:usb2="01010101" w:usb3="01010101" w:csb0="01010101" w:csb1="01010101"/>
  </w:font>
  <w:font w:name="RPKFKM+TimesNewRomanPSMT">
    <w:altName w:val="Poor Richard"/>
    <w:panose1 w:val="02000500000000000000"/>
    <w:charset w:val="01"/>
    <w:family w:val="auto"/>
    <w:pitch w:val="default"/>
    <w:sig w:usb0="00000000" w:usb1="00000000" w:usb2="01010101" w:usb3="01010101" w:csb0="01010101" w:csb1="01010101"/>
  </w:font>
  <w:font w:name="BGDGTV+TimesNewRomanPSMT">
    <w:altName w:val="Poor Richard"/>
    <w:panose1 w:val="02000500000000000000"/>
    <w:charset w:val="01"/>
    <w:family w:val="auto"/>
    <w:pitch w:val="default"/>
    <w:sig w:usb0="00000000" w:usb1="00000000" w:usb2="01010101" w:usb3="01010101" w:csb0="01010101" w:csb1="01010101"/>
  </w:font>
  <w:font w:name="Poor Richard">
    <w:panose1 w:val="02080502050505020702"/>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2AB36F1A"/>
    <w:rsid w:val="4EBB1D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15</Pages>
  <Words>8002</Words>
  <Characters>8140</Characters>
  <Lines>1</Lines>
  <Paragraphs>1</Paragraphs>
  <TotalTime>4</TotalTime>
  <ScaleCrop>false</ScaleCrop>
  <LinksUpToDate>false</LinksUpToDate>
  <CharactersWithSpaces>8213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2025-11-11T03:17:05Z</dcterms:created>
  <dc:creator>Lenovo</dc:creator>
  <cp:lastModifiedBy>gaorunpu</cp:lastModifiedBy>
  <dcterms:modified xsi:type="dcterms:W3CDTF">2025-11-11T03:22:21Z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eyJoZGlkIjoiNzhkZDRkNTJlNWJiMzVmYzRjMzYyYTY4OGJlYWVjNzkiLCJ1c2VySWQiOiI3NzcwNjA1NTgifQ==</vt:lpwstr>
  </property>
  <property fmtid="{D5CDD505-2E9C-101B-9397-08002B2CF9AE}" pid="3" name="KSOProductBuildVer">
    <vt:lpwstr>2052-12.1.0.23125</vt:lpwstr>
  </property>
  <property fmtid="{D5CDD505-2E9C-101B-9397-08002B2CF9AE}" pid="4" name="ICV">
    <vt:lpwstr>17A368A5020146C8BD8F893860942ECE_12</vt:lpwstr>
  </property>
</Properties>
</file>