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62D6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50" w:beforeAutospacing="0" w:after="0" w:afterAutospacing="0"/>
        <w:ind w:left="0" w:right="0"/>
        <w:jc w:val="center"/>
        <w:rPr>
          <w:rFonts w:ascii="微软雅黑" w:hAnsi="微软雅黑" w:eastAsia="微软雅黑" w:cs="微软雅黑"/>
          <w:b w:val="0"/>
          <w:bCs w:val="0"/>
          <w:color w:val="000000"/>
          <w:sz w:val="45"/>
          <w:szCs w:val="45"/>
        </w:rPr>
      </w:pPr>
      <w:r>
        <w:rPr>
          <w:rFonts w:hint="eastAsia" w:ascii="微软雅黑" w:hAnsi="微软雅黑" w:eastAsia="微软雅黑" w:cs="微软雅黑"/>
          <w:b w:val="0"/>
          <w:bCs w:val="0"/>
          <w:color w:val="000000"/>
          <w:sz w:val="45"/>
          <w:szCs w:val="45"/>
          <w:bdr w:val="none" w:color="auto" w:sz="0" w:space="0"/>
        </w:rPr>
        <w:t>河南省发展和改革委员会 河南省司法厅 关于进一步完善我省公证服务价格管理的通知</w:t>
      </w:r>
    </w:p>
    <w:p w14:paraId="7EE0A0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EEEEEE"/>
        <w:spacing w:before="225" w:beforeAutospacing="0" w:after="0" w:afterAutospacing="0" w:line="450" w:lineRule="atLeast"/>
        <w:ind w:left="0" w:right="0"/>
        <w:jc w:val="center"/>
        <w:rPr>
          <w:rFonts w:hint="eastAsia" w:ascii="微软雅黑" w:hAnsi="微软雅黑" w:eastAsia="微软雅黑" w:cs="微软雅黑"/>
        </w:rPr>
      </w:pPr>
      <w:r>
        <w:rPr>
          <w:rFonts w:hint="eastAsia" w:ascii="微软雅黑" w:hAnsi="微软雅黑" w:eastAsia="微软雅黑" w:cs="微软雅黑"/>
          <w:color w:val="333333"/>
          <w:u w:val="none"/>
          <w:bdr w:val="none" w:color="auto" w:sz="0" w:space="0"/>
          <w:shd w:val="clear" w:fill="EEEEEE"/>
        </w:rPr>
        <w:fldChar w:fldCharType="begin"/>
      </w:r>
      <w:r>
        <w:rPr>
          <w:rFonts w:hint="eastAsia" w:ascii="微软雅黑" w:hAnsi="微软雅黑" w:eastAsia="微软雅黑" w:cs="微软雅黑"/>
          <w:color w:val="333333"/>
          <w:u w:val="none"/>
          <w:bdr w:val="none" w:color="auto" w:sz="0" w:space="0"/>
          <w:shd w:val="clear" w:fill="EEEEEE"/>
        </w:rPr>
        <w:instrText xml:space="preserve"> HYPERLINK "http://www.neixiangxian.gov.cn/" </w:instrText>
      </w:r>
      <w:r>
        <w:rPr>
          <w:rFonts w:hint="eastAsia" w:ascii="微软雅黑" w:hAnsi="微软雅黑" w:eastAsia="微软雅黑" w:cs="微软雅黑"/>
          <w:color w:val="333333"/>
          <w:u w:val="none"/>
          <w:bdr w:val="none" w:color="auto" w:sz="0" w:space="0"/>
          <w:shd w:val="clear" w:fill="EEEEEE"/>
        </w:rPr>
        <w:fldChar w:fldCharType="separate"/>
      </w:r>
      <w:r>
        <w:rPr>
          <w:rStyle w:val="6"/>
          <w:rFonts w:hint="eastAsia" w:ascii="微软雅黑" w:hAnsi="微软雅黑" w:eastAsia="微软雅黑" w:cs="微软雅黑"/>
          <w:color w:val="333333"/>
          <w:u w:val="none"/>
          <w:bdr w:val="none" w:color="auto" w:sz="0" w:space="0"/>
          <w:shd w:val="clear" w:fill="EEEEEE"/>
        </w:rPr>
        <w:t>内乡政府门</w:t>
      </w:r>
      <w:bookmarkStart w:id="0" w:name="_GoBack"/>
      <w:bookmarkEnd w:id="0"/>
      <w:r>
        <w:rPr>
          <w:rStyle w:val="6"/>
          <w:rFonts w:hint="eastAsia" w:ascii="微软雅黑" w:hAnsi="微软雅黑" w:eastAsia="微软雅黑" w:cs="微软雅黑"/>
          <w:color w:val="333333"/>
          <w:u w:val="none"/>
          <w:bdr w:val="none" w:color="auto" w:sz="0" w:space="0"/>
          <w:shd w:val="clear" w:fill="EEEEEE"/>
        </w:rPr>
        <w:t>户网站  www.neixiangxian.gov.cn</w:t>
      </w:r>
      <w:r>
        <w:rPr>
          <w:rFonts w:hint="eastAsia" w:ascii="微软雅黑" w:hAnsi="微软雅黑" w:eastAsia="微软雅黑" w:cs="微软雅黑"/>
          <w:color w:val="333333"/>
          <w:u w:val="none"/>
          <w:bdr w:val="none" w:color="auto" w:sz="0" w:space="0"/>
          <w:shd w:val="clear" w:fill="EEEEEE"/>
        </w:rPr>
        <w:fldChar w:fldCharType="end"/>
      </w:r>
      <w:r>
        <w:rPr>
          <w:rFonts w:hint="eastAsia" w:ascii="微软雅黑" w:hAnsi="微软雅黑" w:eastAsia="微软雅黑" w:cs="微软雅黑"/>
          <w:bdr w:val="none" w:color="auto" w:sz="0" w:space="0"/>
          <w:shd w:val="clear" w:fill="EEEEEE"/>
        </w:rPr>
        <w:t>   2024-09-24 10:26   来源：</w:t>
      </w:r>
    </w:p>
    <w:p w14:paraId="546A2A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jc w:val="center"/>
        <w:rPr>
          <w:rFonts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河南省发展和改革委员会 河南省司法厅</w:t>
      </w:r>
    </w:p>
    <w:p w14:paraId="1D129F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关于进一步完善我省公证服务价格管理的通知</w:t>
      </w:r>
    </w:p>
    <w:p w14:paraId="202FDA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 </w:t>
      </w:r>
    </w:p>
    <w:p w14:paraId="7B8E2E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95" w:lineRule="atLeast"/>
        <w:ind w:left="0" w:right="0" w:firstLine="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各省辖市、济源示范区发展改革委（发改统计局）、司法局：</w:t>
      </w:r>
    </w:p>
    <w:p w14:paraId="4E690F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95" w:lineRule="atLeast"/>
        <w:ind w:left="0" w:right="0" w:firstLine="51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为贯彻落实《国家发展改革委 司法部关于进一步完善公证服务价格形成机制的指导意见》（发改价格〔2021〕1081号），进一步规范完善我省公证服务价格管理，减轻企业和群众公证费用负担，促进公证服务行业高质量发展，现就有关事项通知如下：  </w:t>
      </w:r>
    </w:p>
    <w:p w14:paraId="5721E7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95" w:lineRule="atLeast"/>
        <w:ind w:left="0" w:right="0" w:firstLine="495"/>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一、明确政府定价范围。</w:t>
      </w:r>
      <w:r>
        <w:rPr>
          <w:rFonts w:hint="eastAsia" w:ascii="微软雅黑" w:hAnsi="微软雅黑" w:eastAsia="微软雅黑" w:cs="微软雅黑"/>
          <w:spacing w:val="-15"/>
          <w:sz w:val="24"/>
          <w:szCs w:val="24"/>
          <w:bdr w:val="none" w:color="auto" w:sz="0" w:space="0"/>
          <w:shd w:val="clear" w:fill="FFFFFF"/>
        </w:rPr>
        <w:t>对关系民生的基本公证服务，以及具有区域垄断性、竞争不充分的项目，实行政府指导价管理。</w:t>
      </w:r>
      <w:r>
        <w:rPr>
          <w:rFonts w:hint="eastAsia" w:ascii="微软雅黑" w:hAnsi="微软雅黑" w:eastAsia="微软雅黑" w:cs="微软雅黑"/>
          <w:sz w:val="24"/>
          <w:szCs w:val="24"/>
          <w:bdr w:val="none" w:color="auto" w:sz="0" w:space="0"/>
          <w:shd w:val="clear" w:fill="FFFFFF"/>
        </w:rPr>
        <w:t>公证机构依法向当事人提供的其他公证服务实行市场调节价，价格由市场竞争形成。</w:t>
      </w:r>
    </w:p>
    <w:p w14:paraId="1FE735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95" w:lineRule="atLeast"/>
        <w:ind w:left="0" w:right="0" w:firstLine="495"/>
        <w:jc w:val="both"/>
        <w:rPr>
          <w:rFonts w:hint="eastAsia" w:ascii="微软雅黑" w:hAnsi="微软雅黑" w:eastAsia="微软雅黑" w:cs="微软雅黑"/>
          <w:sz w:val="24"/>
          <w:szCs w:val="24"/>
        </w:rPr>
      </w:pPr>
      <w:r>
        <w:rPr>
          <w:rFonts w:hint="eastAsia" w:ascii="微软雅黑" w:hAnsi="微软雅黑" w:eastAsia="微软雅黑" w:cs="微软雅黑"/>
          <w:spacing w:val="0"/>
          <w:sz w:val="24"/>
          <w:szCs w:val="24"/>
          <w:bdr w:val="none" w:color="auto" w:sz="0" w:space="0"/>
          <w:shd w:val="clear" w:fill="FFFFFF"/>
        </w:rPr>
        <w:t>二、改进政府定价方式。</w:t>
      </w:r>
      <w:r>
        <w:rPr>
          <w:rFonts w:hint="eastAsia" w:ascii="微软雅黑" w:hAnsi="微软雅黑" w:eastAsia="微软雅黑" w:cs="微软雅黑"/>
          <w:sz w:val="24"/>
          <w:szCs w:val="24"/>
          <w:bdr w:val="none" w:color="auto" w:sz="0" w:space="0"/>
          <w:shd w:val="clear" w:fill="FFFFFF"/>
        </w:rPr>
        <w:t>对实行政府</w:t>
      </w:r>
      <w:r>
        <w:rPr>
          <w:rFonts w:hint="eastAsia" w:ascii="微软雅黑" w:hAnsi="微软雅黑" w:eastAsia="微软雅黑" w:cs="微软雅黑"/>
          <w:spacing w:val="-15"/>
          <w:sz w:val="24"/>
          <w:szCs w:val="24"/>
          <w:bdr w:val="none" w:color="auto" w:sz="0" w:space="0"/>
          <w:shd w:val="clear" w:fill="FFFFFF"/>
        </w:rPr>
        <w:t>指导价</w:t>
      </w:r>
      <w:r>
        <w:rPr>
          <w:rFonts w:hint="eastAsia" w:ascii="微软雅黑" w:hAnsi="微软雅黑" w:eastAsia="微软雅黑" w:cs="微软雅黑"/>
          <w:sz w:val="24"/>
          <w:szCs w:val="24"/>
          <w:bdr w:val="none" w:color="auto" w:sz="0" w:space="0"/>
          <w:shd w:val="clear" w:fill="FFFFFF"/>
        </w:rPr>
        <w:t>管理的公证事项，制定政府指导价作为收费标准上限（具体项目和收费标准上限详见附件），由各公证机构在不超过政府规定收费标准上限的范围内确定具体价格水平。对按标的金额比例计价的部分公证事项，设立阶梯递减费率。</w:t>
      </w:r>
      <w:r>
        <w:rPr>
          <w:rFonts w:hint="eastAsia" w:ascii="微软雅黑" w:hAnsi="微软雅黑" w:eastAsia="微软雅黑" w:cs="微软雅黑"/>
          <w:spacing w:val="0"/>
          <w:sz w:val="24"/>
          <w:szCs w:val="24"/>
          <w:bdr w:val="none" w:color="auto" w:sz="0" w:space="0"/>
          <w:shd w:val="clear" w:fill="FFFFFF"/>
        </w:rPr>
        <w:t>对涉及居民房产继承、遗赠的公证事项，同时提供按房产面积和受益金额比例两种方式计价，由当事人从低选择计价方式。</w:t>
      </w:r>
    </w:p>
    <w:p w14:paraId="0C7262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95" w:lineRule="atLeast"/>
        <w:ind w:left="0" w:right="0" w:firstLine="465"/>
        <w:jc w:val="both"/>
        <w:rPr>
          <w:rFonts w:hint="eastAsia" w:ascii="微软雅黑" w:hAnsi="微软雅黑" w:eastAsia="微软雅黑" w:cs="微软雅黑"/>
          <w:sz w:val="24"/>
          <w:szCs w:val="24"/>
        </w:rPr>
      </w:pPr>
      <w:r>
        <w:rPr>
          <w:rFonts w:hint="eastAsia" w:ascii="微软雅黑" w:hAnsi="微软雅黑" w:eastAsia="微软雅黑" w:cs="微软雅黑"/>
          <w:spacing w:val="0"/>
          <w:sz w:val="24"/>
          <w:szCs w:val="24"/>
          <w:bdr w:val="none" w:color="auto" w:sz="0" w:space="0"/>
          <w:shd w:val="clear" w:fill="FFFFFF"/>
        </w:rPr>
        <w:t>三、降低部分公证服务价格。</w:t>
      </w:r>
      <w:r>
        <w:rPr>
          <w:rFonts w:hint="eastAsia" w:ascii="微软雅黑" w:hAnsi="微软雅黑" w:eastAsia="微软雅黑" w:cs="微软雅黑"/>
          <w:spacing w:val="-15"/>
          <w:sz w:val="24"/>
          <w:szCs w:val="24"/>
          <w:bdr w:val="none" w:color="auto" w:sz="0" w:space="0"/>
          <w:shd w:val="clear" w:fill="FFFFFF"/>
        </w:rPr>
        <w:t>降低证明商事类、财产类合同（协议）、提存公证、赋予债权文书具有强制执行效力等服务项目收费标准，对单套居民房产</w:t>
      </w:r>
      <w:r>
        <w:rPr>
          <w:rFonts w:hint="eastAsia" w:ascii="微软雅黑" w:hAnsi="微软雅黑" w:eastAsia="微软雅黑" w:cs="微软雅黑"/>
          <w:sz w:val="24"/>
          <w:szCs w:val="24"/>
          <w:bdr w:val="none" w:color="auto" w:sz="0" w:space="0"/>
          <w:shd w:val="clear" w:fill="FFFFFF"/>
        </w:rPr>
        <w:t>继承、赠与、接受遗赠和单笔商事类、财产类合同等公证项目规定最高收费限额，切实减轻企业和群众公证费用负担。</w:t>
      </w:r>
    </w:p>
    <w:p w14:paraId="2E186A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95" w:lineRule="atLeast"/>
        <w:ind w:left="0" w:right="0" w:firstLine="51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四、完善收费减免政策。80周岁及以上年龄的自然人首次申请办理遗嘱公证的，免收遗嘱公证服务费用。低保户、重度残疾人办理政府指导价管理范围内的基本公证服务事项，公证服务费用减免比例不低于50%。与领取抚恤金、劳工赔偿金、救济金、劳动保险金等有关的公证事项，与公益活动有关的公证事项，证明赡养、抚养、扶养协议的公证事项，公证服务费用减免比例不低于40%。其他应当减免的，按照相关规定执行。对于不符合法律援助条件，但当事人确有困难的，公证机构应当酌情减收或者免收相关的公证服务费用。</w:t>
      </w:r>
    </w:p>
    <w:p w14:paraId="4466B4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95" w:lineRule="atLeast"/>
        <w:ind w:left="0" w:right="0" w:firstLine="51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五、强化公证机构财务管理。各级司法行政部门要督促指导公证机构加强内部财务管理，完善年度财务审计制度。公证机构要建立健全成本核算制度，完整准确记录并单独核算各项公证服务项目的经营成本和收入。公证机构要压减不合理支出，降低运营成本，结合实际推进企业化财务管理，为社会提供质价相符的公证服务。</w:t>
      </w:r>
    </w:p>
    <w:p w14:paraId="38D19F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95" w:lineRule="atLeast"/>
        <w:ind w:left="0" w:right="0" w:firstLine="51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六、规范公证机构价格行为。公证机构要在服务场所显著位置或门户网站公示公证收费目录清单，明确收费项目、收费标准、收费依据、收费减免办法、投诉举报电话等信息，主动接受社会监督。对实行政府指导价管理的公证服务项目，公证机构不得以任何名义拆分项目、扩大范围、改变计费方式等；对实行市场调节价的公证服务项目，收费水平不得畸高、畸低。公证机构不得通过循环证明、捆绑服务等增设不必要的证明事项并加价。对事实上由金融机构等申请、赋予债权文书具有强制执行效力的公证事项，公证机构要严格按照“谁申请，谁付费”要求，不得增加借款人负担。</w:t>
      </w:r>
    </w:p>
    <w:p w14:paraId="0B4272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95" w:lineRule="atLeast"/>
        <w:ind w:left="0" w:right="0" w:firstLine="51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七、加强公证服务价格监管。各级价格主管部门、司法行政部门要配合市场监管部门加强对公证机构价格行为的监管，严禁乱涨价、巧立名目乱加价等价格违规违法行为。公证机构每年3月底前要向当地价格主管部门、司法行政部门报送上一年度价格政策执行和公证收入、支出等相关情况。</w:t>
      </w:r>
    </w:p>
    <w:p w14:paraId="7CA094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95" w:lineRule="atLeast"/>
        <w:ind w:left="0" w:right="0" w:firstLine="51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本通知自发文之日起执行，根据公证服务市场状况、价格水平和国家相关政策等，适时进行调整完善。《河南省物价局、河南省司法厅关于调整公证服务收费标准的通知》（豫价费字〔1998〕366号）同时废止。 </w:t>
      </w:r>
    </w:p>
    <w:p w14:paraId="39B5BA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50" w:lineRule="atLeast"/>
        <w:ind w:left="0" w:right="0" w:firstLine="51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 </w:t>
      </w:r>
    </w:p>
    <w:p w14:paraId="01C8A2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51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附件：河南省实行政府指导价的公证服务项目收费标准表</w:t>
      </w:r>
    </w:p>
    <w:p w14:paraId="60C1BF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 </w:t>
      </w:r>
    </w:p>
    <w:p w14:paraId="665142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 </w:t>
      </w:r>
    </w:p>
    <w:p w14:paraId="6B50B3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 </w:t>
      </w:r>
    </w:p>
    <w:p w14:paraId="79BB9C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河南省发展和改革委员会              河南省司法厅</w:t>
      </w:r>
    </w:p>
    <w:p w14:paraId="5786ED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                                </w:t>
      </w:r>
    </w:p>
    <w:p w14:paraId="08F5A1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                                                               2021年12月28日</w:t>
      </w:r>
    </w:p>
    <w:p w14:paraId="1A1A4B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51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 </w:t>
      </w:r>
    </w:p>
    <w:p w14:paraId="6DED54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51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 </w:t>
      </w:r>
    </w:p>
    <w:p w14:paraId="74A035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both"/>
        <w:textAlignment w:val="top"/>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 </w:t>
      </w:r>
    </w:p>
    <w:p w14:paraId="5B066D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 附  件</w:t>
      </w:r>
    </w:p>
    <w:p w14:paraId="4A90E4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firstLine="0"/>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河南省实行政府指导价的公证服务项目收费标准表</w:t>
      </w:r>
    </w:p>
    <w:p w14:paraId="753CA6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65" w:lineRule="atLeast"/>
        <w:ind w:left="0" w:right="0" w:firstLine="0"/>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shd w:val="clear" w:fill="FFFFFF"/>
        </w:rPr>
        <w:t> </w:t>
      </w:r>
    </w:p>
    <w:tbl>
      <w:tblPr>
        <w:tblW w:w="837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331"/>
        <w:gridCol w:w="917"/>
        <w:gridCol w:w="1352"/>
        <w:gridCol w:w="5770"/>
      </w:tblGrid>
      <w:tr w14:paraId="654FFD2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525" w:hRule="atLeast"/>
        </w:trPr>
        <w:tc>
          <w:tcPr>
            <w:tcW w:w="330" w:type="dxa"/>
            <w:tcBorders>
              <w:top w:val="nil"/>
              <w:left w:val="nil"/>
              <w:bottom w:val="nil"/>
              <w:right w:val="nil"/>
            </w:tcBorders>
            <w:shd w:val="clear"/>
            <w:vAlign w:val="center"/>
          </w:tcPr>
          <w:p w14:paraId="15AC56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序号</w:t>
            </w:r>
          </w:p>
        </w:tc>
        <w:tc>
          <w:tcPr>
            <w:tcW w:w="915" w:type="dxa"/>
            <w:tcBorders>
              <w:top w:val="nil"/>
              <w:left w:val="nil"/>
              <w:bottom w:val="nil"/>
              <w:right w:val="nil"/>
            </w:tcBorders>
            <w:shd w:val="clear"/>
            <w:vAlign w:val="center"/>
          </w:tcPr>
          <w:p w14:paraId="2B8FB4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项目类别</w:t>
            </w:r>
          </w:p>
        </w:tc>
        <w:tc>
          <w:tcPr>
            <w:tcW w:w="1350" w:type="dxa"/>
            <w:tcBorders>
              <w:top w:val="nil"/>
              <w:left w:val="nil"/>
              <w:bottom w:val="nil"/>
              <w:right w:val="nil"/>
            </w:tcBorders>
            <w:shd w:val="clear"/>
            <w:vAlign w:val="center"/>
          </w:tcPr>
          <w:p w14:paraId="0FDDFB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收费项目</w:t>
            </w:r>
          </w:p>
        </w:tc>
        <w:tc>
          <w:tcPr>
            <w:tcW w:w="5760" w:type="dxa"/>
            <w:tcBorders>
              <w:top w:val="nil"/>
              <w:left w:val="nil"/>
              <w:bottom w:val="nil"/>
              <w:right w:val="nil"/>
            </w:tcBorders>
            <w:shd w:val="clear"/>
            <w:vAlign w:val="center"/>
          </w:tcPr>
          <w:p w14:paraId="7D3086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收费标准上限</w:t>
            </w:r>
          </w:p>
        </w:tc>
      </w:tr>
      <w:tr w14:paraId="4A7C56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5040" w:hRule="atLeast"/>
        </w:trPr>
        <w:tc>
          <w:tcPr>
            <w:tcW w:w="330" w:type="dxa"/>
            <w:tcBorders>
              <w:top w:val="nil"/>
              <w:left w:val="nil"/>
              <w:bottom w:val="nil"/>
              <w:right w:val="nil"/>
            </w:tcBorders>
            <w:shd w:val="clear"/>
            <w:vAlign w:val="center"/>
          </w:tcPr>
          <w:p w14:paraId="4F7B48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1</w:t>
            </w:r>
          </w:p>
        </w:tc>
        <w:tc>
          <w:tcPr>
            <w:tcW w:w="915" w:type="dxa"/>
            <w:vMerge w:val="restart"/>
            <w:tcBorders>
              <w:top w:val="nil"/>
              <w:left w:val="nil"/>
              <w:bottom w:val="nil"/>
              <w:right w:val="nil"/>
            </w:tcBorders>
            <w:shd w:val="clear"/>
            <w:vAlign w:val="center"/>
          </w:tcPr>
          <w:p w14:paraId="5C1F6B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证明法律事实类</w:t>
            </w:r>
          </w:p>
        </w:tc>
        <w:tc>
          <w:tcPr>
            <w:tcW w:w="1350" w:type="dxa"/>
            <w:tcBorders>
              <w:top w:val="nil"/>
              <w:left w:val="nil"/>
              <w:bottom w:val="nil"/>
              <w:right w:val="nil"/>
            </w:tcBorders>
            <w:shd w:val="clear"/>
            <w:vAlign w:val="center"/>
          </w:tcPr>
          <w:p w14:paraId="74180B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证明财产继承、赠与、接受遗赠</w:t>
            </w:r>
          </w:p>
        </w:tc>
        <w:tc>
          <w:tcPr>
            <w:tcW w:w="5760" w:type="dxa"/>
            <w:tcBorders>
              <w:top w:val="nil"/>
              <w:left w:val="nil"/>
              <w:bottom w:val="nil"/>
              <w:right w:val="nil"/>
            </w:tcBorders>
            <w:shd w:val="clear"/>
            <w:vAlign w:val="center"/>
          </w:tcPr>
          <w:p w14:paraId="7B1C52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1.按照受益额标的分段累计收取，其中受益额20万元（含）以下的部分按0.5%收取，不足200元的，按200元收取；20-50万元（含）的部分按0.4%收取；50-200万元（含）的部分按0.3%收取；200-500万元（含）的部分按0.2%收取；500-1000万元（含）的部分按0.1%收取；1000万元以上的部分按0.05%收取。</w:t>
            </w:r>
            <w:r>
              <w:rPr>
                <w:rFonts w:hint="eastAsia" w:ascii="微软雅黑" w:hAnsi="微软雅黑" w:eastAsia="微软雅黑" w:cs="微软雅黑"/>
                <w:sz w:val="24"/>
                <w:szCs w:val="24"/>
                <w:bdr w:val="none" w:color="auto" w:sz="0" w:space="0"/>
              </w:rPr>
              <w:br w:type="textWrapping"/>
            </w:r>
            <w:r>
              <w:rPr>
                <w:rFonts w:hint="eastAsia" w:ascii="微软雅黑" w:hAnsi="微软雅黑" w:eastAsia="微软雅黑" w:cs="微软雅黑"/>
                <w:sz w:val="24"/>
                <w:szCs w:val="24"/>
                <w:bdr w:val="none" w:color="auto" w:sz="0" w:space="0"/>
              </w:rPr>
              <w:t>2.涉及居民房产继承、赠与、接受遗赠，可以按照房产面积计价，设区市城区房产面积100平方米（含）以下部分按每平方米50元收取，房产面积超过100平方米以上部分按每平方米40元收取。</w:t>
            </w:r>
            <w:r>
              <w:rPr>
                <w:rFonts w:hint="eastAsia" w:ascii="微软雅黑" w:hAnsi="微软雅黑" w:eastAsia="微软雅黑" w:cs="微软雅黑"/>
                <w:sz w:val="24"/>
                <w:szCs w:val="24"/>
                <w:bdr w:val="none" w:color="auto" w:sz="0" w:space="0"/>
              </w:rPr>
              <w:br w:type="textWrapping"/>
            </w:r>
            <w:r>
              <w:rPr>
                <w:rFonts w:hint="eastAsia" w:ascii="微软雅黑" w:hAnsi="微软雅黑" w:eastAsia="微软雅黑" w:cs="微软雅黑"/>
                <w:sz w:val="24"/>
                <w:szCs w:val="24"/>
                <w:bdr w:val="none" w:color="auto" w:sz="0" w:space="0"/>
              </w:rPr>
              <w:t>县（市）房产面积100平方米（含）以下部分按每平方米40元收取；房产面积超过100平方米以上部分按每平方米30元收取。</w:t>
            </w:r>
            <w:r>
              <w:rPr>
                <w:rFonts w:hint="eastAsia" w:ascii="微软雅黑" w:hAnsi="微软雅黑" w:eastAsia="微软雅黑" w:cs="微软雅黑"/>
                <w:sz w:val="24"/>
                <w:szCs w:val="24"/>
                <w:bdr w:val="none" w:color="auto" w:sz="0" w:space="0"/>
              </w:rPr>
              <w:br w:type="textWrapping"/>
            </w:r>
            <w:r>
              <w:rPr>
                <w:rFonts w:hint="eastAsia" w:ascii="微软雅黑" w:hAnsi="微软雅黑" w:eastAsia="微软雅黑" w:cs="微软雅黑"/>
                <w:sz w:val="24"/>
                <w:szCs w:val="24"/>
                <w:bdr w:val="none" w:color="auto" w:sz="0" w:space="0"/>
              </w:rPr>
              <w:t>3.单套居民房产办理继承、赠与、接受遗赠公证费用总额最高不得超过1万元。</w:t>
            </w:r>
            <w:r>
              <w:rPr>
                <w:rFonts w:hint="eastAsia" w:ascii="微软雅黑" w:hAnsi="微软雅黑" w:eastAsia="微软雅黑" w:cs="微软雅黑"/>
                <w:sz w:val="24"/>
                <w:szCs w:val="24"/>
                <w:bdr w:val="none" w:color="auto" w:sz="0" w:space="0"/>
              </w:rPr>
              <w:br w:type="textWrapping"/>
            </w:r>
            <w:r>
              <w:rPr>
                <w:rFonts w:hint="eastAsia" w:ascii="微软雅黑" w:hAnsi="微软雅黑" w:eastAsia="微软雅黑" w:cs="微软雅黑"/>
                <w:sz w:val="24"/>
                <w:szCs w:val="24"/>
                <w:bdr w:val="none" w:color="auto" w:sz="0" w:space="0"/>
              </w:rPr>
              <w:t>4.证明单方赠与或受赠的，减半收取。</w:t>
            </w:r>
          </w:p>
        </w:tc>
      </w:tr>
      <w:tr w14:paraId="5D61AD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2430" w:hRule="atLeast"/>
        </w:trPr>
        <w:tc>
          <w:tcPr>
            <w:tcW w:w="330" w:type="dxa"/>
            <w:tcBorders>
              <w:top w:val="nil"/>
              <w:left w:val="nil"/>
              <w:bottom w:val="nil"/>
              <w:right w:val="nil"/>
            </w:tcBorders>
            <w:shd w:val="clear"/>
            <w:vAlign w:val="center"/>
          </w:tcPr>
          <w:p w14:paraId="3165B1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2</w:t>
            </w:r>
          </w:p>
        </w:tc>
        <w:tc>
          <w:tcPr>
            <w:tcW w:w="915" w:type="dxa"/>
            <w:vMerge w:val="continue"/>
            <w:tcBorders>
              <w:top w:val="nil"/>
              <w:left w:val="nil"/>
              <w:bottom w:val="nil"/>
              <w:right w:val="nil"/>
            </w:tcBorders>
            <w:shd w:val="clear"/>
            <w:vAlign w:val="center"/>
          </w:tcPr>
          <w:p w14:paraId="0B244E8E">
            <w:pPr>
              <w:rPr>
                <w:rFonts w:hint="eastAsia" w:ascii="微软雅黑" w:hAnsi="微软雅黑" w:eastAsia="微软雅黑" w:cs="微软雅黑"/>
                <w:sz w:val="24"/>
                <w:szCs w:val="24"/>
              </w:rPr>
            </w:pPr>
          </w:p>
        </w:tc>
        <w:tc>
          <w:tcPr>
            <w:tcW w:w="1350" w:type="dxa"/>
            <w:tcBorders>
              <w:top w:val="nil"/>
              <w:left w:val="nil"/>
              <w:bottom w:val="nil"/>
              <w:right w:val="nil"/>
            </w:tcBorders>
            <w:shd w:val="clear"/>
            <w:vAlign w:val="center"/>
          </w:tcPr>
          <w:p w14:paraId="4841EA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证明离婚、抚养、赡养、监护、劳动（劳务）、寄养、遗赠扶养、解除收养关系、出国留学等协议</w:t>
            </w:r>
          </w:p>
        </w:tc>
        <w:tc>
          <w:tcPr>
            <w:tcW w:w="5760" w:type="dxa"/>
            <w:tcBorders>
              <w:top w:val="nil"/>
              <w:left w:val="nil"/>
              <w:bottom w:val="nil"/>
              <w:right w:val="nil"/>
            </w:tcBorders>
            <w:shd w:val="clear"/>
            <w:vAlign w:val="center"/>
          </w:tcPr>
          <w:p w14:paraId="73166B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不涉及财产关系的，每件收费100元；涉及财产关系的，每件收费400元。</w:t>
            </w:r>
          </w:p>
        </w:tc>
      </w:tr>
      <w:tr w14:paraId="52897C2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2430" w:hRule="atLeast"/>
        </w:trPr>
        <w:tc>
          <w:tcPr>
            <w:tcW w:w="330" w:type="dxa"/>
            <w:tcBorders>
              <w:top w:val="nil"/>
              <w:left w:val="nil"/>
              <w:bottom w:val="nil"/>
              <w:right w:val="nil"/>
            </w:tcBorders>
            <w:shd w:val="clear"/>
            <w:vAlign w:val="center"/>
          </w:tcPr>
          <w:p w14:paraId="382D90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3</w:t>
            </w:r>
          </w:p>
        </w:tc>
        <w:tc>
          <w:tcPr>
            <w:tcW w:w="915" w:type="dxa"/>
            <w:vMerge w:val="continue"/>
            <w:tcBorders>
              <w:top w:val="nil"/>
              <w:left w:val="nil"/>
              <w:bottom w:val="nil"/>
              <w:right w:val="nil"/>
            </w:tcBorders>
            <w:shd w:val="clear"/>
            <w:vAlign w:val="center"/>
          </w:tcPr>
          <w:p w14:paraId="624D2418">
            <w:pPr>
              <w:rPr>
                <w:rFonts w:hint="eastAsia" w:ascii="微软雅黑" w:hAnsi="微软雅黑" w:eastAsia="微软雅黑" w:cs="微软雅黑"/>
                <w:sz w:val="24"/>
                <w:szCs w:val="24"/>
              </w:rPr>
            </w:pPr>
          </w:p>
        </w:tc>
        <w:tc>
          <w:tcPr>
            <w:tcW w:w="1350" w:type="dxa"/>
            <w:tcBorders>
              <w:top w:val="nil"/>
              <w:left w:val="nil"/>
              <w:bottom w:val="nil"/>
              <w:right w:val="nil"/>
            </w:tcBorders>
            <w:shd w:val="clear"/>
            <w:vAlign w:val="center"/>
          </w:tcPr>
          <w:p w14:paraId="61EBB8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证明商事类、财产类合同（协议）</w:t>
            </w:r>
          </w:p>
        </w:tc>
        <w:tc>
          <w:tcPr>
            <w:tcW w:w="5760" w:type="dxa"/>
            <w:tcBorders>
              <w:top w:val="nil"/>
              <w:left w:val="nil"/>
              <w:bottom w:val="nil"/>
              <w:right w:val="nil"/>
            </w:tcBorders>
            <w:shd w:val="clear"/>
            <w:vAlign w:val="center"/>
          </w:tcPr>
          <w:p w14:paraId="520CDC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1.按标的额分段累计收取，其中标的额50万元（含）以下部分，按0.15%收取，不足150元的，按150元收取；50-500万元（含）部分，按0.1%收取；500-5000万元（含）部分，按0.05%收取；5000-10000万元（含）部分，按0.01%收取；10000万元以上部分，按0.005%收取。</w:t>
            </w:r>
            <w:r>
              <w:rPr>
                <w:rFonts w:hint="eastAsia" w:ascii="微软雅黑" w:hAnsi="微软雅黑" w:eastAsia="微软雅黑" w:cs="微软雅黑"/>
                <w:sz w:val="24"/>
                <w:szCs w:val="24"/>
                <w:bdr w:val="none" w:color="auto" w:sz="0" w:space="0"/>
              </w:rPr>
              <w:br w:type="textWrapping"/>
            </w:r>
            <w:r>
              <w:rPr>
                <w:rFonts w:hint="eastAsia" w:ascii="微软雅黑" w:hAnsi="微软雅黑" w:eastAsia="微软雅黑" w:cs="微软雅黑"/>
                <w:sz w:val="24"/>
                <w:szCs w:val="24"/>
                <w:bdr w:val="none" w:color="auto" w:sz="0" w:space="0"/>
              </w:rPr>
              <w:t>2.单笔公证业务费用最高不得超过1万元。</w:t>
            </w:r>
          </w:p>
        </w:tc>
      </w:tr>
      <w:tr w14:paraId="6A768A2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1050" w:hRule="atLeast"/>
        </w:trPr>
        <w:tc>
          <w:tcPr>
            <w:tcW w:w="330" w:type="dxa"/>
            <w:tcBorders>
              <w:top w:val="nil"/>
              <w:left w:val="nil"/>
              <w:bottom w:val="nil"/>
              <w:right w:val="nil"/>
            </w:tcBorders>
            <w:shd w:val="clear"/>
            <w:vAlign w:val="center"/>
          </w:tcPr>
          <w:p w14:paraId="759156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4</w:t>
            </w:r>
          </w:p>
        </w:tc>
        <w:tc>
          <w:tcPr>
            <w:tcW w:w="915" w:type="dxa"/>
            <w:vMerge w:val="continue"/>
            <w:tcBorders>
              <w:top w:val="nil"/>
              <w:left w:val="nil"/>
              <w:bottom w:val="nil"/>
              <w:right w:val="nil"/>
            </w:tcBorders>
            <w:shd w:val="clear"/>
            <w:vAlign w:val="center"/>
          </w:tcPr>
          <w:p w14:paraId="57386712">
            <w:pPr>
              <w:rPr>
                <w:rFonts w:hint="eastAsia" w:ascii="微软雅黑" w:hAnsi="微软雅黑" w:eastAsia="微软雅黑" w:cs="微软雅黑"/>
                <w:sz w:val="24"/>
                <w:szCs w:val="24"/>
              </w:rPr>
            </w:pPr>
          </w:p>
        </w:tc>
        <w:tc>
          <w:tcPr>
            <w:tcW w:w="1350" w:type="dxa"/>
            <w:tcBorders>
              <w:top w:val="nil"/>
              <w:left w:val="nil"/>
              <w:bottom w:val="nil"/>
              <w:right w:val="nil"/>
            </w:tcBorders>
            <w:shd w:val="clear"/>
            <w:vAlign w:val="center"/>
          </w:tcPr>
          <w:p w14:paraId="6824E9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证明遗嘱</w:t>
            </w:r>
          </w:p>
        </w:tc>
        <w:tc>
          <w:tcPr>
            <w:tcW w:w="5760" w:type="dxa"/>
            <w:tcBorders>
              <w:top w:val="nil"/>
              <w:left w:val="nil"/>
              <w:bottom w:val="nil"/>
              <w:right w:val="nil"/>
            </w:tcBorders>
            <w:shd w:val="clear"/>
            <w:vAlign w:val="center"/>
          </w:tcPr>
          <w:p w14:paraId="3FB845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每件收费500元（含摄像、刻录光盘、冲印照片等费用）。</w:t>
            </w:r>
          </w:p>
        </w:tc>
      </w:tr>
      <w:tr w14:paraId="2FEE576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825" w:hRule="atLeast"/>
        </w:trPr>
        <w:tc>
          <w:tcPr>
            <w:tcW w:w="330" w:type="dxa"/>
            <w:tcBorders>
              <w:top w:val="nil"/>
              <w:left w:val="nil"/>
              <w:bottom w:val="nil"/>
              <w:right w:val="nil"/>
            </w:tcBorders>
            <w:shd w:val="clear"/>
            <w:vAlign w:val="center"/>
          </w:tcPr>
          <w:p w14:paraId="4E996B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5</w:t>
            </w:r>
          </w:p>
        </w:tc>
        <w:tc>
          <w:tcPr>
            <w:tcW w:w="915" w:type="dxa"/>
            <w:vMerge w:val="restart"/>
            <w:tcBorders>
              <w:top w:val="nil"/>
              <w:left w:val="nil"/>
              <w:bottom w:val="nil"/>
              <w:right w:val="nil"/>
            </w:tcBorders>
            <w:shd w:val="clear"/>
            <w:vAlign w:val="center"/>
          </w:tcPr>
          <w:p w14:paraId="32EF5E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证明法律事实类</w:t>
            </w:r>
          </w:p>
        </w:tc>
        <w:tc>
          <w:tcPr>
            <w:tcW w:w="1350" w:type="dxa"/>
            <w:tcBorders>
              <w:top w:val="nil"/>
              <w:left w:val="nil"/>
              <w:bottom w:val="nil"/>
              <w:right w:val="nil"/>
            </w:tcBorders>
            <w:shd w:val="clear"/>
            <w:vAlign w:val="center"/>
          </w:tcPr>
          <w:p w14:paraId="3C8946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证明自然人委托、声明、保证、认领亲子等其他单方法律行为</w:t>
            </w:r>
          </w:p>
        </w:tc>
        <w:tc>
          <w:tcPr>
            <w:tcW w:w="5760" w:type="dxa"/>
            <w:tcBorders>
              <w:top w:val="nil"/>
              <w:left w:val="nil"/>
              <w:bottom w:val="nil"/>
              <w:right w:val="nil"/>
            </w:tcBorders>
            <w:shd w:val="clear"/>
            <w:vAlign w:val="center"/>
          </w:tcPr>
          <w:p w14:paraId="1F3508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证明声明、授权、委托、保证等单方法律行为，涉及人身权益每件收费100元；涉及财产关系，自然人每件收费200元，法人或其他组织每件收费400元。</w:t>
            </w:r>
          </w:p>
        </w:tc>
      </w:tr>
      <w:tr w14:paraId="2B13906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2640" w:hRule="atLeast"/>
        </w:trPr>
        <w:tc>
          <w:tcPr>
            <w:tcW w:w="330" w:type="dxa"/>
            <w:tcBorders>
              <w:top w:val="nil"/>
              <w:left w:val="nil"/>
              <w:bottom w:val="nil"/>
              <w:right w:val="nil"/>
            </w:tcBorders>
            <w:shd w:val="clear"/>
            <w:vAlign w:val="center"/>
          </w:tcPr>
          <w:p w14:paraId="1A74A2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6</w:t>
            </w:r>
          </w:p>
        </w:tc>
        <w:tc>
          <w:tcPr>
            <w:tcW w:w="915" w:type="dxa"/>
            <w:vMerge w:val="continue"/>
            <w:tcBorders>
              <w:top w:val="nil"/>
              <w:left w:val="nil"/>
              <w:bottom w:val="nil"/>
              <w:right w:val="nil"/>
            </w:tcBorders>
            <w:shd w:val="clear"/>
            <w:vAlign w:val="center"/>
          </w:tcPr>
          <w:p w14:paraId="73DEE761">
            <w:pPr>
              <w:rPr>
                <w:rFonts w:hint="eastAsia" w:ascii="微软雅黑" w:hAnsi="微软雅黑" w:eastAsia="微软雅黑" w:cs="微软雅黑"/>
                <w:sz w:val="24"/>
                <w:szCs w:val="24"/>
              </w:rPr>
            </w:pPr>
          </w:p>
        </w:tc>
        <w:tc>
          <w:tcPr>
            <w:tcW w:w="1350" w:type="dxa"/>
            <w:tcBorders>
              <w:top w:val="nil"/>
              <w:left w:val="nil"/>
              <w:bottom w:val="nil"/>
              <w:right w:val="nil"/>
            </w:tcBorders>
            <w:shd w:val="clear"/>
            <w:vAlign w:val="center"/>
          </w:tcPr>
          <w:p w14:paraId="129306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证明出生、生存、死亡、身份、曾用名、住所地（居住地）、学历、学位、经历、职务（职称）、资格、有无违法犯罪记录、婚姻状况、亲属关系、财产权、收入状况、纳税状况、选票、指纹等有法律意义的事实</w:t>
            </w:r>
          </w:p>
        </w:tc>
        <w:tc>
          <w:tcPr>
            <w:tcW w:w="5760" w:type="dxa"/>
            <w:tcBorders>
              <w:top w:val="nil"/>
              <w:left w:val="nil"/>
              <w:bottom w:val="nil"/>
              <w:right w:val="nil"/>
            </w:tcBorders>
            <w:shd w:val="clear"/>
            <w:vAlign w:val="center"/>
          </w:tcPr>
          <w:p w14:paraId="101235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每件收费80元。</w:t>
            </w:r>
          </w:p>
        </w:tc>
      </w:tr>
      <w:tr w14:paraId="132D248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270" w:hRule="atLeast"/>
        </w:trPr>
        <w:tc>
          <w:tcPr>
            <w:tcW w:w="330" w:type="dxa"/>
            <w:tcBorders>
              <w:top w:val="nil"/>
              <w:left w:val="nil"/>
              <w:bottom w:val="nil"/>
              <w:right w:val="nil"/>
            </w:tcBorders>
            <w:shd w:val="clear"/>
            <w:vAlign w:val="center"/>
          </w:tcPr>
          <w:p w14:paraId="5407EC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7</w:t>
            </w:r>
          </w:p>
        </w:tc>
        <w:tc>
          <w:tcPr>
            <w:tcW w:w="915" w:type="dxa"/>
            <w:vMerge w:val="continue"/>
            <w:tcBorders>
              <w:top w:val="nil"/>
              <w:left w:val="nil"/>
              <w:bottom w:val="nil"/>
              <w:right w:val="nil"/>
            </w:tcBorders>
            <w:shd w:val="clear"/>
            <w:vAlign w:val="center"/>
          </w:tcPr>
          <w:p w14:paraId="4BC58B1E">
            <w:pPr>
              <w:rPr>
                <w:rFonts w:hint="eastAsia" w:ascii="微软雅黑" w:hAnsi="微软雅黑" w:eastAsia="微软雅黑" w:cs="微软雅黑"/>
                <w:sz w:val="24"/>
                <w:szCs w:val="24"/>
              </w:rPr>
            </w:pPr>
          </w:p>
        </w:tc>
        <w:tc>
          <w:tcPr>
            <w:tcW w:w="1350" w:type="dxa"/>
            <w:tcBorders>
              <w:top w:val="nil"/>
              <w:left w:val="nil"/>
              <w:bottom w:val="nil"/>
              <w:right w:val="nil"/>
            </w:tcBorders>
            <w:shd w:val="clear"/>
            <w:vAlign w:val="center"/>
          </w:tcPr>
          <w:p w14:paraId="5625C0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证明不可抗力、意外事件、收养关系、抚养事实、票据拒绝、查无档案记载、法人及其他组织的资格、资信等</w:t>
            </w:r>
          </w:p>
        </w:tc>
        <w:tc>
          <w:tcPr>
            <w:tcW w:w="5760" w:type="dxa"/>
            <w:tcBorders>
              <w:top w:val="nil"/>
              <w:left w:val="nil"/>
              <w:bottom w:val="nil"/>
              <w:right w:val="nil"/>
            </w:tcBorders>
            <w:shd w:val="clear"/>
            <w:vAlign w:val="center"/>
          </w:tcPr>
          <w:p w14:paraId="7D53E2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每件收费200元。</w:t>
            </w:r>
          </w:p>
        </w:tc>
      </w:tr>
      <w:tr w14:paraId="566DB3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525" w:hRule="atLeast"/>
        </w:trPr>
        <w:tc>
          <w:tcPr>
            <w:tcW w:w="330" w:type="dxa"/>
            <w:tcBorders>
              <w:top w:val="nil"/>
              <w:left w:val="nil"/>
              <w:bottom w:val="nil"/>
              <w:right w:val="nil"/>
            </w:tcBorders>
            <w:shd w:val="clear"/>
            <w:vAlign w:val="center"/>
          </w:tcPr>
          <w:p w14:paraId="728BF3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8</w:t>
            </w:r>
          </w:p>
        </w:tc>
        <w:tc>
          <w:tcPr>
            <w:tcW w:w="915" w:type="dxa"/>
            <w:vMerge w:val="continue"/>
            <w:tcBorders>
              <w:top w:val="nil"/>
              <w:left w:val="nil"/>
              <w:bottom w:val="nil"/>
              <w:right w:val="nil"/>
            </w:tcBorders>
            <w:shd w:val="clear"/>
            <w:vAlign w:val="center"/>
          </w:tcPr>
          <w:p w14:paraId="6E19A16A">
            <w:pPr>
              <w:rPr>
                <w:rFonts w:hint="eastAsia" w:ascii="微软雅黑" w:hAnsi="微软雅黑" w:eastAsia="微软雅黑" w:cs="微软雅黑"/>
                <w:sz w:val="24"/>
                <w:szCs w:val="24"/>
              </w:rPr>
            </w:pPr>
          </w:p>
        </w:tc>
        <w:tc>
          <w:tcPr>
            <w:tcW w:w="1350" w:type="dxa"/>
            <w:tcBorders>
              <w:top w:val="nil"/>
              <w:left w:val="nil"/>
              <w:bottom w:val="nil"/>
              <w:right w:val="nil"/>
            </w:tcBorders>
            <w:shd w:val="clear"/>
            <w:vAlign w:val="center"/>
          </w:tcPr>
          <w:p w14:paraId="4518B3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提存公证</w:t>
            </w:r>
          </w:p>
        </w:tc>
        <w:tc>
          <w:tcPr>
            <w:tcW w:w="5760" w:type="dxa"/>
            <w:tcBorders>
              <w:top w:val="nil"/>
              <w:left w:val="nil"/>
              <w:bottom w:val="nil"/>
              <w:right w:val="nil"/>
            </w:tcBorders>
            <w:shd w:val="clear"/>
            <w:vAlign w:val="center"/>
          </w:tcPr>
          <w:p w14:paraId="7D0B20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提存公证，按标的额的0.15%收取，不足100元的，按100元收取。</w:t>
            </w:r>
          </w:p>
        </w:tc>
      </w:tr>
      <w:tr w14:paraId="6C6B28D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525" w:hRule="atLeast"/>
        </w:trPr>
        <w:tc>
          <w:tcPr>
            <w:tcW w:w="330" w:type="dxa"/>
            <w:tcBorders>
              <w:top w:val="nil"/>
              <w:left w:val="nil"/>
              <w:bottom w:val="nil"/>
              <w:right w:val="nil"/>
            </w:tcBorders>
            <w:shd w:val="clear"/>
            <w:vAlign w:val="center"/>
          </w:tcPr>
          <w:p w14:paraId="717635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9</w:t>
            </w:r>
          </w:p>
        </w:tc>
        <w:tc>
          <w:tcPr>
            <w:tcW w:w="915" w:type="dxa"/>
            <w:vMerge w:val="continue"/>
            <w:tcBorders>
              <w:top w:val="nil"/>
              <w:left w:val="nil"/>
              <w:bottom w:val="nil"/>
              <w:right w:val="nil"/>
            </w:tcBorders>
            <w:shd w:val="clear"/>
            <w:vAlign w:val="center"/>
          </w:tcPr>
          <w:p w14:paraId="491C0A74">
            <w:pPr>
              <w:rPr>
                <w:rFonts w:hint="eastAsia" w:ascii="微软雅黑" w:hAnsi="微软雅黑" w:eastAsia="微软雅黑" w:cs="微软雅黑"/>
                <w:sz w:val="24"/>
                <w:szCs w:val="24"/>
              </w:rPr>
            </w:pPr>
          </w:p>
        </w:tc>
        <w:tc>
          <w:tcPr>
            <w:tcW w:w="1350" w:type="dxa"/>
            <w:tcBorders>
              <w:top w:val="nil"/>
              <w:left w:val="nil"/>
              <w:bottom w:val="nil"/>
              <w:right w:val="nil"/>
            </w:tcBorders>
            <w:shd w:val="clear"/>
            <w:vAlign w:val="center"/>
          </w:tcPr>
          <w:p w14:paraId="764429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赋予债权文书具有强制执行效力</w:t>
            </w:r>
          </w:p>
        </w:tc>
        <w:tc>
          <w:tcPr>
            <w:tcW w:w="5760" w:type="dxa"/>
            <w:tcBorders>
              <w:top w:val="nil"/>
              <w:left w:val="nil"/>
              <w:bottom w:val="nil"/>
              <w:right w:val="nil"/>
            </w:tcBorders>
            <w:shd w:val="clear"/>
            <w:vAlign w:val="center"/>
          </w:tcPr>
          <w:p w14:paraId="0645CE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赋予债权文书具有强制执行效力，按债务总额的0.2%收取，不足200元的，按200元收取。</w:t>
            </w:r>
          </w:p>
        </w:tc>
      </w:tr>
      <w:tr w14:paraId="1D44B51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60" w:hRule="atLeast"/>
        </w:trPr>
        <w:tc>
          <w:tcPr>
            <w:tcW w:w="330" w:type="dxa"/>
            <w:tcBorders>
              <w:top w:val="nil"/>
              <w:left w:val="nil"/>
              <w:bottom w:val="nil"/>
              <w:right w:val="nil"/>
            </w:tcBorders>
            <w:shd w:val="clear"/>
            <w:vAlign w:val="center"/>
          </w:tcPr>
          <w:p w14:paraId="54EB03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10</w:t>
            </w:r>
          </w:p>
        </w:tc>
        <w:tc>
          <w:tcPr>
            <w:tcW w:w="915" w:type="dxa"/>
            <w:vMerge w:val="restart"/>
            <w:tcBorders>
              <w:top w:val="nil"/>
              <w:left w:val="nil"/>
              <w:bottom w:val="nil"/>
              <w:right w:val="nil"/>
            </w:tcBorders>
            <w:shd w:val="clear"/>
            <w:vAlign w:val="center"/>
          </w:tcPr>
          <w:p w14:paraId="5B4B35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证明文件文书类</w:t>
            </w:r>
          </w:p>
        </w:tc>
        <w:tc>
          <w:tcPr>
            <w:tcW w:w="1350" w:type="dxa"/>
            <w:tcBorders>
              <w:top w:val="nil"/>
              <w:left w:val="nil"/>
              <w:bottom w:val="nil"/>
              <w:right w:val="nil"/>
            </w:tcBorders>
            <w:shd w:val="clear"/>
            <w:vAlign w:val="center"/>
          </w:tcPr>
          <w:p w14:paraId="42E20F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证明证书、执照</w:t>
            </w:r>
          </w:p>
        </w:tc>
        <w:tc>
          <w:tcPr>
            <w:tcW w:w="5760" w:type="dxa"/>
            <w:tcBorders>
              <w:top w:val="nil"/>
              <w:left w:val="nil"/>
              <w:bottom w:val="nil"/>
              <w:right w:val="nil"/>
            </w:tcBorders>
            <w:shd w:val="clear"/>
            <w:vAlign w:val="center"/>
          </w:tcPr>
          <w:p w14:paraId="5EEB0D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每件收费150元。</w:t>
            </w:r>
          </w:p>
        </w:tc>
      </w:tr>
      <w:tr w14:paraId="45F47C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735" w:hRule="atLeast"/>
        </w:trPr>
        <w:tc>
          <w:tcPr>
            <w:tcW w:w="330" w:type="dxa"/>
            <w:tcBorders>
              <w:top w:val="nil"/>
              <w:left w:val="nil"/>
              <w:bottom w:val="nil"/>
              <w:right w:val="nil"/>
            </w:tcBorders>
            <w:shd w:val="clear"/>
            <w:vAlign w:val="center"/>
          </w:tcPr>
          <w:p w14:paraId="09E31B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11</w:t>
            </w:r>
          </w:p>
        </w:tc>
        <w:tc>
          <w:tcPr>
            <w:tcW w:w="915" w:type="dxa"/>
            <w:vMerge w:val="continue"/>
            <w:tcBorders>
              <w:top w:val="nil"/>
              <w:left w:val="nil"/>
              <w:bottom w:val="nil"/>
              <w:right w:val="nil"/>
            </w:tcBorders>
            <w:shd w:val="clear"/>
            <w:vAlign w:val="center"/>
          </w:tcPr>
          <w:p w14:paraId="4F7E4C33">
            <w:pPr>
              <w:rPr>
                <w:rFonts w:hint="eastAsia" w:ascii="微软雅黑" w:hAnsi="微软雅黑" w:eastAsia="微软雅黑" w:cs="微软雅黑"/>
                <w:sz w:val="24"/>
                <w:szCs w:val="24"/>
              </w:rPr>
            </w:pPr>
          </w:p>
        </w:tc>
        <w:tc>
          <w:tcPr>
            <w:tcW w:w="1350" w:type="dxa"/>
            <w:tcBorders>
              <w:top w:val="nil"/>
              <w:left w:val="nil"/>
              <w:bottom w:val="nil"/>
              <w:right w:val="nil"/>
            </w:tcBorders>
            <w:shd w:val="clear"/>
            <w:vAlign w:val="center"/>
          </w:tcPr>
          <w:p w14:paraId="2D6F5E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证明文书的副本、影印本、节本、译本与原本相符</w:t>
            </w:r>
          </w:p>
        </w:tc>
        <w:tc>
          <w:tcPr>
            <w:tcW w:w="5760" w:type="dxa"/>
            <w:tcBorders>
              <w:top w:val="nil"/>
              <w:left w:val="nil"/>
              <w:bottom w:val="nil"/>
              <w:right w:val="nil"/>
            </w:tcBorders>
            <w:shd w:val="clear"/>
            <w:vAlign w:val="center"/>
          </w:tcPr>
          <w:p w14:paraId="4A00FB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每件收费100元。</w:t>
            </w:r>
          </w:p>
        </w:tc>
      </w:tr>
      <w:tr w14:paraId="167EAA4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510" w:hRule="atLeast"/>
        </w:trPr>
        <w:tc>
          <w:tcPr>
            <w:tcW w:w="330" w:type="dxa"/>
            <w:tcBorders>
              <w:top w:val="nil"/>
              <w:left w:val="nil"/>
              <w:bottom w:val="nil"/>
              <w:right w:val="nil"/>
            </w:tcBorders>
            <w:shd w:val="clear"/>
            <w:vAlign w:val="center"/>
          </w:tcPr>
          <w:p w14:paraId="5C2D60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12</w:t>
            </w:r>
          </w:p>
        </w:tc>
        <w:tc>
          <w:tcPr>
            <w:tcW w:w="915" w:type="dxa"/>
            <w:vMerge w:val="continue"/>
            <w:tcBorders>
              <w:top w:val="nil"/>
              <w:left w:val="nil"/>
              <w:bottom w:val="nil"/>
              <w:right w:val="nil"/>
            </w:tcBorders>
            <w:shd w:val="clear"/>
            <w:vAlign w:val="center"/>
          </w:tcPr>
          <w:p w14:paraId="016A511D">
            <w:pPr>
              <w:rPr>
                <w:rFonts w:hint="eastAsia" w:ascii="微软雅黑" w:hAnsi="微软雅黑" w:eastAsia="微软雅黑" w:cs="微软雅黑"/>
                <w:sz w:val="24"/>
                <w:szCs w:val="24"/>
              </w:rPr>
            </w:pPr>
          </w:p>
        </w:tc>
        <w:tc>
          <w:tcPr>
            <w:tcW w:w="1350" w:type="dxa"/>
            <w:tcBorders>
              <w:top w:val="nil"/>
              <w:left w:val="nil"/>
              <w:bottom w:val="nil"/>
              <w:right w:val="nil"/>
            </w:tcBorders>
            <w:shd w:val="clear"/>
            <w:vAlign w:val="center"/>
          </w:tcPr>
          <w:p w14:paraId="620469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证明涉外公证书的译文与原文相符</w:t>
            </w:r>
          </w:p>
        </w:tc>
        <w:tc>
          <w:tcPr>
            <w:tcW w:w="5760" w:type="dxa"/>
            <w:tcBorders>
              <w:top w:val="nil"/>
              <w:left w:val="nil"/>
              <w:bottom w:val="nil"/>
              <w:right w:val="nil"/>
            </w:tcBorders>
            <w:shd w:val="clear"/>
            <w:vAlign w:val="center"/>
          </w:tcPr>
          <w:p w14:paraId="280D21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每件收费100元。</w:t>
            </w:r>
          </w:p>
        </w:tc>
      </w:tr>
      <w:tr w14:paraId="5FE10B5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555" w:hRule="atLeast"/>
        </w:trPr>
        <w:tc>
          <w:tcPr>
            <w:tcW w:w="330" w:type="dxa"/>
            <w:tcBorders>
              <w:top w:val="nil"/>
              <w:left w:val="nil"/>
              <w:bottom w:val="nil"/>
              <w:right w:val="nil"/>
            </w:tcBorders>
            <w:shd w:val="clear"/>
            <w:vAlign w:val="center"/>
          </w:tcPr>
          <w:p w14:paraId="3CF989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13</w:t>
            </w:r>
          </w:p>
        </w:tc>
        <w:tc>
          <w:tcPr>
            <w:tcW w:w="915" w:type="dxa"/>
            <w:vMerge w:val="continue"/>
            <w:tcBorders>
              <w:top w:val="nil"/>
              <w:left w:val="nil"/>
              <w:bottom w:val="nil"/>
              <w:right w:val="nil"/>
            </w:tcBorders>
            <w:shd w:val="clear"/>
            <w:vAlign w:val="center"/>
          </w:tcPr>
          <w:p w14:paraId="2B2161AE">
            <w:pPr>
              <w:rPr>
                <w:rFonts w:hint="eastAsia" w:ascii="微软雅黑" w:hAnsi="微软雅黑" w:eastAsia="微软雅黑" w:cs="微软雅黑"/>
                <w:sz w:val="24"/>
                <w:szCs w:val="24"/>
              </w:rPr>
            </w:pPr>
          </w:p>
        </w:tc>
        <w:tc>
          <w:tcPr>
            <w:tcW w:w="1350" w:type="dxa"/>
            <w:tcBorders>
              <w:top w:val="nil"/>
              <w:left w:val="nil"/>
              <w:bottom w:val="nil"/>
              <w:right w:val="nil"/>
            </w:tcBorders>
            <w:shd w:val="clear"/>
            <w:vAlign w:val="center"/>
          </w:tcPr>
          <w:p w14:paraId="1A228B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证明文书上的签名、印鉴、日期</w:t>
            </w:r>
          </w:p>
        </w:tc>
        <w:tc>
          <w:tcPr>
            <w:tcW w:w="5760" w:type="dxa"/>
            <w:tcBorders>
              <w:top w:val="nil"/>
              <w:left w:val="nil"/>
              <w:bottom w:val="nil"/>
              <w:right w:val="nil"/>
            </w:tcBorders>
            <w:shd w:val="clear"/>
            <w:vAlign w:val="center"/>
          </w:tcPr>
          <w:p w14:paraId="54A0AF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firstLine="0"/>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bdr w:val="none" w:color="auto" w:sz="0" w:space="0"/>
              </w:rPr>
              <w:t>每件收费100元。</w:t>
            </w:r>
          </w:p>
        </w:tc>
      </w:tr>
    </w:tbl>
    <w:p w14:paraId="13AE29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both"/>
        <w:textAlignment w:val="top"/>
      </w:pPr>
      <w:r>
        <w:rPr>
          <w:rFonts w:hint="eastAsia" w:ascii="微软雅黑" w:hAnsi="微软雅黑" w:eastAsia="微软雅黑" w:cs="微软雅黑"/>
          <w:sz w:val="24"/>
          <w:szCs w:val="24"/>
          <w:bdr w:val="none" w:color="auto" w:sz="0" w:space="0"/>
          <w:shd w:val="clear" w:fill="FFFFFF"/>
        </w:rPr>
        <w:t>注：本表中的“件”是指所受理的一项公证事项或公证事务。</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U4OWIzYWNjZTM5ZDY5Y2RjZDZjMWFiOTc4MDhiMDcifQ=="/>
  </w:docVars>
  <w:rsids>
    <w:rsidRoot w:val="00000000"/>
    <w:rsid w:val="3BE675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2024-11-04T01:51:22Z</dcterms:created>
  <dc:creator>Administrator</dc:creator>
  <cp:lastModifiedBy>Administrator</cp:lastModifiedBy>
  <dcterms:modified xsi:type="dcterms:W3CDTF">2024-11-04T01:52:00Z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7CCFF8C476E94F25B792536D09387F21_12</vt:lpwstr>
  </property>
</Properties>
</file>