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AE34" w14:textId="77777777" w:rsidR="00127DFD" w:rsidRDefault="00A66A24">
      <w:pPr>
        <w:pStyle w:val="Title"/>
      </w:pPr>
      <w:r>
        <w:t>Draft Letter</w:t>
      </w:r>
    </w:p>
    <w:p w14:paraId="716EAE35" w14:textId="77777777" w:rsidR="00127DFD" w:rsidRDefault="00A66A24">
      <w:pPr>
        <w:pStyle w:val="Author"/>
      </w:pPr>
      <w:r>
        <w:t>David Hood</w:t>
      </w:r>
    </w:p>
    <w:p w14:paraId="716EAE36" w14:textId="77777777" w:rsidR="00127DFD" w:rsidRDefault="00A66A24">
      <w:pPr>
        <w:pStyle w:val="Date"/>
      </w:pPr>
      <w:r>
        <w:t>3/16/24</w:t>
      </w:r>
    </w:p>
    <w:p w14:paraId="716EAE37" w14:textId="77777777" w:rsidR="00127DFD" w:rsidRDefault="00A66A24">
      <w:pPr>
        <w:pStyle w:val="FirstParagraph"/>
      </w:pPr>
      <w:r>
        <w:t>Things David knows he still needs to do (that don’t alter overall content):</w:t>
      </w:r>
    </w:p>
    <w:p w14:paraId="716EAE38" w14:textId="77777777" w:rsidR="00127DFD" w:rsidRDefault="00A66A24">
      <w:pPr>
        <w:numPr>
          <w:ilvl w:val="0"/>
          <w:numId w:val="2"/>
        </w:numPr>
      </w:pPr>
      <w:r>
        <w:t>more proofreading.</w:t>
      </w:r>
    </w:p>
    <w:p w14:paraId="716EAE39" w14:textId="77777777" w:rsidR="00127DFD" w:rsidRDefault="00A66A24">
      <w:pPr>
        <w:numPr>
          <w:ilvl w:val="0"/>
          <w:numId w:val="2"/>
        </w:numPr>
      </w:pPr>
      <w:r>
        <w:t>standard citation format.</w:t>
      </w:r>
    </w:p>
    <w:p w14:paraId="716EAE3A" w14:textId="77777777" w:rsidR="00127DFD" w:rsidRDefault="00A66A24">
      <w:pPr>
        <w:numPr>
          <w:ilvl w:val="0"/>
          <w:numId w:val="2"/>
        </w:numPr>
      </w:pPr>
      <w:r>
        <w:t>clear links to source data.</w:t>
      </w:r>
    </w:p>
    <w:p w14:paraId="716EAE3B" w14:textId="77777777" w:rsidR="00127DFD" w:rsidRDefault="00A66A24">
      <w:pPr>
        <w:numPr>
          <w:ilvl w:val="0"/>
          <w:numId w:val="2"/>
        </w:numPr>
      </w:pPr>
      <w:r>
        <w:t>standard figure look</w:t>
      </w:r>
    </w:p>
    <w:p w14:paraId="716EAE3C" w14:textId="77777777" w:rsidR="00127DFD" w:rsidRDefault="00A66A24">
      <w:pPr>
        <w:numPr>
          <w:ilvl w:val="0"/>
          <w:numId w:val="2"/>
        </w:numPr>
      </w:pPr>
      <w:r>
        <w:t>Captions under graphs.</w:t>
      </w:r>
    </w:p>
    <w:p w14:paraId="716EAE3D" w14:textId="77777777" w:rsidR="00127DFD" w:rsidRDefault="00A66A24">
      <w:pPr>
        <w:pStyle w:val="FirstParagraph"/>
      </w:pPr>
      <w:r>
        <w:rPr>
          <w:i/>
          <w:iCs/>
        </w:rPr>
        <w:t>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14:paraId="716EAE3E" w14:textId="77777777" w:rsidR="00127DFD" w:rsidRDefault="00A66A24">
      <w:pPr>
        <w:pStyle w:val="BodyText"/>
      </w:pPr>
      <w:r>
        <w:t>To the editor and editorial board,</w:t>
      </w:r>
    </w:p>
    <w:p w14:paraId="716EAE3F" w14:textId="77777777" w:rsidR="00127DFD" w:rsidRDefault="00A66A24">
      <w:pPr>
        <w:pStyle w:val="BodyText"/>
      </w:pPr>
      <w:r>
        <w:t>I am formally writing to point out the significant errors in the paper from Gibson (2024)</w:t>
      </w:r>
      <w:r>
        <w:rPr>
          <w:rStyle w:val="FootnoteReference"/>
        </w:rPr>
        <w:footnoteReference w:id="1"/>
      </w:r>
      <w:r>
        <w:t>, published in your journal. It is important both you and your readership are aware of its shortcomings before basing any decisions on the claims made. In particular, the paper asserts two claims:</w:t>
      </w:r>
    </w:p>
    <w:p w14:paraId="716EAE40" w14:textId="77777777" w:rsidR="00127DFD" w:rsidRDefault="00A66A24">
      <w:pPr>
        <w:pStyle w:val="Compact"/>
        <w:numPr>
          <w:ilvl w:val="0"/>
          <w:numId w:val="3"/>
        </w:numPr>
      </w:pPr>
      <w:r>
        <w:t>That claims of negative New Zealand mortality are underpinned by the “Our World In Data” projection graph using the method of Karlinsky &amp; Kobak</w:t>
      </w:r>
      <w:r>
        <w:rPr>
          <w:rStyle w:val="FootnoteReference"/>
        </w:rPr>
        <w:footnoteReference w:id="2"/>
      </w:r>
      <w:r>
        <w:t>.</w:t>
      </w:r>
    </w:p>
    <w:p w14:paraId="716EAE41" w14:textId="77777777" w:rsidR="00127DFD" w:rsidRDefault="00A66A24">
      <w:pPr>
        <w:pStyle w:val="Compact"/>
        <w:numPr>
          <w:ilvl w:val="0"/>
          <w:numId w:val="3"/>
        </w:numPr>
      </w:pPr>
      <w:r>
        <w:t>That Gibson’s method, producing positive excess mortality, is more effective than Karlinsky &amp; Kobak in determining mortality as it adjusts for population change due to immigration changes.</w:t>
      </w:r>
    </w:p>
    <w:p w14:paraId="716EAE42" w14:textId="77777777" w:rsidR="00127DFD" w:rsidRDefault="00A66A24">
      <w:pPr>
        <w:pStyle w:val="FirstParagraph"/>
      </w:pPr>
      <w:r>
        <w:t>Neither of these claims are accurate.</w:t>
      </w:r>
    </w:p>
    <w:p w14:paraId="716EAE43" w14:textId="77777777" w:rsidR="00127DFD" w:rsidRDefault="00A66A24">
      <w:pPr>
        <w:pStyle w:val="Heading1"/>
      </w:pPr>
      <w:bookmarkStart w:id="0" w:name="X000183db4531135e391fc7466514ac8cbea4c9e"/>
      <w:r>
        <w:lastRenderedPageBreak/>
        <w:t>The underpinning of New Zealand’s mortality measurement</w:t>
      </w:r>
    </w:p>
    <w:p w14:paraId="716EAE44" w14:textId="77777777" w:rsidR="00127DFD" w:rsidRDefault="00A66A24">
      <w:pPr>
        <w:pStyle w:val="FirstParagraph"/>
      </w:pPr>
      <w:r>
        <w:t>For centuries, it has been established practice among actuaries, demographers, and health researchers to measure mortality using death rates by age where such data is available</w:t>
      </w:r>
      <w:r>
        <w:rPr>
          <w:rStyle w:val="FootnoteReference"/>
        </w:rPr>
        <w:footnoteReference w:id="3"/>
      </w:r>
      <w:r>
        <w:t>.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4"/>
      </w:r>
      <w:r>
        <w:t>.</w:t>
      </w:r>
    </w:p>
    <w:p w14:paraId="716EAE45" w14:textId="77777777" w:rsidR="00127DFD" w:rsidRDefault="00A66A24">
      <w:pPr>
        <w:pStyle w:val="BodyText"/>
      </w:pPr>
      <w:r>
        <w:t>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14:paraId="716EAE46" w14:textId="77777777" w:rsidR="00127DFD" w:rsidRDefault="00A66A24">
      <w:pPr>
        <w:pStyle w:val="BodyText"/>
      </w:pPr>
      <w:r>
        <w:t>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5"/>
      </w:r>
      <w:r>
        <w:t>.</w:t>
      </w:r>
    </w:p>
    <w:p w14:paraId="716EAE47" w14:textId="77777777" w:rsidR="00127DFD" w:rsidRDefault="00A66A24">
      <w:pPr>
        <w:pStyle w:val="BodyText"/>
      </w:pPr>
      <w:r>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716EAE48" w14:textId="77777777" w:rsidR="00127DFD" w:rsidRDefault="00A66A24">
      <w:pPr>
        <w:pStyle w:val="Compact"/>
        <w:numPr>
          <w:ilvl w:val="0"/>
          <w:numId w:val="4"/>
        </w:numPr>
      </w:pPr>
      <w:r>
        <w:t>Being based on trends of deaths, it enables a common basis comparison with countries that lack age stratified current population information</w:t>
      </w:r>
    </w:p>
    <w:p w14:paraId="716EAE49" w14:textId="77777777" w:rsidR="00127DFD" w:rsidRDefault="00A66A24">
      <w:pPr>
        <w:pStyle w:val="Compact"/>
        <w:numPr>
          <w:ilvl w:val="0"/>
          <w:numId w:val="4"/>
        </w:numPr>
      </w:pPr>
      <w:r>
        <w:t>It makes weekly comparisons available.</w:t>
      </w:r>
    </w:p>
    <w:p w14:paraId="716EAE4A" w14:textId="77777777" w:rsidR="00127DFD" w:rsidRDefault="00A66A24">
      <w:pPr>
        <w:pStyle w:val="Compact"/>
        <w:numPr>
          <w:ilvl w:val="0"/>
          <w:numId w:val="4"/>
        </w:numPr>
      </w:pPr>
      <w:r>
        <w:t>Able to be checked by any member of the public for the latest current worldwide information. This last is a function of Our World in Data presentation rather than the method, but it is still a practical benefit.</w:t>
      </w:r>
    </w:p>
    <w:p w14:paraId="716EAE4B" w14:textId="77777777" w:rsidR="00127DFD" w:rsidRDefault="00A66A24">
      <w:pPr>
        <w:pStyle w:val="FirstParagraph"/>
      </w:pPr>
      <w:r>
        <w:lastRenderedPageBreak/>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 </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(Ashley Bloomfield) </w:t>
      </w:r>
      <w:r>
        <w:rPr>
          <w:rStyle w:val="FootnoteReference"/>
        </w:rPr>
        <w:footnoteReference w:id="6"/>
      </w:r>
      <w:r>
        <w:t>.</w:t>
      </w:r>
    </w:p>
    <w:p w14:paraId="716EAE4C" w14:textId="77777777" w:rsidR="00127DFD" w:rsidRDefault="00A66A24">
      <w:pPr>
        <w:pStyle w:val="Heading2"/>
      </w:pPr>
      <w:bookmarkStart w:id="1" w:name="age-standardised-mortality-review"/>
      <w:r>
        <w:t>Age Standardised Mortality Review</w:t>
      </w:r>
    </w:p>
    <w:p w14:paraId="716EAE4D" w14:textId="77777777" w:rsidR="00127DFD" w:rsidRDefault="00A66A24">
      <w:pPr>
        <w:pStyle w:val="FirstParagraph"/>
      </w:pPr>
      <w:r>
        <w:t>As Age Standardised Mortality is a standard across multiple disciplines, but is not raised in the Gibson paper, a brief review is in order.</w:t>
      </w:r>
    </w:p>
    <w:p w14:paraId="716EAE4E" w14:textId="77777777" w:rsidR="00127DFD" w:rsidRDefault="00A66A24">
      <w:pPr>
        <w:pStyle w:val="BodyText"/>
      </w:pPr>
      <w:r>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14:paraId="716EAE4F" w14:textId="77777777" w:rsidR="00127DFD" w:rsidRDefault="00A66A24">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716EAE50" w14:textId="77777777" w:rsidR="00127DFD" w:rsidRDefault="00A66A24">
      <w:pPr>
        <w:pStyle w:val="BodyText"/>
      </w:pPr>
      <w:r>
        <w:rPr>
          <w:i/>
          <w:iCs/>
        </w:rPr>
        <w:t>Figure 1</w:t>
      </w:r>
    </w:p>
    <w:tbl>
      <w:tblPr>
        <w:tblStyle w:val="Table"/>
        <w:tblW w:w="5000" w:type="pct"/>
        <w:tblLook w:val="0000" w:firstRow="0" w:lastRow="0" w:firstColumn="0" w:lastColumn="0" w:noHBand="0" w:noVBand="0"/>
      </w:tblPr>
      <w:tblGrid>
        <w:gridCol w:w="9360"/>
      </w:tblGrid>
      <w:tr w:rsidR="00127DFD" w14:paraId="716EAE53" w14:textId="77777777">
        <w:tc>
          <w:tcPr>
            <w:tcW w:w="0" w:type="auto"/>
          </w:tcPr>
          <w:p w14:paraId="716EAE51" w14:textId="77777777" w:rsidR="00127DFD" w:rsidRDefault="00A66A24">
            <w:pPr>
              <w:pStyle w:val="Figure"/>
              <w:jc w:val="center"/>
            </w:pPr>
            <w:r>
              <w:rPr>
                <w:noProof/>
              </w:rPr>
              <w:lastRenderedPageBreak/>
              <w:drawing>
                <wp:inline distT="0" distB="0" distL="0" distR="0" wp14:anchorId="716EAE6F" wp14:editId="716EAE70">
                  <wp:extent cx="5334000" cy="27312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d_figures/figure1.png"/>
                          <pic:cNvPicPr>
                            <a:picLocks noChangeAspect="1" noChangeArrowheads="1"/>
                          </pic:cNvPicPr>
                        </pic:nvPicPr>
                        <pic:blipFill>
                          <a:blip r:embed="rId7"/>
                          <a:stretch>
                            <a:fillRect/>
                          </a:stretch>
                        </pic:blipFill>
                        <pic:spPr bwMode="auto">
                          <a:xfrm>
                            <a:off x="0" y="0"/>
                            <a:ext cx="5334000" cy="2731275"/>
                          </a:xfrm>
                          <a:prstGeom prst="rect">
                            <a:avLst/>
                          </a:prstGeom>
                          <a:noFill/>
                          <a:ln w="9525">
                            <a:noFill/>
                            <a:headEnd/>
                            <a:tailEnd/>
                          </a:ln>
                        </pic:spPr>
                      </pic:pic>
                    </a:graphicData>
                  </a:graphic>
                </wp:inline>
              </w:drawing>
            </w:r>
          </w:p>
          <w:p w14:paraId="716EAE52" w14:textId="77777777" w:rsidR="00127DFD" w:rsidRDefault="00A66A24">
            <w:pPr>
              <w:pStyle w:val="ImageCaption"/>
              <w:spacing w:before="200"/>
            </w:pPr>
            <w:r>
              <w:t>ASMR steps</w:t>
            </w:r>
          </w:p>
        </w:tc>
      </w:tr>
    </w:tbl>
    <w:p w14:paraId="716EAE54" w14:textId="77777777" w:rsidR="00127DFD" w:rsidRDefault="00A66A24">
      <w:pPr>
        <w:pStyle w:val="BodyText"/>
      </w:pPr>
      <w:r>
        <w:t>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w:t>
      </w:r>
      <w:r>
        <w:rPr>
          <w:rStyle w:val="FootnoteReference"/>
        </w:rPr>
        <w:footnoteReference w:id="7"/>
      </w:r>
      <w:r>
        <w:t>,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p w14:paraId="716EAE55" w14:textId="77777777" w:rsidR="00127DFD" w:rsidRDefault="00A66A24">
      <w:pPr>
        <w:pStyle w:val="Heading3"/>
      </w:pPr>
      <w:bookmarkStart w:id="2" w:name="baselines-and-excess-mortality"/>
      <w:r>
        <w:t>Baselines and excess mortality</w:t>
      </w:r>
    </w:p>
    <w:p w14:paraId="716EAE56" w14:textId="77777777" w:rsidR="00127DFD" w:rsidRDefault="00A66A24">
      <w:pPr>
        <w:pStyle w:val="FirstParagraph"/>
      </w:pPr>
      <w:r>
        <w:t>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14:paraId="716EAE57" w14:textId="77777777" w:rsidR="00127DFD" w:rsidRDefault="00A66A24">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w="5000" w:type="pct"/>
        <w:tblLook w:val="0000" w:firstRow="0" w:lastRow="0" w:firstColumn="0" w:lastColumn="0" w:noHBand="0" w:noVBand="0"/>
      </w:tblPr>
      <w:tblGrid>
        <w:gridCol w:w="9360"/>
      </w:tblGrid>
      <w:tr w:rsidR="00127DFD" w14:paraId="716EAE5A" w14:textId="77777777">
        <w:tc>
          <w:tcPr>
            <w:tcW w:w="0" w:type="auto"/>
          </w:tcPr>
          <w:p w14:paraId="716EAE58" w14:textId="77777777" w:rsidR="00127DFD" w:rsidRDefault="00A66A24">
            <w:pPr>
              <w:pStyle w:val="Figure"/>
              <w:jc w:val="center"/>
            </w:pPr>
            <w:r>
              <w:rPr>
                <w:noProof/>
              </w:rPr>
              <w:lastRenderedPageBreak/>
              <w:drawing>
                <wp:inline distT="0" distB="0" distL="0" distR="0" wp14:anchorId="716EAE71" wp14:editId="716EAE72">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d_figures/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16EAE59" w14:textId="77777777" w:rsidR="00127DFD" w:rsidRDefault="00A66A24">
            <w:pPr>
              <w:pStyle w:val="ImageCaption"/>
              <w:spacing w:before="200"/>
            </w:pPr>
            <w:r>
              <w:t>Figure 2: Structural error introduced by overly long baselines. Longterm (age) standardised death rates from https://infoshare.stats.govt.nz in Population : Death Rates - DMM : Standardised death rates (Maori and total population) (Annual-Dec) : Total Population</w:t>
            </w:r>
          </w:p>
        </w:tc>
      </w:tr>
    </w:tbl>
    <w:p w14:paraId="716EAE5B" w14:textId="77777777" w:rsidR="00127DFD" w:rsidRDefault="00A66A24">
      <w:pPr>
        <w:pStyle w:val="BodyText"/>
      </w:pPr>
      <w:r>
        <w:t>Based on the influenza season patterns in recent pre-pandemic years, the Australian Bureau of Statistics (ABS) considers 2013-2019 to give the best baseline</w:t>
      </w:r>
      <w:r>
        <w:rPr>
          <w:rStyle w:val="FootnoteReference"/>
        </w:rPr>
        <w:footnoteReference w:id="8"/>
      </w:r>
      <w:r>
        <w:t>.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an earthquake hitting the second largest city and people living in broken housing through the winter is not a reoccuring annual event.</w:t>
      </w:r>
    </w:p>
    <w:p w14:paraId="716EAE5C" w14:textId="77777777" w:rsidR="00127DFD" w:rsidRDefault="00A66A24">
      <w:pPr>
        <w:pStyle w:val="BodyText"/>
      </w:pPr>
      <w:r>
        <w:t>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p w14:paraId="716EAE5D" w14:textId="77777777" w:rsidR="00127DFD" w:rsidRDefault="00A66A24">
      <w:pPr>
        <w:pStyle w:val="Heading2"/>
      </w:pPr>
      <w:bookmarkStart w:id="3" w:name="comparison-of-gibson-and-karlinsky-kobak"/>
      <w:bookmarkEnd w:id="2"/>
      <w:bookmarkEnd w:id="1"/>
      <w:r>
        <w:lastRenderedPageBreak/>
        <w:t>Comparison of Gibson and Karlinsky &amp; Kobak</w:t>
      </w:r>
    </w:p>
    <w:p w14:paraId="716EAE5E" w14:textId="77777777" w:rsidR="00127DFD" w:rsidRDefault="00A66A24">
      <w:pPr>
        <w:pStyle w:val="FirstParagraph"/>
      </w:pPr>
      <w:r>
        <w:t>Starting from a commonly recognised best practice measure of mortality, age standised mortality, giving a cumulative excess mortality for 2020-2022 in the range of -4% to -6% depending on analytic assumptions, we can compare other methods to that.</w:t>
      </w:r>
    </w:p>
    <w:p w14:paraId="716EAE5F" w14:textId="77777777" w:rsidR="00127DFD" w:rsidRDefault="00A66A24">
      <w:pPr>
        <w:pStyle w:val="BodyText"/>
      </w:pPr>
      <w:r>
        <w:t>The Our World in Data cumulative excess (Projection based on Karlinsky &amp; Kobak) gives cumulative excess mortality for 2020-2022 as 0%.</w:t>
      </w:r>
    </w:p>
    <w:p w14:paraId="716EAE60" w14:textId="77777777" w:rsidR="00127DFD" w:rsidRDefault="00A66A24">
      <w:pPr>
        <w:pStyle w:val="BodyText"/>
      </w:pPr>
      <w:r>
        <w:t>Gibson’s Population adjusted for changes in growth rates model gives an excess mortality for 2020-2022 range of 1.7% to 5.3% with the central estimate rounding to 4%.</w:t>
      </w:r>
    </w:p>
    <w:p w14:paraId="716EAE61" w14:textId="77777777" w:rsidR="00127DFD" w:rsidRDefault="00A66A24">
      <w:pPr>
        <w:pStyle w:val="BodyText"/>
      </w:pPr>
      <w:r>
        <w:t>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14:paraId="716EAE62" w14:textId="77777777" w:rsidR="00127DFD" w:rsidRDefault="00A66A24">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w:t>
      </w:r>
      <w:r>
        <w:t>error.</w:t>
      </w:r>
    </w:p>
    <w:tbl>
      <w:tblPr>
        <w:tblStyle w:val="Table"/>
        <w:tblW w:w="5000" w:type="pct"/>
        <w:tblLook w:val="0000" w:firstRow="0" w:lastRow="0" w:firstColumn="0" w:lastColumn="0" w:noHBand="0" w:noVBand="0"/>
      </w:tblPr>
      <w:tblGrid>
        <w:gridCol w:w="9360"/>
      </w:tblGrid>
      <w:tr w:rsidR="00127DFD" w14:paraId="716EAE65" w14:textId="77777777">
        <w:tc>
          <w:tcPr>
            <w:tcW w:w="0" w:type="auto"/>
          </w:tcPr>
          <w:p w14:paraId="716EAE63" w14:textId="77777777" w:rsidR="00127DFD" w:rsidRDefault="00A66A24">
            <w:pPr>
              <w:pStyle w:val="Figure"/>
              <w:jc w:val="center"/>
            </w:pPr>
            <w:r>
              <w:rPr>
                <w:noProof/>
              </w:rPr>
              <w:drawing>
                <wp:inline distT="0" distB="0" distL="0" distR="0" wp14:anchorId="716EAE73" wp14:editId="716EAE74">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d_figures/figur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16EAE64" w14:textId="77777777" w:rsidR="00127DFD" w:rsidRDefault="00A66A24">
            <w:pPr>
              <w:pStyle w:val="ImageCaption"/>
              <w:spacing w:before="200"/>
            </w:pPr>
            <w:r>
              <w:t>Figure 3: Ages of migration and ages of death have little overlap</w:t>
            </w:r>
          </w:p>
        </w:tc>
      </w:tr>
    </w:tbl>
    <w:p w14:paraId="716EAE66" w14:textId="77777777" w:rsidR="00127DFD" w:rsidRDefault="00A66A24">
      <w:pPr>
        <w:pStyle w:val="BodyText"/>
      </w:pPr>
      <w:r>
        <w:lastRenderedPageBreak/>
        <w:t>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14:paraId="716EAE67" w14:textId="77777777" w:rsidR="00127DFD" w:rsidRDefault="00A66A24">
      <w:pPr>
        <w:pStyle w:val="BodyText"/>
      </w:pPr>
      <w:r>
        <w:t>Gibson asserted that it was not important to incorporate aging:</w:t>
      </w:r>
    </w:p>
    <w:p w14:paraId="716EAE68" w14:textId="77777777" w:rsidR="00127DFD" w:rsidRDefault="00A66A24">
      <w:pPr>
        <w:pStyle w:val="Body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716EAE69" w14:textId="77777777" w:rsidR="00127DFD" w:rsidRDefault="00A66A24">
      <w:pPr>
        <w:pStyle w:val="BodyText"/>
      </w:pPr>
      <w:r>
        <w:t>The assumption that aging is a long term process so should show up as a long slow process only applies if there are no sudden demographic shifts among age groups that alter the risk of death. The number of 75 and older residents, when compared to the 2012-2016 trend, and that trend can be seen increasing in 2019. This matches a “sudden” demographic shift of a spike in the age distribution that began decades earlier and naturally aged into ranges that play a more significant role in total deaths.</w:t>
      </w:r>
    </w:p>
    <w:tbl>
      <w:tblPr>
        <w:tblStyle w:val="Table"/>
        <w:tblW w:w="5000" w:type="pct"/>
        <w:tblLook w:val="0000" w:firstRow="0" w:lastRow="0" w:firstColumn="0" w:lastColumn="0" w:noHBand="0" w:noVBand="0"/>
      </w:tblPr>
      <w:tblGrid>
        <w:gridCol w:w="9360"/>
      </w:tblGrid>
      <w:tr w:rsidR="00127DFD" w14:paraId="716EAE6C" w14:textId="77777777">
        <w:tc>
          <w:tcPr>
            <w:tcW w:w="0" w:type="auto"/>
          </w:tcPr>
          <w:p w14:paraId="716EAE6A" w14:textId="77777777" w:rsidR="00127DFD" w:rsidRDefault="00A66A24">
            <w:pPr>
              <w:pStyle w:val="Figure"/>
              <w:jc w:val="center"/>
            </w:pPr>
            <w:r>
              <w:rPr>
                <w:noProof/>
              </w:rPr>
              <w:drawing>
                <wp:inline distT="0" distB="0" distL="0" distR="0" wp14:anchorId="716EAE75" wp14:editId="716EAE76">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d_figures/figure4.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716EAE6B" w14:textId="77777777" w:rsidR="00127DFD" w:rsidRDefault="00A66A24">
            <w:pPr>
              <w:pStyle w:val="ImageCaption"/>
              <w:spacing w:before="200"/>
            </w:pPr>
            <w:r>
              <w:t>Figure 4: The rate of increase in elderly accelerated in 2019</w:t>
            </w:r>
          </w:p>
        </w:tc>
      </w:tr>
    </w:tbl>
    <w:p w14:paraId="716EAE6D" w14:textId="77777777" w:rsidR="00127DFD" w:rsidRDefault="00A66A24">
      <w:pPr>
        <w:pStyle w:val="BodyText"/>
      </w:pPr>
      <w:r>
        <w:t xml:space="preserve">Of more surprise is that Gibson’s results for 2020-22 less well approximate the crude mortality rate than Karlinsky &amp; Kobak, since the crude mortality rate is the accepted method of comparing death rates while ignoring the effects of age. While there is not enough information in the paper to exactly replicate Gibson’s method and achieve the same answers, part of the reason for the difference seems likely to be the unusual step of treating </w:t>
      </w:r>
      <w:r>
        <w:lastRenderedPageBreak/>
        <w:t>population as an additive contributor to deaths in his modification of the regression. But, compared to the differences with methods acknowledging age, such problems are minor.</w:t>
      </w:r>
    </w:p>
    <w:p w14:paraId="716EAE6E" w14:textId="77777777" w:rsidR="00127DFD" w:rsidRDefault="00A66A24">
      <w:pPr>
        <w:pStyle w:val="BodyText"/>
      </w:pPr>
      <w:r>
        <w:t>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3"/>
    <w:bookmarkEnd w:id="0"/>
    <w:sectPr w:rsidR="00127D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AE7B" w14:textId="77777777" w:rsidR="00A66A24" w:rsidRDefault="00A66A24">
      <w:pPr>
        <w:spacing w:after="0"/>
      </w:pPr>
      <w:r>
        <w:separator/>
      </w:r>
    </w:p>
  </w:endnote>
  <w:endnote w:type="continuationSeparator" w:id="0">
    <w:p w14:paraId="716EAE7D" w14:textId="77777777" w:rsidR="00A66A24" w:rsidRDefault="00A66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AE77" w14:textId="77777777" w:rsidR="00127DFD" w:rsidRDefault="00A66A24">
      <w:r>
        <w:separator/>
      </w:r>
    </w:p>
  </w:footnote>
  <w:footnote w:type="continuationSeparator" w:id="0">
    <w:p w14:paraId="716EAE78" w14:textId="77777777" w:rsidR="00127DFD" w:rsidRDefault="00A66A24">
      <w:r>
        <w:continuationSeparator/>
      </w:r>
    </w:p>
  </w:footnote>
  <w:footnote w:id="1">
    <w:p w14:paraId="716EAE79" w14:textId="77777777" w:rsidR="00127DFD" w:rsidRDefault="00A66A24">
      <w:pPr>
        <w:pStyle w:val="FootnoteText"/>
      </w:pPr>
      <w:r>
        <w:rPr>
          <w:rStyle w:val="FootnoteReference"/>
        </w:rPr>
        <w:footnoteRef/>
      </w:r>
      <w:r>
        <w:t xml:space="preserve"> </w:t>
      </w:r>
      <w:r>
        <w:t>John Gibson (22 Feb 2024): Cumulative excess deaths in New Zealand in the COVID-19 era: biases from ignoring changes in population growth rates, New Zealand Economic Papers, DOI: 10.1080/00779954.2024.2314770</w:t>
      </w:r>
    </w:p>
  </w:footnote>
  <w:footnote w:id="2">
    <w:p w14:paraId="716EAE7A" w14:textId="77777777" w:rsidR="00127DFD" w:rsidRDefault="00A66A24">
      <w:pPr>
        <w:pStyle w:val="FootnoteText"/>
      </w:pPr>
      <w:r>
        <w:rPr>
          <w:rStyle w:val="FootnoteReference"/>
        </w:rPr>
        <w:footnoteRef/>
      </w:r>
      <w:r>
        <w:t xml:space="preserve"> Ariel Karlinsky, Dmitry Kobak (2021) Tracking excess mortality across countries during the COVID-19 pandemic with the World Mortality Dataset eLife 10:e69336. Code available from https://github.com/dkobak/excess-mortality</w:t>
      </w:r>
    </w:p>
  </w:footnote>
  <w:footnote w:id="3">
    <w:p w14:paraId="716EAE7B" w14:textId="77777777" w:rsidR="00127DFD" w:rsidRDefault="00A66A24">
      <w:pPr>
        <w:pStyle w:val="FootnoteText"/>
      </w:pPr>
      <w:r>
        <w:rPr>
          <w:rStyle w:val="FootnoteReference"/>
        </w:rPr>
        <w:footnoteRef/>
      </w:r>
      <w:r>
        <w:t xml:space="preserve"> Price, Richard (1773). Observations on Reversionary Payments. United Kingdom: (n.p.).</w:t>
      </w:r>
    </w:p>
  </w:footnote>
  <w:footnote w:id="4">
    <w:p w14:paraId="716EAE7C" w14:textId="77777777" w:rsidR="00127DFD" w:rsidRDefault="00A66A24">
      <w:pPr>
        <w:pStyle w:val="FootnoteText"/>
      </w:pPr>
      <w:r>
        <w:rPr>
          <w:rStyle w:val="FootnoteReference"/>
        </w:rPr>
        <w:footnoteRef/>
      </w:r>
      <w:r>
        <w:t xml:space="preserve"> Report on the Statistics of New Zealand, 1890. Published by George Didsbury, Government Printer, Wellington., 1891. https://www3.stats.govt.nz/historic_publications/1890-official-handbook/1890-official-handbook.html Age standardised mortality is in the section “Adjusted death-rate a better means of comparison”.</w:t>
      </w:r>
    </w:p>
  </w:footnote>
  <w:footnote w:id="5">
    <w:p w14:paraId="716EAE7D" w14:textId="77777777" w:rsidR="00127DFD" w:rsidRDefault="00A66A24">
      <w:pPr>
        <w:pStyle w:val="FootnoteText"/>
      </w:pPr>
      <w:r>
        <w:rPr>
          <w:rStyle w:val="FootnoteReference"/>
        </w:rPr>
        <w:footnoteRef/>
      </w:r>
      <w:r>
        <w:t xml:space="preserve"> Actuaries Institute: CMI Working Paper 180 https://www.actuaries.org.uk/learn-and-develop/continuous-mortality-investigation/cmi-working-papers/mortality-projections/cmi-working-paper-180</w:t>
      </w:r>
    </w:p>
  </w:footnote>
  <w:footnote w:id="6">
    <w:p w14:paraId="716EAE7E" w14:textId="77777777" w:rsidR="00127DFD" w:rsidRDefault="00A66A24">
      <w:pPr>
        <w:pStyle w:val="FootnoteText"/>
      </w:pPr>
      <w:r>
        <w:rPr>
          <w:rStyle w:val="FootnoteReference"/>
        </w:rPr>
        <w:footnoteRef/>
      </w:r>
      <w:r>
        <w:t xml:space="preserve"> Ashley Bloomfield, 2024, personal communication</w:t>
      </w:r>
    </w:p>
  </w:footnote>
  <w:footnote w:id="7">
    <w:p w14:paraId="716EAE7F" w14:textId="77777777" w:rsidR="00127DFD" w:rsidRDefault="00A66A24">
      <w:pPr>
        <w:pStyle w:val="FootnoteText"/>
      </w:pPr>
      <w:r>
        <w:rPr>
          <w:rStyle w:val="FootnoteReference"/>
        </w:rPr>
        <w:footnoteRef/>
      </w:r>
      <w:r>
        <w:t xml:space="preserve"> NZ annual deaths are available from </w:t>
      </w:r>
      <w:hyperlink r:id="rId1">
        <w:r>
          <w:rPr>
            <w:rStyle w:val="Hyperlink"/>
          </w:rPr>
          <w:t>https://infoshare.stats.govt.nz</w:t>
        </w:r>
      </w:hyperlink>
      <w:r>
        <w:t xml:space="preserve"> in Population : Deaths : Deaths by age and sex (Annual-Dec). NZ mean annual population is available from Population : Population Estimates - DPE : Estimated Resident Population by Age and Sex (1991+) (Annual-Dec) : Mean year ended.</w:t>
      </w:r>
    </w:p>
  </w:footnote>
  <w:footnote w:id="8">
    <w:p w14:paraId="716EAE80" w14:textId="77777777" w:rsidR="00127DFD" w:rsidRDefault="00A66A24">
      <w:pPr>
        <w:pStyle w:val="FootnoteText"/>
      </w:pPr>
      <w:r>
        <w:rPr>
          <w:rStyle w:val="FootnoteReference"/>
        </w:rPr>
        <w:footnoteRef/>
      </w:r>
      <w:r>
        <w:t xml:space="preserve"> Australian Bureau of Statistics. https://www.abs.gov.au/articles/measuring-australias-excess-mortality-during-covid-19-pandemic-until-first-quarter-2023#methodology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3A3A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BAB3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56542742">
    <w:abstractNumId w:val="0"/>
  </w:num>
  <w:num w:numId="2" w16cid:durableId="1940675243">
    <w:abstractNumId w:val="1"/>
  </w:num>
  <w:num w:numId="3" w16cid:durableId="401488062">
    <w:abstractNumId w:val="1"/>
  </w:num>
  <w:num w:numId="4" w16cid:durableId="117206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FD"/>
    <w:rsid w:val="00127DFD"/>
    <w:rsid w:val="00A66A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EAE34"/>
  <w15:docId w15:val="{3D5D5F4B-DAE8-9D47-A20C-FDA1580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infoshare.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cp:lastModifiedBy>David Hood</cp:lastModifiedBy>
  <cp:revision>2</cp:revision>
  <dcterms:created xsi:type="dcterms:W3CDTF">2024-03-16T01:56:00Z</dcterms:created>
  <dcterms:modified xsi:type="dcterms:W3CDTF">2024-03-16T01:56:00Z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3/16/24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