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B07CB" w14:textId="4412C6B9" w:rsidR="004D47B0" w:rsidRDefault="009805CB" w:rsidP="004D47B0">
      <w:pPr>
        <w:keepNext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F71B3D" wp14:editId="4A5D033B">
            <wp:simplePos x="0" y="0"/>
            <wp:positionH relativeFrom="column">
              <wp:posOffset>3015615</wp:posOffset>
            </wp:positionH>
            <wp:positionV relativeFrom="paragraph">
              <wp:posOffset>-257810</wp:posOffset>
            </wp:positionV>
            <wp:extent cx="3391535" cy="2262505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77CFA">
        <w:rPr>
          <w:noProof/>
        </w:rPr>
        <w:drawing>
          <wp:inline distT="0" distB="0" distL="0" distR="0" wp14:anchorId="0E30D87C" wp14:editId="07D13368">
            <wp:extent cx="2911991" cy="18711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490" cy="1896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B5EE" w14:textId="533C56AE" w:rsidR="004D47B0" w:rsidRDefault="004D47B0" w:rsidP="009805CB">
      <w:pPr>
        <w:pStyle w:val="Caption"/>
        <w:jc w:val="both"/>
        <w:rPr>
          <w:rFonts w:asciiTheme="majorBidi" w:hAnsiTheme="majorBidi" w:cstheme="majorBidi"/>
          <w:i w:val="0"/>
          <w:iCs w:val="0"/>
          <w:color w:val="auto"/>
        </w:rPr>
      </w:pPr>
      <w:r w:rsidRPr="009805CB">
        <w:rPr>
          <w:rFonts w:asciiTheme="majorBidi" w:hAnsiTheme="majorBidi" w:cstheme="majorBidi"/>
          <w:b/>
          <w:bCs/>
          <w:i w:val="0"/>
          <w:iCs w:val="0"/>
          <w:color w:val="auto"/>
        </w:rPr>
        <w:t xml:space="preserve">Figure </w:t>
      </w:r>
      <w:r w:rsidRPr="009805CB">
        <w:rPr>
          <w:rFonts w:asciiTheme="majorBidi" w:hAnsiTheme="majorBidi" w:cstheme="majorBidi"/>
          <w:b/>
          <w:bCs/>
          <w:i w:val="0"/>
          <w:iCs w:val="0"/>
          <w:color w:val="auto"/>
        </w:rPr>
        <w:fldChar w:fldCharType="begin"/>
      </w:r>
      <w:r w:rsidRPr="009805CB">
        <w:rPr>
          <w:rFonts w:asciiTheme="majorBidi" w:hAnsiTheme="majorBidi" w:cstheme="majorBidi"/>
          <w:b/>
          <w:bCs/>
          <w:i w:val="0"/>
          <w:iCs w:val="0"/>
          <w:color w:val="auto"/>
        </w:rPr>
        <w:instrText xml:space="preserve"> SEQ Figure \* ARABIC </w:instrText>
      </w:r>
      <w:r w:rsidRPr="009805CB">
        <w:rPr>
          <w:rFonts w:asciiTheme="majorBidi" w:hAnsiTheme="majorBidi" w:cstheme="majorBidi"/>
          <w:b/>
          <w:bCs/>
          <w:i w:val="0"/>
          <w:iCs w:val="0"/>
          <w:color w:val="auto"/>
        </w:rPr>
        <w:fldChar w:fldCharType="separate"/>
      </w:r>
      <w:r w:rsidR="00EC3441">
        <w:rPr>
          <w:rFonts w:asciiTheme="majorBidi" w:hAnsiTheme="majorBidi" w:cstheme="majorBidi"/>
          <w:b/>
          <w:bCs/>
          <w:i w:val="0"/>
          <w:iCs w:val="0"/>
          <w:noProof/>
          <w:color w:val="auto"/>
        </w:rPr>
        <w:t>1</w:t>
      </w:r>
      <w:r w:rsidRPr="009805CB">
        <w:rPr>
          <w:rFonts w:asciiTheme="majorBidi" w:hAnsiTheme="majorBidi" w:cstheme="majorBidi"/>
          <w:b/>
          <w:bCs/>
          <w:i w:val="0"/>
          <w:iCs w:val="0"/>
          <w:color w:val="auto"/>
        </w:rPr>
        <w:fldChar w:fldCharType="end"/>
      </w:r>
      <w:r w:rsidR="009805CB" w:rsidRPr="009805CB">
        <w:rPr>
          <w:rFonts w:asciiTheme="majorBidi" w:hAnsiTheme="majorBidi" w:cstheme="majorBidi"/>
          <w:b/>
          <w:bCs/>
          <w:i w:val="0"/>
          <w:iCs w:val="0"/>
          <w:color w:val="auto"/>
        </w:rPr>
        <w:t xml:space="preserve">. </w:t>
      </w:r>
      <w:r w:rsidR="009805CB" w:rsidRPr="009805CB">
        <w:rPr>
          <w:rFonts w:asciiTheme="majorBidi" w:hAnsiTheme="majorBidi" w:cstheme="majorBidi"/>
          <w:b/>
          <w:bCs/>
          <w:i w:val="0"/>
          <w:iCs w:val="0"/>
          <w:color w:val="auto"/>
        </w:rPr>
        <w:t>Quality control assessment of single-cell RNA-seq data.</w:t>
      </w:r>
      <w:r w:rsidR="009805CB" w:rsidRPr="009805CB">
        <w:rPr>
          <w:rFonts w:asciiTheme="majorBidi" w:hAnsiTheme="majorBidi" w:cstheme="majorBidi"/>
          <w:i w:val="0"/>
          <w:iCs w:val="0"/>
          <w:color w:val="auto"/>
        </w:rPr>
        <w:t xml:space="preserve"> </w:t>
      </w:r>
      <w:r w:rsidR="009805CB" w:rsidRPr="009805CB">
        <w:rPr>
          <w:rFonts w:asciiTheme="majorBidi" w:hAnsiTheme="majorBidi" w:cstheme="majorBidi"/>
          <w:i w:val="0"/>
          <w:iCs w:val="0"/>
          <w:color w:val="auto"/>
        </w:rPr>
        <w:t>Violin plots display the distribution of detected genes (</w:t>
      </w:r>
      <w:proofErr w:type="spellStart"/>
      <w:r w:rsidR="009805CB" w:rsidRPr="009805CB">
        <w:rPr>
          <w:rStyle w:val="Strong"/>
          <w:rFonts w:asciiTheme="majorBidi" w:hAnsiTheme="majorBidi" w:cstheme="majorBidi"/>
          <w:i w:val="0"/>
          <w:iCs w:val="0"/>
          <w:color w:val="auto"/>
        </w:rPr>
        <w:t>nFeature_RNA</w:t>
      </w:r>
      <w:proofErr w:type="spellEnd"/>
      <w:r w:rsidR="009805CB" w:rsidRPr="009805CB">
        <w:rPr>
          <w:rFonts w:asciiTheme="majorBidi" w:hAnsiTheme="majorBidi" w:cstheme="majorBidi"/>
          <w:i w:val="0"/>
          <w:iCs w:val="0"/>
          <w:color w:val="auto"/>
        </w:rPr>
        <w:t>), total RNA counts (</w:t>
      </w:r>
      <w:proofErr w:type="spellStart"/>
      <w:r w:rsidR="009805CB" w:rsidRPr="009805CB">
        <w:rPr>
          <w:rStyle w:val="Strong"/>
          <w:rFonts w:asciiTheme="majorBidi" w:hAnsiTheme="majorBidi" w:cstheme="majorBidi"/>
          <w:i w:val="0"/>
          <w:iCs w:val="0"/>
          <w:color w:val="auto"/>
        </w:rPr>
        <w:t>nCount_RNA</w:t>
      </w:r>
      <w:proofErr w:type="spellEnd"/>
      <w:r w:rsidR="009805CB" w:rsidRPr="009805CB">
        <w:rPr>
          <w:rFonts w:asciiTheme="majorBidi" w:hAnsiTheme="majorBidi" w:cstheme="majorBidi"/>
          <w:i w:val="0"/>
          <w:iCs w:val="0"/>
          <w:color w:val="auto"/>
        </w:rPr>
        <w:t>), and mitochondrial gene percentage (</w:t>
      </w:r>
      <w:r w:rsidR="009805CB" w:rsidRPr="009805CB">
        <w:rPr>
          <w:rStyle w:val="Strong"/>
          <w:rFonts w:asciiTheme="majorBidi" w:hAnsiTheme="majorBidi" w:cstheme="majorBidi"/>
          <w:i w:val="0"/>
          <w:iCs w:val="0"/>
          <w:color w:val="auto"/>
        </w:rPr>
        <w:t>percent.mt</w:t>
      </w:r>
      <w:r w:rsidR="009805CB" w:rsidRPr="009805CB">
        <w:rPr>
          <w:rFonts w:asciiTheme="majorBidi" w:hAnsiTheme="majorBidi" w:cstheme="majorBidi"/>
          <w:i w:val="0"/>
          <w:iCs w:val="0"/>
          <w:color w:val="auto"/>
        </w:rPr>
        <w:t xml:space="preserve">) across cells. A scatter plot illustrates the correlation between </w:t>
      </w:r>
      <w:proofErr w:type="spellStart"/>
      <w:r w:rsidR="009805CB" w:rsidRPr="009805CB">
        <w:rPr>
          <w:rStyle w:val="Strong"/>
          <w:rFonts w:asciiTheme="majorBidi" w:hAnsiTheme="majorBidi" w:cstheme="majorBidi"/>
          <w:i w:val="0"/>
          <w:iCs w:val="0"/>
          <w:color w:val="auto"/>
        </w:rPr>
        <w:t>nCount_RNA</w:t>
      </w:r>
      <w:proofErr w:type="spellEnd"/>
      <w:r w:rsidR="009805CB" w:rsidRPr="009805CB">
        <w:rPr>
          <w:rFonts w:asciiTheme="majorBidi" w:hAnsiTheme="majorBidi" w:cstheme="majorBidi"/>
          <w:i w:val="0"/>
          <w:iCs w:val="0"/>
          <w:color w:val="auto"/>
        </w:rPr>
        <w:t xml:space="preserve"> and </w:t>
      </w:r>
      <w:proofErr w:type="spellStart"/>
      <w:r w:rsidR="009805CB" w:rsidRPr="009805CB">
        <w:rPr>
          <w:rStyle w:val="Strong"/>
          <w:rFonts w:asciiTheme="majorBidi" w:hAnsiTheme="majorBidi" w:cstheme="majorBidi"/>
          <w:i w:val="0"/>
          <w:iCs w:val="0"/>
          <w:color w:val="auto"/>
        </w:rPr>
        <w:t>nFeature_RNA</w:t>
      </w:r>
      <w:proofErr w:type="spellEnd"/>
      <w:r w:rsidR="009805CB" w:rsidRPr="009805CB">
        <w:rPr>
          <w:rFonts w:asciiTheme="majorBidi" w:hAnsiTheme="majorBidi" w:cstheme="majorBidi"/>
          <w:i w:val="0"/>
          <w:iCs w:val="0"/>
          <w:color w:val="auto"/>
        </w:rPr>
        <w:t>, confirming the relationship between sequencing depth and gene detection. Low-quality cells were removed based on predefined filtering thresholds.</w:t>
      </w:r>
    </w:p>
    <w:p w14:paraId="5064B6A8" w14:textId="42C029E4" w:rsidR="00C84B10" w:rsidRDefault="00C84B10" w:rsidP="00C84B10"/>
    <w:p w14:paraId="5C1F9C35" w14:textId="77777777" w:rsidR="00C84B10" w:rsidRDefault="00C84B10" w:rsidP="00C84B10">
      <w:pPr>
        <w:keepNext/>
      </w:pPr>
      <w:r>
        <w:rPr>
          <w:noProof/>
        </w:rPr>
        <w:drawing>
          <wp:inline distT="0" distB="0" distL="0" distR="0" wp14:anchorId="27A445AA" wp14:editId="7001FDFF">
            <wp:extent cx="6320056" cy="3163529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712" cy="3173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E804" w14:textId="198D20E7" w:rsidR="00C84B10" w:rsidRDefault="00C84B10" w:rsidP="00EC3441">
      <w:pPr>
        <w:pStyle w:val="Caption"/>
        <w:rPr>
          <w:rFonts w:asciiTheme="majorBidi" w:hAnsiTheme="majorBidi" w:cstheme="majorBidi"/>
          <w:i w:val="0"/>
          <w:iCs w:val="0"/>
          <w:color w:val="auto"/>
        </w:rPr>
      </w:pPr>
      <w:r w:rsidRPr="00C84B10">
        <w:rPr>
          <w:rFonts w:asciiTheme="majorBidi" w:hAnsiTheme="majorBidi" w:cstheme="majorBidi"/>
          <w:b/>
          <w:bCs/>
          <w:i w:val="0"/>
          <w:iCs w:val="0"/>
          <w:color w:val="auto"/>
        </w:rPr>
        <w:t xml:space="preserve">Figure </w:t>
      </w:r>
      <w:r w:rsidRPr="00C84B10">
        <w:rPr>
          <w:rFonts w:asciiTheme="majorBidi" w:hAnsiTheme="majorBidi" w:cstheme="majorBidi"/>
          <w:b/>
          <w:bCs/>
          <w:i w:val="0"/>
          <w:iCs w:val="0"/>
          <w:color w:val="auto"/>
        </w:rPr>
        <w:fldChar w:fldCharType="begin"/>
      </w:r>
      <w:r w:rsidRPr="00C84B10">
        <w:rPr>
          <w:rFonts w:asciiTheme="majorBidi" w:hAnsiTheme="majorBidi" w:cstheme="majorBidi"/>
          <w:b/>
          <w:bCs/>
          <w:i w:val="0"/>
          <w:iCs w:val="0"/>
          <w:color w:val="auto"/>
        </w:rPr>
        <w:instrText xml:space="preserve"> SEQ Figure \* ARABIC </w:instrText>
      </w:r>
      <w:r w:rsidRPr="00C84B10">
        <w:rPr>
          <w:rFonts w:asciiTheme="majorBidi" w:hAnsiTheme="majorBidi" w:cstheme="majorBidi"/>
          <w:b/>
          <w:bCs/>
          <w:i w:val="0"/>
          <w:iCs w:val="0"/>
          <w:color w:val="auto"/>
        </w:rPr>
        <w:fldChar w:fldCharType="separate"/>
      </w:r>
      <w:r w:rsidR="00EC3441">
        <w:rPr>
          <w:rFonts w:asciiTheme="majorBidi" w:hAnsiTheme="majorBidi" w:cstheme="majorBidi"/>
          <w:b/>
          <w:bCs/>
          <w:i w:val="0"/>
          <w:iCs w:val="0"/>
          <w:noProof/>
          <w:color w:val="auto"/>
        </w:rPr>
        <w:t>2</w:t>
      </w:r>
      <w:r w:rsidRPr="00C84B10">
        <w:rPr>
          <w:rFonts w:asciiTheme="majorBidi" w:hAnsiTheme="majorBidi" w:cstheme="majorBidi"/>
          <w:b/>
          <w:bCs/>
          <w:i w:val="0"/>
          <w:iCs w:val="0"/>
          <w:color w:val="auto"/>
        </w:rPr>
        <w:fldChar w:fldCharType="end"/>
      </w:r>
      <w:r w:rsidRPr="00C84B10">
        <w:rPr>
          <w:rFonts w:asciiTheme="majorBidi" w:hAnsiTheme="majorBidi" w:cstheme="majorBidi"/>
          <w:i w:val="0"/>
          <w:iCs w:val="0"/>
          <w:color w:val="auto"/>
        </w:rPr>
        <w:t xml:space="preserve"> </w:t>
      </w:r>
      <w:r w:rsidRPr="00C84B10">
        <w:rPr>
          <w:rStyle w:val="Strong"/>
          <w:rFonts w:asciiTheme="majorBidi" w:hAnsiTheme="majorBidi" w:cstheme="majorBidi"/>
          <w:i w:val="0"/>
          <w:iCs w:val="0"/>
          <w:color w:val="auto"/>
        </w:rPr>
        <w:t>Identification of highly variable genes.</w:t>
      </w:r>
      <w:r w:rsidRPr="00C84B10">
        <w:rPr>
          <w:rFonts w:asciiTheme="majorBidi" w:hAnsiTheme="majorBidi" w:cstheme="majorBidi"/>
          <w:i w:val="0"/>
          <w:iCs w:val="0"/>
          <w:color w:val="auto"/>
        </w:rPr>
        <w:t xml:space="preserve"> </w:t>
      </w:r>
      <w:proofErr w:type="spellStart"/>
      <w:r w:rsidRPr="00C84B10">
        <w:rPr>
          <w:rFonts w:asciiTheme="majorBidi" w:hAnsiTheme="majorBidi" w:cstheme="majorBidi"/>
          <w:i w:val="0"/>
          <w:iCs w:val="0"/>
          <w:color w:val="auto"/>
        </w:rPr>
        <w:t>VariableFeaturePlot</w:t>
      </w:r>
      <w:proofErr w:type="spellEnd"/>
      <w:r w:rsidRPr="00C84B10">
        <w:rPr>
          <w:rFonts w:asciiTheme="majorBidi" w:hAnsiTheme="majorBidi" w:cstheme="majorBidi"/>
          <w:i w:val="0"/>
          <w:iCs w:val="0"/>
          <w:color w:val="auto"/>
        </w:rPr>
        <w:t xml:space="preserve"> highlighting genes with high cell-to-cell variation used for downstream analysis.</w:t>
      </w:r>
    </w:p>
    <w:p w14:paraId="18A74620" w14:textId="6439FD95" w:rsidR="00EC3441" w:rsidRDefault="00EC3441" w:rsidP="00EC3441"/>
    <w:p w14:paraId="1FC233AB" w14:textId="7844E83B" w:rsidR="00EC3441" w:rsidRDefault="00EC3441" w:rsidP="00EC3441"/>
    <w:p w14:paraId="068E19B8" w14:textId="147D6C1B" w:rsidR="00EC3441" w:rsidRDefault="00EC3441" w:rsidP="00EC3441"/>
    <w:p w14:paraId="2AA90D7E" w14:textId="327771C4" w:rsidR="00EC3441" w:rsidRDefault="00EC3441" w:rsidP="00EC3441"/>
    <w:p w14:paraId="2B54419F" w14:textId="5A664D4C" w:rsidR="00EC3441" w:rsidRDefault="00EC3441" w:rsidP="00EC3441"/>
    <w:p w14:paraId="21B042F7" w14:textId="0205B5DB" w:rsidR="00EC3441" w:rsidRDefault="00EC3441" w:rsidP="00EC3441"/>
    <w:p w14:paraId="301E47E9" w14:textId="14B975B7" w:rsidR="00EC3441" w:rsidRDefault="00EC3441" w:rsidP="00EC3441"/>
    <w:p w14:paraId="29E59D36" w14:textId="77777777" w:rsidR="00EC3441" w:rsidRPr="00EC3441" w:rsidRDefault="00EC3441" w:rsidP="00EC3441"/>
    <w:p w14:paraId="583F2E82" w14:textId="76537BE6" w:rsidR="00B918F0" w:rsidRDefault="00C84B10" w:rsidP="004D47B0">
      <w:pPr>
        <w:pStyle w:val="Caption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7002FEF" wp14:editId="7234F511">
            <wp:simplePos x="0" y="0"/>
            <wp:positionH relativeFrom="column">
              <wp:posOffset>-154940</wp:posOffset>
            </wp:positionH>
            <wp:positionV relativeFrom="paragraph">
              <wp:posOffset>15875</wp:posOffset>
            </wp:positionV>
            <wp:extent cx="6320155" cy="3340100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2"/>
                    <a:stretch/>
                  </pic:blipFill>
                  <pic:spPr bwMode="auto">
                    <a:xfrm>
                      <a:off x="0" y="0"/>
                      <a:ext cx="632015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9D9C4" w14:textId="5B0D39A0" w:rsidR="009805CB" w:rsidRDefault="00C84B10" w:rsidP="009805C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457F70" wp14:editId="32EC6540">
                <wp:simplePos x="0" y="0"/>
                <wp:positionH relativeFrom="column">
                  <wp:posOffset>-66368</wp:posOffset>
                </wp:positionH>
                <wp:positionV relativeFrom="paragraph">
                  <wp:posOffset>2979481</wp:posOffset>
                </wp:positionV>
                <wp:extent cx="6231665" cy="63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1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5211DB" w14:textId="52744250" w:rsidR="009805CB" w:rsidRPr="00C84B10" w:rsidRDefault="009805CB" w:rsidP="009805CB">
                            <w:pPr>
                              <w:pStyle w:val="Caption"/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C84B1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C84B1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C84B1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C84B1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EC344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</w:t>
                            </w:r>
                            <w:r w:rsidRPr="00C84B1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="00C84B10" w:rsidRPr="00C84B1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C84B10" w:rsidRPr="00C84B1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Principal component analysis.</w:t>
                            </w:r>
                            <w:r w:rsidR="00C84B10" w:rsidRPr="00C84B10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C84B10" w:rsidRPr="00C84B10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auto"/>
                              </w:rPr>
                              <w:t>PCA heatmap showing genes contributing to the first principal components representing major transcriptional variation.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3457F7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5.25pt;margin-top:234.6pt;width:490.7pt;height: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" stroked="f">
                <v:textbox style="mso-fit-shape-to-text:t" inset="0,0,0,0">
                  <w:txbxContent>
                    <w:p w14:paraId="375211DB" w14:textId="52744250" w:rsidR="009805CB" w:rsidRPr="00C84B10" w:rsidRDefault="009805CB" w:rsidP="009805CB">
                      <w:pPr>
                        <w:pStyle w:val="Caption"/>
                        <w:rPr>
                          <w:rFonts w:asciiTheme="majorBidi" w:hAnsiTheme="majorBidi" w:cstheme="majorBidi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C84B1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C84B1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C84B1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C84B1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EC344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</w:t>
                      </w:r>
                      <w:r w:rsidRPr="00C84B1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="00C84B10" w:rsidRPr="00C84B1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C84B10" w:rsidRPr="00C84B1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Principal component analysis.</w:t>
                      </w:r>
                      <w:r w:rsidR="00C84B10" w:rsidRPr="00C84B10">
                        <w:rPr>
                          <w:rFonts w:asciiTheme="majorBidi" w:hAnsiTheme="majorBidi" w:cstheme="majorBidi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C84B10" w:rsidRPr="00C84B10">
                        <w:rPr>
                          <w:rFonts w:asciiTheme="majorBidi" w:hAnsiTheme="majorBidi" w:cstheme="majorBidi"/>
                          <w:i w:val="0"/>
                          <w:iCs w:val="0"/>
                          <w:color w:val="auto"/>
                        </w:rPr>
                        <w:t>PCA heatmap showing genes contributing to the first principal components representing major transcriptional variation.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256883DF" w14:textId="3597C633" w:rsidR="00EC3441" w:rsidRPr="00EC3441" w:rsidRDefault="00EC3441" w:rsidP="00EC3441"/>
    <w:p w14:paraId="1A9B513F" w14:textId="538892A3" w:rsidR="00EC3441" w:rsidRPr="00EC3441" w:rsidRDefault="00EC3441" w:rsidP="00EC3441"/>
    <w:p w14:paraId="396E4C42" w14:textId="57706009" w:rsidR="00EC3441" w:rsidRPr="00EC3441" w:rsidRDefault="00EC3441" w:rsidP="00EC3441"/>
    <w:p w14:paraId="0D210DDE" w14:textId="481DB3E5" w:rsidR="00EC3441" w:rsidRPr="00EC3441" w:rsidRDefault="00EC3441" w:rsidP="00EC3441"/>
    <w:p w14:paraId="368B4583" w14:textId="17F68CF5" w:rsidR="00EC3441" w:rsidRPr="00EC3441" w:rsidRDefault="00EC3441" w:rsidP="00EC3441"/>
    <w:p w14:paraId="688A48BA" w14:textId="1C14EA7A" w:rsidR="00EC3441" w:rsidRPr="00EC3441" w:rsidRDefault="00EC3441" w:rsidP="00EC3441"/>
    <w:p w14:paraId="69741B2A" w14:textId="26431A16" w:rsidR="00EC3441" w:rsidRPr="00EC3441" w:rsidRDefault="00EC3441" w:rsidP="00EC3441"/>
    <w:p w14:paraId="774C932F" w14:textId="4FB76011" w:rsidR="00EC3441" w:rsidRPr="00EC3441" w:rsidRDefault="00EC3441" w:rsidP="00EC3441"/>
    <w:p w14:paraId="48ED5EE4" w14:textId="555E2E30" w:rsidR="00EC3441" w:rsidRPr="00EC3441" w:rsidRDefault="00EC3441" w:rsidP="00EC3441"/>
    <w:p w14:paraId="191ECDB8" w14:textId="4DC6BCFF" w:rsidR="00EC3441" w:rsidRPr="00EC3441" w:rsidRDefault="00EC3441" w:rsidP="00EC3441"/>
    <w:p w14:paraId="5C4D6278" w14:textId="1FC77BA6" w:rsidR="00EC3441" w:rsidRPr="00EC3441" w:rsidRDefault="00EC3441" w:rsidP="00EC3441"/>
    <w:p w14:paraId="42DF51EB" w14:textId="0C566A35" w:rsidR="00EC3441" w:rsidRDefault="00EC3441" w:rsidP="00EC3441"/>
    <w:p w14:paraId="4E56D7B6" w14:textId="77777777" w:rsidR="00EC3441" w:rsidRDefault="00EC3441" w:rsidP="00EC3441">
      <w:pPr>
        <w:keepNext/>
      </w:pPr>
      <w:r>
        <w:rPr>
          <w:noProof/>
        </w:rPr>
        <w:drawing>
          <wp:inline distT="0" distB="0" distL="0" distR="0" wp14:anchorId="4A2AACFA" wp14:editId="2D6C7C59">
            <wp:extent cx="5715000" cy="28536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531D1" w14:textId="4B318AB2" w:rsidR="00EC3441" w:rsidRDefault="00EC3441" w:rsidP="00EC3441">
      <w:pPr>
        <w:pStyle w:val="Caption"/>
        <w:rPr>
          <w:rFonts w:asciiTheme="majorBidi" w:hAnsiTheme="majorBidi" w:cstheme="majorBidi"/>
          <w:i w:val="0"/>
          <w:iCs w:val="0"/>
          <w:color w:val="auto"/>
        </w:rPr>
      </w:pPr>
      <w:r w:rsidRPr="00EC3441">
        <w:rPr>
          <w:rFonts w:asciiTheme="majorBidi" w:hAnsiTheme="majorBidi" w:cstheme="majorBidi"/>
          <w:b/>
          <w:bCs/>
          <w:i w:val="0"/>
          <w:iCs w:val="0"/>
          <w:color w:val="auto"/>
        </w:rPr>
        <w:t xml:space="preserve">Figure </w:t>
      </w:r>
      <w:r w:rsidRPr="00EC3441">
        <w:rPr>
          <w:rFonts w:asciiTheme="majorBidi" w:hAnsiTheme="majorBidi" w:cstheme="majorBidi"/>
          <w:b/>
          <w:bCs/>
          <w:i w:val="0"/>
          <w:iCs w:val="0"/>
          <w:color w:val="auto"/>
        </w:rPr>
        <w:fldChar w:fldCharType="begin"/>
      </w:r>
      <w:r w:rsidRPr="00EC3441">
        <w:rPr>
          <w:rFonts w:asciiTheme="majorBidi" w:hAnsiTheme="majorBidi" w:cstheme="majorBidi"/>
          <w:b/>
          <w:bCs/>
          <w:i w:val="0"/>
          <w:iCs w:val="0"/>
          <w:color w:val="auto"/>
        </w:rPr>
        <w:instrText xml:space="preserve"> SEQ Figure \* ARABIC </w:instrText>
      </w:r>
      <w:r w:rsidRPr="00EC3441">
        <w:rPr>
          <w:rFonts w:asciiTheme="majorBidi" w:hAnsiTheme="majorBidi" w:cstheme="majorBidi"/>
          <w:b/>
          <w:bCs/>
          <w:i w:val="0"/>
          <w:iCs w:val="0"/>
          <w:color w:val="auto"/>
        </w:rPr>
        <w:fldChar w:fldCharType="separate"/>
      </w:r>
      <w:r>
        <w:rPr>
          <w:rFonts w:asciiTheme="majorBidi" w:hAnsiTheme="majorBidi" w:cstheme="majorBidi"/>
          <w:b/>
          <w:bCs/>
          <w:i w:val="0"/>
          <w:iCs w:val="0"/>
          <w:noProof/>
          <w:color w:val="auto"/>
        </w:rPr>
        <w:t>4</w:t>
      </w:r>
      <w:r w:rsidRPr="00EC3441">
        <w:rPr>
          <w:rFonts w:asciiTheme="majorBidi" w:hAnsiTheme="majorBidi" w:cstheme="majorBidi"/>
          <w:b/>
          <w:bCs/>
          <w:i w:val="0"/>
          <w:iCs w:val="0"/>
          <w:color w:val="auto"/>
        </w:rPr>
        <w:fldChar w:fldCharType="end"/>
      </w:r>
      <w:r w:rsidRPr="00EC3441">
        <w:rPr>
          <w:rFonts w:asciiTheme="majorBidi" w:hAnsiTheme="majorBidi" w:cstheme="majorBidi"/>
          <w:i w:val="0"/>
          <w:iCs w:val="0"/>
          <w:color w:val="auto"/>
        </w:rPr>
        <w:t xml:space="preserve"> </w:t>
      </w:r>
      <w:r w:rsidRPr="00EC3441">
        <w:rPr>
          <w:rStyle w:val="Strong"/>
          <w:rFonts w:asciiTheme="majorBidi" w:hAnsiTheme="majorBidi" w:cstheme="majorBidi"/>
          <w:i w:val="0"/>
          <w:iCs w:val="0"/>
          <w:color w:val="auto"/>
        </w:rPr>
        <w:t>Selection of principal components.</w:t>
      </w:r>
      <w:r w:rsidRPr="00EC3441">
        <w:rPr>
          <w:rFonts w:asciiTheme="majorBidi" w:hAnsiTheme="majorBidi" w:cstheme="majorBidi"/>
          <w:i w:val="0"/>
          <w:iCs w:val="0"/>
          <w:color w:val="auto"/>
        </w:rPr>
        <w:t xml:space="preserve"> </w:t>
      </w:r>
      <w:proofErr w:type="spellStart"/>
      <w:r w:rsidRPr="00EC3441">
        <w:rPr>
          <w:rFonts w:asciiTheme="majorBidi" w:hAnsiTheme="majorBidi" w:cstheme="majorBidi"/>
          <w:i w:val="0"/>
          <w:iCs w:val="0"/>
          <w:color w:val="auto"/>
        </w:rPr>
        <w:t>ElbowPlot</w:t>
      </w:r>
      <w:proofErr w:type="spellEnd"/>
      <w:r w:rsidRPr="00EC3441">
        <w:rPr>
          <w:rFonts w:asciiTheme="majorBidi" w:hAnsiTheme="majorBidi" w:cstheme="majorBidi"/>
          <w:i w:val="0"/>
          <w:iCs w:val="0"/>
          <w:color w:val="auto"/>
        </w:rPr>
        <w:t xml:space="preserve"> used to determine the optimal number of PCs for clustering and dimensionality reduction.</w:t>
      </w:r>
    </w:p>
    <w:p w14:paraId="260FA9C7" w14:textId="41F10DC3" w:rsidR="00EC3441" w:rsidRDefault="00EC3441" w:rsidP="00EC3441"/>
    <w:p w14:paraId="57A9BCD8" w14:textId="25BE7D7E" w:rsidR="00EC3441" w:rsidRDefault="00EC3441" w:rsidP="00EC3441"/>
    <w:p w14:paraId="17E10824" w14:textId="2F021DDA" w:rsidR="00EC3441" w:rsidRDefault="00EC3441" w:rsidP="00EC3441"/>
    <w:p w14:paraId="7F4006B0" w14:textId="564D8D9D" w:rsidR="00EC3441" w:rsidRDefault="00EC3441" w:rsidP="00EC3441"/>
    <w:p w14:paraId="783EADA7" w14:textId="1798D5E8" w:rsidR="00EC3441" w:rsidRDefault="00EC3441" w:rsidP="00EC3441"/>
    <w:p w14:paraId="31649ADC" w14:textId="77777777" w:rsidR="00EC3441" w:rsidRDefault="00EC3441" w:rsidP="00EC3441">
      <w:pPr>
        <w:keepNext/>
      </w:pPr>
      <w:r>
        <w:rPr>
          <w:noProof/>
        </w:rPr>
        <w:lastRenderedPageBreak/>
        <w:drawing>
          <wp:inline distT="0" distB="0" distL="0" distR="0" wp14:anchorId="6AED613D" wp14:editId="0E3EF591">
            <wp:extent cx="5715000" cy="28536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2F108" w14:textId="35F204C8" w:rsidR="00EC3441" w:rsidRPr="00EC3441" w:rsidRDefault="00EC3441" w:rsidP="00EC3441">
      <w:pPr>
        <w:pStyle w:val="Caption"/>
        <w:jc w:val="both"/>
        <w:rPr>
          <w:rFonts w:asciiTheme="majorBidi" w:hAnsiTheme="majorBidi" w:cstheme="majorBidi"/>
          <w:i w:val="0"/>
          <w:iCs w:val="0"/>
          <w:color w:val="auto"/>
        </w:rPr>
      </w:pPr>
      <w:r w:rsidRPr="00EC3441">
        <w:rPr>
          <w:rFonts w:asciiTheme="majorBidi" w:hAnsiTheme="majorBidi" w:cstheme="majorBidi"/>
          <w:b/>
          <w:bCs/>
          <w:i w:val="0"/>
          <w:iCs w:val="0"/>
          <w:color w:val="auto"/>
        </w:rPr>
        <w:t xml:space="preserve">Figure </w:t>
      </w:r>
      <w:r w:rsidRPr="00EC3441">
        <w:rPr>
          <w:rFonts w:asciiTheme="majorBidi" w:hAnsiTheme="majorBidi" w:cstheme="majorBidi"/>
          <w:b/>
          <w:bCs/>
          <w:i w:val="0"/>
          <w:iCs w:val="0"/>
          <w:color w:val="auto"/>
        </w:rPr>
        <w:fldChar w:fldCharType="begin"/>
      </w:r>
      <w:r w:rsidRPr="00EC3441">
        <w:rPr>
          <w:rFonts w:asciiTheme="majorBidi" w:hAnsiTheme="majorBidi" w:cstheme="majorBidi"/>
          <w:b/>
          <w:bCs/>
          <w:i w:val="0"/>
          <w:iCs w:val="0"/>
          <w:color w:val="auto"/>
        </w:rPr>
        <w:instrText xml:space="preserve"> SEQ Figure \* ARABIC </w:instrText>
      </w:r>
      <w:r w:rsidRPr="00EC3441">
        <w:rPr>
          <w:rFonts w:asciiTheme="majorBidi" w:hAnsiTheme="majorBidi" w:cstheme="majorBidi"/>
          <w:b/>
          <w:bCs/>
          <w:i w:val="0"/>
          <w:iCs w:val="0"/>
          <w:color w:val="auto"/>
        </w:rPr>
        <w:fldChar w:fldCharType="separate"/>
      </w:r>
      <w:r w:rsidRPr="00EC3441">
        <w:rPr>
          <w:rFonts w:asciiTheme="majorBidi" w:hAnsiTheme="majorBidi" w:cstheme="majorBidi"/>
          <w:b/>
          <w:bCs/>
          <w:i w:val="0"/>
          <w:iCs w:val="0"/>
          <w:noProof/>
          <w:color w:val="auto"/>
        </w:rPr>
        <w:t>5</w:t>
      </w:r>
      <w:r w:rsidRPr="00EC3441">
        <w:rPr>
          <w:rFonts w:asciiTheme="majorBidi" w:hAnsiTheme="majorBidi" w:cstheme="majorBidi"/>
          <w:b/>
          <w:bCs/>
          <w:i w:val="0"/>
          <w:iCs w:val="0"/>
          <w:color w:val="auto"/>
        </w:rPr>
        <w:fldChar w:fldCharType="end"/>
      </w:r>
      <w:r w:rsidRPr="00EC3441">
        <w:rPr>
          <w:rFonts w:asciiTheme="majorBidi" w:hAnsiTheme="majorBidi" w:cstheme="majorBidi"/>
          <w:i w:val="0"/>
          <w:iCs w:val="0"/>
          <w:color w:val="auto"/>
        </w:rPr>
        <w:t xml:space="preserve">  </w:t>
      </w:r>
      <w:r w:rsidRPr="00EC3441">
        <w:rPr>
          <w:rStyle w:val="Strong"/>
          <w:rFonts w:asciiTheme="majorBidi" w:hAnsiTheme="majorBidi" w:cstheme="majorBidi"/>
          <w:i w:val="0"/>
          <w:iCs w:val="0"/>
          <w:color w:val="auto"/>
        </w:rPr>
        <w:t>UMAP visualization of cell clusters.</w:t>
      </w:r>
      <w:r w:rsidRPr="00EC3441">
        <w:rPr>
          <w:rFonts w:asciiTheme="majorBidi" w:hAnsiTheme="majorBidi" w:cstheme="majorBidi"/>
          <w:i w:val="0"/>
          <w:iCs w:val="0"/>
          <w:color w:val="auto"/>
        </w:rPr>
        <w:t xml:space="preserve"> </w:t>
      </w:r>
      <w:r w:rsidRPr="00EC3441">
        <w:rPr>
          <w:rFonts w:asciiTheme="majorBidi" w:hAnsiTheme="majorBidi" w:cstheme="majorBidi"/>
          <w:i w:val="0"/>
          <w:iCs w:val="0"/>
          <w:color w:val="auto"/>
        </w:rPr>
        <w:t>UMAP projection of cells based on the first 15 PCs showing transcriptionally distinct clusters in the NSCLC dataset.</w:t>
      </w:r>
    </w:p>
    <w:sectPr w:rsidR="00EC3441" w:rsidRPr="00EC3441" w:rsidSect="00477CF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11"/>
    <w:rsid w:val="00477CFA"/>
    <w:rsid w:val="004D47B0"/>
    <w:rsid w:val="00542988"/>
    <w:rsid w:val="009805CB"/>
    <w:rsid w:val="00B918F0"/>
    <w:rsid w:val="00C84B10"/>
    <w:rsid w:val="00E70411"/>
    <w:rsid w:val="00EC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05D7D"/>
  <w15:chartTrackingRefBased/>
  <w15:docId w15:val="{20A0CE04-772C-4A15-B928-47537F25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477C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805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632C9-3F88-4F16-9FA1-922688532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basuary</dc:creator>
  <cp:keywords/>
  <dc:description/>
  <cp:lastModifiedBy>sakib basuary</cp:lastModifiedBy>
  <cp:revision>2</cp:revision>
  <dcterms:created xsi:type="dcterms:W3CDTF">2026-03-06T01:00:00Z</dcterms:created>
  <dcterms:modified xsi:type="dcterms:W3CDTF">2026-03-06T01:32:00Z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be341af5-a836-4035-a1a8-ad2fca1a4bc5</vt:lpwstr>
  </property>
</Properties>
</file>