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Indian CAS Volume Transition</w:t>
      </w:r>
    </w:p>
    <w:p>
      <w:pPr>
        <w:spacing w:after="240"/>
        <w:jc w:val="center"/>
      </w:pPr>
      <w:r>
        <w:rPr>
          <w:sz w:val="22"/>
          <w:szCs w:val="22"/>
        </w:rPr>
        <w:t xml:space="preserve">June 4, 2026</w:t>
      </w:r>
    </w:p>
    <w:p>
      <w:pPr>
        <w:pStyle w:val="Heading2"/>
        <w:spacing w:after="120" w:line="276"/>
      </w:pPr>
      <w:r>
        <w:t xml:space="preserve">Summary</w:t>
      </w:r>
    </w:p>
    <w:p>
      <w:pPr>
        <w:spacing w:after="120" w:line="276"/>
      </w:pPr>
      <w:r>
        <w:t xml:space="preserve">On 3 August 2026, NSE and BSE introduce a Closing Auction Session (CAS) for cash-segment stocks that have derivative contracts. For these names the closing price moves from the existing 30-minute VWAP to a single auction cross, and the continuous-trading contribution to the old close window is shortened. This paper models how the old last-30-minute volume splits between the surviving continuous tail and the auction. Defining </w:t>
      </w:r>
      <w:r>
        <w:rPr>
          <w:i/>
          <w:iCs/>
        </w:rPr>
        <w:t xml:space="preserve">alpha</w:t>
      </w:r>
      <w:r>
        <w:t xml:space="preserve"> as the continuous-tail share of the old close-window volume, the measured pre-CAS anchor is ~0.40. The day-1 prediction is </w:t>
      </w:r>
      <w:r>
        <w:rPr>
          <w:b/>
          <w:bCs/>
        </w:rPr>
        <w:t xml:space="preserve">alpha ≈ 0.44</w:t>
      </w:r>
      <w:r>
        <w:t xml:space="preserve"> (defensible range 0.42–0.45): above the 0.40 anchor, because shortening the continuous session forces volume to either migrate to the auction or pull forward into the surviving tail. Shanghai (2018), which shortened its continuous session in the same way, is the closest structural analogue and confirms this direction; Hong Kong (2016), which kept its continuous session intact, is the better guide to the long-run level but not the day-1 direction.</w:t>
      </w:r>
    </w:p>
    <w:p>
      <w:pPr>
        <w:pStyle w:val="Heading1"/>
        <w:spacing w:after="120" w:line="276"/>
      </w:pPr>
      <w:r>
        <w:t xml:space="preserve">I. Background</w:t>
      </w:r>
    </w:p>
    <w:p>
      <w:pPr>
        <w:spacing w:after="120" w:line="276"/>
      </w:pPr>
      <w:r>
        <w:t xml:space="preserve">On 3 August 2026, NSE / BSE will introduce the Closing Auction Session (CAS) for stocks in the cash segment on which derivative contracts are available. The design below follows the SEBI circular dated 16 January 2026.</w:t>
      </w:r>
    </w:p>
    <w:p>
      <w:pPr>
        <w:spacing w:after="120" w:line="276"/>
      </w:pPr>
      <w:r>
        <w:t xml:space="preserve">Price band during CAS: ±3% from the reference price of the stock. The reference price is the VWAP of trades from 3:00 p.m. to 3:15 p.m. (fallback: last traded price, then prior close).</w:t>
      </w:r>
    </w:p>
    <w:p>
      <w:pPr>
        <w:spacing w:after="120" w:line="276"/>
      </w:pPr>
      <w:r>
        <w:t xml:space="preserve">Order types allowed in CAS: limit and market orders only. Iceberg orders and stop-loss orders are not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600"/>
        <w:gridCol w:w="1600"/>
      </w:tblGrid>
      <w:tr>
        <w:trPr>
          <w:tblHeader/>
        </w:trPr>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Session</w:t>
            </w:r>
          </w:p>
        </w:tc>
        <w:tc>
          <w:tcPr>
            <w:tcW w:type="dxa" w:w="50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Particulars</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Start Time</w:t>
            </w:r>
          </w:p>
        </w:tc>
        <w:tc>
          <w:tcPr>
            <w:tcW w:type="dxa" w:w="1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Duration</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1</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Reference price calculation / Transition from CTS to CAS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3:15 p.m.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5 mins</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2</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Order entry period — both limit and market orders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3:20 p.m.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5 mins</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Order entry period — limit orders only; no modification/cancellation for market orders; random close in the last 2 minutes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3:25 p.m.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5 mins</w:t>
            </w:r>
          </w:p>
        </w:tc>
      </w:tr>
      <w:tr>
        <w:trPr>
          <w:tblHeader w:val="false"/>
        </w:trP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4</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Order matching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3:30 p.m.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5 mins</w:t>
            </w:r>
          </w:p>
        </w:tc>
      </w:tr>
    </w:tbl>
    <w:p>
      <w:pPr>
        <w:spacing w:after="80" w:line="276"/>
      </w:pPr>
      <w:r>
        <w:t xml:space="preserve"/>
      </w:r>
    </w:p>
    <w:p>
      <w:pPr>
        <w:spacing w:after="120" w:line="276"/>
      </w:pPr>
      <w:r>
        <w:rPr>
          <w:i/>
          <w:iCs/>
          <w:sz w:val="20"/>
          <w:szCs w:val="20"/>
        </w:rPr>
        <w:t xml:space="preserve">Note: CAS is a separate session layered on the end of the trading day. For in-scope names the continuous-trading contribution to the close transitions to CAS at 3:15 p.m.; the auction cross occurs around 3:30 p.m. and the cash market closes after matching (~3:35 p.m.). Index derivatives continue to close at 3:30 p.m. and near-month stock derivatives at 3:35 p.m. on expiry days. Stocks without derivatives are unaffected in this phase and keep the VWAP close.</w:t>
      </w:r>
    </w:p>
    <w:p>
      <w:pPr>
        <w:pStyle w:val="Heading1"/>
        <w:spacing w:after="120" w:line="276"/>
      </w:pPr>
      <w:r>
        <w:t xml:space="preserve">II. Volume Transition Model</w:t>
      </w:r>
    </w:p>
    <w:p>
      <w:pPr>
        <w:spacing w:after="120" w:line="276"/>
      </w:pPr>
      <w:r>
        <w:t xml:space="preserve">From the table above, 3:15 p.m. is the transition from the continuous trading session (CTS) to CAS.</w:t>
      </w:r>
    </w:p>
    <w:p>
      <w:pPr>
        <w:spacing w:after="120" w:line="276"/>
      </w:pPr>
      <w:r>
        <w:t xml:space="preserve">Define the old close window </w:t>
      </w:r>
      <w:r>
        <w:rPr>
          <w:b/>
          <w:bCs/>
        </w:rPr>
        <w:t xml:space="preserve">W</w:t>
      </w:r>
      <w:r>
        <w:t xml:space="preserve"> = 15:00–15:30, split at 15:15 into the surviving continuous tail </w:t>
      </w:r>
      <w:r>
        <w:rPr>
          <w:b/>
          <w:bCs/>
        </w:rPr>
        <w:t xml:space="preserve">T</w:t>
      </w:r>
      <w:r>
        <w:t xml:space="preserve"> = 15:00–15:15 and the replaced (migrating) portion </w:t>
      </w:r>
      <w:r>
        <w:rPr>
          <w:b/>
          <w:bCs/>
        </w:rPr>
        <w:t xml:space="preserve">M</w:t>
      </w:r>
      <w:r>
        <w:t xml:space="preserve"> = 15:15–15:30.</w:t>
      </w:r>
    </w:p>
    <w:p>
      <w:pPr>
        <w:spacing w:after="120" w:line="276"/>
      </w:pPr>
      <w:r>
        <w:t xml:space="preserve">For the past 60 days, the median of [volume(T) / volume(W)] is around </w:t>
      </w:r>
      <w:r>
        <w:rPr>
          <w:b/>
          <w:bCs/>
        </w:rPr>
        <w:t xml:space="preserve">40%</w:t>
      </w:r>
      <w:r>
        <w:t xml:space="preserve">, using NSE/BSE stocks that have derivative contracts. This is the empirical anchor for alpha.</w:t>
      </w:r>
    </w:p>
    <w:p>
      <w:pPr>
        <w:spacing w:after="120" w:line="276"/>
      </w:pPr>
      <w:r>
        <w:rPr>
          <w:b/>
          <w:bCs/>
          <w:sz w:val="20"/>
          <w:szCs w:val="20"/>
        </w:rPr>
        <w:t xml:space="preserve">Figure 1</w:t>
      </w:r>
      <w:r>
        <w:rPr>
          <w:sz w:val="20"/>
          <w:szCs w:val="20"/>
        </w:rPr>
        <w:t xml:space="preserve"> (below) plots the historical pre-CAS daily ratio volume(T)/volume(W) over the 60-day window for the two exchanges; the median sits near 40%, and the back half (M, 15:15–15:30) carries the heavier ~60%.</w:t>
      </w:r>
    </w:p>
    <w:p>
      <w:pPr>
        <w:pBdr>
          <w:top w:val="dashed" w:color="999999" w:sz="4" w:space="6"/>
          <w:bottom w:val="dashed" w:color="999999" w:sz="4" w:space="6"/>
        </w:pBdr>
        <w:spacing w:after="80" w:before="80"/>
        <w:jc w:val="center"/>
      </w:pPr>
      <w:r>
        <w:rPr>
          <w:i/>
          <w:iCs/>
          <w:color w:val="777777"/>
          <w:sz w:val="20"/>
          <w:szCs w:val="20"/>
        </w:rPr>
        <w:t xml:space="preserve">[ Figure 1: insert historical volume(T)/volume(W) chart here — add legend: NSE vs BSE; y-axis %, x-axis date ]</w:t>
      </w:r>
    </w:p>
    <w:p>
      <w:pPr>
        <w:spacing w:after="120" w:line="276"/>
      </w:pPr>
      <w:r>
        <w:t xml:space="preserve">Assume W stays the same for post-CAS as pre-CAS for the first 3 days only (and on normal days only — see caveats). Let alpha = [volume_new(T) / volume(W)] for post-CAS. The naïve alpha = 0.40 holds only if all volume in M moves cleanly into CAS, i.e. volume migrating out of T = volume migrating into T. In practice it does not, and the deviation has a definite sign.</w:t>
      </w:r>
    </w:p>
    <w:p>
      <w:pPr>
        <w:spacing w:after="120" w:line="276"/>
      </w:pPr>
      <w:r>
        <w:t xml:space="preserve">Decomposition of the post-CAS continuous tail:</w:t>
      </w:r>
    </w:p>
    <w:p>
      <w:pPr>
        <w:shd w:fill="F2F2F2" w:val="clear"/>
        <w:spacing w:after="120" w:before="40"/>
        <w:jc w:val="center"/>
      </w:pPr>
      <w:r>
        <w:rPr>
          <w:i/>
          <w:iCs/>
          <w:sz w:val="21"/>
          <w:szCs w:val="21"/>
        </w:rPr>
        <w:t xml:space="preserve">volume_new(T) = volume_today(T) + [migrating volume into T from M] + [barred-order flow re-routed from M into T] − [close-seeking flow that leaves T for CAS]</w:t>
      </w:r>
    </w:p>
    <w:p>
      <w:pPr>
        <w:spacing w:after="120" w:line="276"/>
      </w:pPr>
      <w:r>
        <w:t xml:space="preserve">The three additive forces are analyzed below.</w:t>
      </w:r>
    </w:p>
    <w:p>
      <w:pPr>
        <w:pStyle w:val="Heading2"/>
        <w:spacing w:after="120" w:line="276"/>
      </w:pPr>
      <w:r>
        <w:t xml:space="preserve">1) Migrating volume into T from M (raises alpha)</w:t>
      </w:r>
    </w:p>
    <w:p>
      <w:pPr>
        <w:spacing w:after="120" w:line="276"/>
      </w:pPr>
      <w:r>
        <w:t xml:space="preserve">When CAS is first introduced, liquidity and impatient traders who must complete orders before the overnight gap accelerate execution into the CTS minutes immediately preceding 15:15. The CAS cross carries execution uncertainty — a ±3% band that rejects outlier orders, pro-rata fills at a single price, and a random close — while the surviving tail T (15:00–15:15) still offers guaranteed immediacy. This force is strongest at launch, when the auction is untested, and decays as participants build trust.</w:t>
      </w:r>
    </w:p>
    <w:p>
      <w:pPr>
        <w:pStyle w:val="Heading2"/>
        <w:spacing w:after="120" w:line="276"/>
      </w:pPr>
      <w:r>
        <w:t xml:space="preserve">2) Barred order types re-routed from M into T (raises alpha)</w:t>
      </w:r>
    </w:p>
    <w:p>
      <w:pPr>
        <w:spacing w:after="120" w:line="276"/>
      </w:pPr>
      <w:r>
        <w:t xml:space="preserve">CAS permits only limit and market orders; stop-loss and iceberg orders are barred. Late-session flow that today relies on those order types cannot be expressed natively in the auction, so part of it re-routes into T as plain continuous orders (and part disperses earlier in the day). Either way, M does not migrate at 100%, which lifts volume_new(T) and lowers auction capture. This is a structural effect, present from day one.</w:t>
      </w:r>
    </w:p>
    <w:p>
      <w:pPr>
        <w:pStyle w:val="Heading2"/>
        <w:spacing w:after="120" w:line="276"/>
      </w:pPr>
      <w:r>
        <w:t xml:space="preserve">3) Close-seeking flow that leaves T for CAS (lowers alpha)</w:t>
      </w:r>
    </w:p>
    <w:p>
      <w:pPr>
        <w:spacing w:after="120" w:line="276"/>
      </w:pPr>
      <w:r>
        <w:t xml:space="preserve">Passive and index funds prefer to execute exactly at the official closing price, so close-seeking flow migrates into the auction. This is the structural driver that grows auction volume — but it ramps over years, not days, as order routing is operationally rewired. As the auction earns trust and close-seeking flow grows, volume_new(T) falls back toward and eventually below volume_today(T), pulling alpha below 0.40 in the long run.</w:t>
      </w:r>
    </w:p>
    <w:p>
      <w:pPr>
        <w:spacing w:after="120" w:line="276"/>
      </w:pPr>
      <w:r>
        <w:t xml:space="preserve">Net effect at launch: forces (1) and (2) are at their maximum while force (3) is at its minimum, so volume_new(T) &gt; volume_today(T). Thus day-1 alpha is predicted to be </w:t>
      </w:r>
      <w:r>
        <w:rPr>
          <w:b/>
          <w:bCs/>
        </w:rPr>
        <w:t xml:space="preserve">greater than 0.40</w:t>
      </w:r>
      <w:r>
        <w:t xml:space="preserve">. The excess is small because the in-scope universe is liquid derivative names, where close-seeking flow (the downward force) is relatively strong and impatient pull-forward (the upward force) is relatively weak. Predicted day-1 seed: </w:t>
      </w:r>
      <w:r>
        <w:rPr>
          <w:b/>
          <w:bCs/>
        </w:rPr>
        <w:t xml:space="preserve">alpha ≈ 0.44</w:t>
      </w:r>
      <w:r>
        <w:t xml:space="preserve"> (defensible range 0.42–0.45). Over subsequent weeks the value drifts back through 0.40 toward a steady state below it.</w:t>
      </w:r>
    </w:p>
    <w:p>
      <w:pPr>
        <w:pStyle w:val="Heading2"/>
        <w:spacing w:after="120" w:line="276"/>
      </w:pPr>
      <w:r>
        <w:t xml:space="preserve">Caveats and scope of the W-constant assumption</w:t>
      </w:r>
    </w:p>
    <w:p>
      <w:pPr>
        <w:pStyle w:val="ListParagraph"/>
        <w:numPr>
          <w:ilvl w:val="0"/>
          <w:numId w:val="2"/>
        </w:numPr>
        <w:spacing w:after="120" w:line="276"/>
      </w:pPr>
      <w:r>
        <w:t xml:space="preserve">Holding W constant is used only to fix the split (the ratio alpha), not to pin absolute auction volume, which inherits the full uncertainty in W.</w:t>
      </w:r>
    </w:p>
    <w:p>
      <w:pPr>
        <w:pStyle w:val="ListParagraph"/>
        <w:numPr>
          <w:ilvl w:val="0"/>
          <w:numId w:val="2"/>
        </w:numPr>
        <w:spacing w:after="120" w:line="276"/>
      </w:pPr>
      <w:r>
        <w:t xml:space="preserve">The assumption is valid for the first 3 normal days only. Index-rebalance and expiry days are a separate regime where close-seeking inflow spikes by design (SEBI permits passive funds overnight borrowing on rebalance days); W is materially higher and the split breaks. Exclude any of the first three sessions that fall on a monthly expiry or index-reconstitution date.</w:t>
      </w:r>
    </w:p>
    <w:p>
      <w:pPr>
        <w:pStyle w:val="ListParagraph"/>
        <w:numPr>
          <w:ilvl w:val="0"/>
          <w:numId w:val="2"/>
        </w:numPr>
        <w:spacing w:after="120" w:line="276"/>
      </w:pPr>
      <w:r>
        <w:t xml:space="preserve">alpha is heterogeneous across stocks: implement it per-stock from each name's own 60-day median T/W ratio plus a small launch premium, rather than as one global constant.</w:t>
      </w:r>
    </w:p>
    <w:p>
      <w:pPr>
        <w:pStyle w:val="ListParagraph"/>
        <w:numPr>
          <w:ilvl w:val="0"/>
          <w:numId w:val="2"/>
        </w:numPr>
        <w:spacing w:after="120" w:line="276"/>
      </w:pPr>
      <w:r>
        <w:t xml:space="preserve">Define the close-volume field explicitly — auction cross only, or auction plus post-close session — as these are different quantities.</w:t>
      </w:r>
    </w:p>
    <w:p>
      <w:pPr>
        <w:pStyle w:val="Heading1"/>
        <w:spacing w:after="120" w:line="276"/>
      </w:pPr>
      <w:r>
        <w:t xml:space="preserve">III. Regional Comparison</w:t>
      </w:r>
    </w:p>
    <w:p>
      <w:pPr>
        <w:pStyle w:val="Heading2"/>
        <w:spacing w:after="120" w:line="276"/>
      </w:pPr>
      <w:r>
        <w:t xml:space="preserve">1) Closing auction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Market</w:t>
            </w:r>
          </w:p>
        </w:tc>
        <w:tc>
          <w:tcPr>
            <w:tcW w:type="dxa" w:w="78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Design</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India</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3 August 2026. Continuous-trading contribution to the close transitions to CAS at 15:15 (vs the old 15:30 close-window end). CAS price band ±3% from the reference price. Passive/index funds heavy.</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Hong Kong</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Relaunched 25 July 2016 (phased). Continuous trading hours not affected — auction bolted on after the 16:00 close. CAS price band ±5% from the reference price. Passive/index funds heavy.</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Shanghai</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20 August 2018. Afternoon continuous trading shortened to end at 14:57, followed by a closing call auction 14:57–15:00 (market still closes at 15:00).</w:t>
            </w:r>
          </w:p>
        </w:tc>
      </w:tr>
    </w:tbl>
    <w:p>
      <w:pPr>
        <w:spacing w:after="80" w:line="276"/>
      </w:pPr>
      <w:r>
        <w:t xml:space="preserve"/>
      </w:r>
    </w:p>
    <w:p>
      <w:pPr>
        <w:spacing w:after="120" w:line="276"/>
      </w:pPr>
      <w:r>
        <w:t xml:space="preserve">India and Hong Kong are both passive/index-fund heavy, so they share the structural driver that grows closing-auction volume over time.</w:t>
      </w:r>
    </w:p>
    <w:p>
      <w:pPr>
        <w:spacing w:after="120" w:line="276"/>
      </w:pPr>
      <w:r>
        <w:t xml:space="preserve">India and Hong Kong both impose price bands; India's ±3% band is tighter than Hong Kong's ±5%, so day-1 auction volume could be capped more by order rejection.</w:t>
      </w:r>
    </w:p>
    <w:p>
      <w:pPr>
        <w:spacing w:after="120" w:line="276"/>
      </w:pPr>
      <w:r>
        <w:t xml:space="preserve">Decisive difference: Hong Kong kept the continuous tail intact and added the auction after it, whereas India and Shanghai shorten the continuous session. When the tail is kept, the auction must win volume by attraction, so the continuous tail empties (alpha falls). When the tail is shortened, the displaced volume is forced either into the auction or forward into the surviving tail (alpha rises). This keep-vs-shorten distinction — not the passive base or the band — is what determines the sign of the day-1 change in alpha.</w:t>
      </w:r>
    </w:p>
    <w:p>
      <w:pPr>
        <w:pStyle w:val="Heading2"/>
        <w:spacing w:after="120" w:line="276"/>
      </w:pPr>
      <w:r>
        <w:t xml:space="preserve">2) Volume transition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Market</w:t>
            </w:r>
          </w:p>
        </w:tc>
        <w:tc>
          <w:tcPr>
            <w:tcW w:type="dxa" w:w="78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spacing w:after="0" w:line="264"/>
            </w:pPr>
            <w:r>
              <w:rPr>
                <w:b/>
                <w:bCs/>
                <w:sz w:val="20"/>
                <w:szCs w:val="20"/>
              </w:rPr>
              <w:t xml:space="preserve">Observed pattern at/after launch</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Hong Kong</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Last-15-minutes volume migrated to the closing auction; the decline in volume in the rest of the continuous session was very small. Auction grew over time via voluntary migration (the auction matched the last-15-min continuous volume within about a year).</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Shanghai</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line="264"/>
            </w:pPr>
            <w:r>
              <w:rPr>
                <w:b w:val="false"/>
                <w:bCs w:val="false"/>
                <w:sz w:val="20"/>
                <w:szCs w:val="20"/>
              </w:rPr>
              <w:t xml:space="preserve">Trading volume in the last 3 minutes of continuous trading preceding the closing call increased, with elevated pre-close volatility — i.e. volume pulled forward into the surviving continuous minutes. The effect was strongest in small-cap stocks.</w:t>
            </w:r>
          </w:p>
        </w:tc>
      </w:tr>
    </w:tbl>
    <w:p>
      <w:pPr>
        <w:spacing w:after="80" w:line="276"/>
      </w:pPr>
      <w:r>
        <w:t xml:space="preserve"/>
      </w:r>
    </w:p>
    <w:p>
      <w:pPr>
        <w:spacing w:after="120" w:line="276"/>
      </w:pPr>
      <w:r>
        <w:t xml:space="preserve">Shanghai and Hong Kong show opposite volume-transition patterns, which is explained entirely by the keep-vs-shorten distinction above, not by their other (broadly similar) features.</w:t>
      </w:r>
    </w:p>
    <w:p>
      <w:pPr>
        <w:spacing w:after="120" w:line="276"/>
      </w:pPr>
      <w:r>
        <w:t xml:space="preserve">Because India's similarities with Hong Kong are mostly about the long-run level, while the shortening of the continuous session is the stronger day-1 force, the day-1 pattern for India should resemble Shanghai: trading volume in the surviving last 15 minutes of continuous trading should increase, lifting alpha above the 0.40 anchor. Shanghai's pull-forward was strongest in small-cap stocks, whereas India launches on stocks that have derivative contracts (the most liquid names), so the increase should be modest. This is consistent with the predicted day-1 seed of alpha ≈ 0.44 (range 0.42–0.45).</w:t>
      </w:r>
    </w:p>
    <w:p>
      <w:pPr>
        <w:spacing w:after="120" w:line="276"/>
      </w:pPr>
      <w:r>
        <w:rPr>
          <w:b/>
          <w:bCs/>
        </w:rPr>
        <w:t xml:space="preserve">Why not the markets SEBI cites: </w:t>
      </w:r>
      <w:r>
        <w:t xml:space="preserve">SEBI's consultation paper aligns India with NYSE, LSE, Euronext, HKEX and ASX. That list is the right reference for </w:t>
      </w:r>
      <w:r>
        <w:rPr>
          <w:i/>
          <w:iCs/>
        </w:rPr>
        <w:t xml:space="preserve">why</w:t>
      </w:r>
      <w:r>
        <w:t xml:space="preserve"> CAS exists (global consistency, reduced tracking error, serving passive funds), but every one of those markets uses an </w:t>
      </w:r>
      <w:r>
        <w:rPr>
          <w:i/>
          <w:iCs/>
        </w:rPr>
        <w:t xml:space="preserve">additive</w:t>
      </w:r>
      <w:r>
        <w:t xml:space="preserve"> design (continuous session kept, auction added on top). For predicting the day-1 volume split they sign alpha the wrong way. Shanghai and Shenzhen — which SEBI does not cite — shorten the continuous session as India does and are the correct technical analogue for the day-1 dynamics.</w:t>
      </w:r>
    </w:p>
    <w:p>
      <w:pPr>
        <w:pStyle w:val="Heading1"/>
        <w:spacing w:after="120" w:line="276"/>
      </w:pPr>
      <w:r>
        <w:t xml:space="preserve">IV. Updating alpha during the first days</w:t>
      </w:r>
    </w:p>
    <w:p>
      <w:pPr>
        <w:spacing w:after="120" w:line="276"/>
      </w:pPr>
      <w:r>
        <w:t xml:space="preserve">Once day 1 closes, a single realized alpha per stock is available, but it is the least representative day (maximum trust-lag) and is noisy. Update by shrinkage rather than replacement: alpha for day 2 = w · (day-1 realized) + (1 − w) · (prior), with a small weight w on day 2 that rises as more days accumulate.</w:t>
      </w:r>
    </w:p>
    <w:p>
      <w:pPr>
        <w:spacing w:after="120" w:line="276"/>
      </w:pPr>
      <w:r>
        <w:t xml:space="preserve">The most reliable day-1 signal is the cross-sectional median of (realized alpha − own pre-launch T/W ratio), estimated across all in-scope names — this replaces the assumed launch premium with an empirical one and confirms the sign (above 0.40 confirms the Shanghai-type direction; below 0.40 would indicate unexpectedly fast close-seeking adoption). Estimate the premium pooled across stocks; do not fit per-stock alphas off a single day. Exclude any name whose day 1 was a rebalance or expiry day.</w:t>
      </w:r>
    </w:p>
    <w:p>
      <w:pPr>
        <w:pStyle w:val="Heading1"/>
        <w:spacing w:after="120" w:line="276"/>
      </w:pPr>
      <w:r>
        <w:t xml:space="preserve">Appendix — Sources</w:t>
      </w:r>
    </w:p>
    <w:p>
      <w:pPr>
        <w:spacing w:after="40" w:line="276"/>
      </w:pPr>
      <w:r>
        <w:rPr>
          <w:b/>
          <w:bCs/>
        </w:rPr>
        <w:t xml:space="preserve">India</w:t>
      </w:r>
    </w:p>
    <w:p>
      <w:pPr>
        <w:spacing w:after="20" w:line="276"/>
      </w:pPr>
      <w:r>
        <w:t xml:space="preserve">Introduction of Closing Auction Session (CAS) in the Equity Cash Segment and certain modifications in the Pre-Open Auction Session</w:t>
      </w:r>
    </w:p>
    <w:p>
      <w:pPr>
        <w:spacing w:after="160"/>
      </w:pPr>
      <w:hyperlink w:history="1" r:id="rIdvxesruhqgfx1dq1kkjum3">
        <w:r>
          <w:rPr>
            <w:rStyle w:val="Hyperlink"/>
            <w:sz w:val="20"/>
            <w:szCs w:val="20"/>
          </w:rPr>
          <w:t xml:space="preserve">https://www.sebi.gov.in/legal/circulars/jan-2026/introduction-of-closing-auction-session-cas-in-the-equity-cash-segment-and-certain-modifications-in-the-pre-open-auction-session_99122.html</w:t>
        </w:r>
      </w:hyperlink>
    </w:p>
    <w:p>
      <w:pPr>
        <w:spacing w:after="40" w:line="276"/>
      </w:pPr>
      <w:r>
        <w:rPr>
          <w:b/>
          <w:bCs/>
        </w:rPr>
        <w:t xml:space="preserve">Shanghai</w:t>
      </w:r>
    </w:p>
    <w:p>
      <w:pPr>
        <w:spacing w:after="20" w:line="276"/>
      </w:pPr>
      <w:r>
        <w:t xml:space="preserve">Adjusted Market-closing Trading Mechanism to Come into Effect on Aug. 20</w:t>
      </w:r>
    </w:p>
    <w:p>
      <w:pPr>
        <w:spacing w:after="160"/>
      </w:pPr>
      <w:hyperlink w:history="1" r:id="rIdgancx22jc5lqbqacnlts3">
        <w:r>
          <w:rPr>
            <w:rStyle w:val="Hyperlink"/>
            <w:sz w:val="20"/>
            <w:szCs w:val="20"/>
          </w:rPr>
          <w:t xml:space="preserve">http://english.sse.com.cn/news/newsrelease/c/4947833.shtml</w:t>
        </w:r>
      </w:hyperlink>
    </w:p>
    <w:p>
      <w:pPr>
        <w:spacing w:after="40" w:line="276"/>
      </w:pPr>
      <w:r>
        <w:rPr>
          <w:b/>
          <w:bCs/>
        </w:rPr>
        <w:t xml:space="preserve">Hong Kong</w:t>
      </w:r>
    </w:p>
    <w:p>
      <w:pPr>
        <w:spacing w:after="20" w:line="276"/>
      </w:pPr>
      <w:r>
        <w:t xml:space="preserve">Closing Auction Session (CAS)</w:t>
      </w:r>
    </w:p>
    <w:p>
      <w:pPr>
        <w:spacing w:after="160"/>
      </w:pPr>
      <w:hyperlink w:history="1" r:id="rIdmnq4825clfgrufdacn51t">
        <w:r>
          <w:rPr>
            <w:rStyle w:val="Hyperlink"/>
            <w:sz w:val="20"/>
            <w:szCs w:val="20"/>
          </w:rPr>
          <w:t xml:space="preserve">https://www.hkex.com.hk/Global/Exchange/FAQ/Securities-Market/Trading/CAS?sc_lang=en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xesruhqgfx1dq1kkjum3" Type="http://schemas.openxmlformats.org/officeDocument/2006/relationships/hyperlink" Target="https://www.sebi.gov.in/legal/circulars/jan-2026/introduction-of-closing-auction-session-cas-in-the-equity-cash-segment-and-certain-modifications-in-the-pre-open-auction-session_99122.html" TargetMode="External"/><Relationship Id="rIdgancx22jc5lqbqacnlts3" Type="http://schemas.openxmlformats.org/officeDocument/2006/relationships/hyperlink" Target="http://english.sse.com.cn/news/newsrelease/c/4947833.shtml" TargetMode="External"/><Relationship Id="rIdmnq4825clfgrufdacn51t" Type="http://schemas.openxmlformats.org/officeDocument/2006/relationships/hyperlink" Target="https://www.hkex.com.hk/Global/Exchange/FAQ/Securities-Market/Trading/CAS?sc_lang=e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2026-06-05T02:38:15.167Z</dcterms:created>
  <dcterms:modified xsi:type="dcterms:W3CDTF">2026-06-05T02:38:15.167Z</dcterms:modified>
</cp:coreProperties>
</file>

<file path=docProps/custom.xml><?xml version="1.0" encoding="utf-8"?>
<Properties xmlns="http://schemas.openxmlformats.org/officeDocument/2006/custom-properties" xmlns:vt="http://schemas.openxmlformats.org/officeDocument/2006/docPropsVTypes"/>
</file>