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80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rFonts w:eastAsia="Arial" w:cs="Arial"/>
          <w:b/>
          <w:bCs/>
          <w:color w:val="9B1D6A"/>
          <w:sz w:val="80"/>
          <w:szCs w:val="80"/>
        </w:rPr>
        <w:t>AIPAF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color w:val="2E2E2E"/>
          <w:sz w:val="36"/>
          <w:szCs w:val="36"/>
        </w:rPr>
        <w:t>AI Project Assessment Framework</w:t>
      </w:r>
    </w:p>
    <w:p>
      <w:pPr>
        <w:pStyle w:val="Normal"/>
        <w:spacing w:before="160" w:after="80"/>
        <w:jc w:val="center"/>
        <w:rPr/>
      </w:pPr>
      <w:r>
        <w:rPr>
          <w:rFonts w:eastAsia="Arial" w:cs="Arial"/>
          <w:b/>
          <w:bCs/>
          <w:color w:val="2E2E2E"/>
          <w:sz w:val="48"/>
          <w:szCs w:val="48"/>
        </w:rPr>
        <w:t>Questionario di Intake &amp; Assessment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Sezione A — Project Card    |    Sezioni B–G — Valutazione D1÷D6    |    Sezione H — Score Composito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color w:val="555555"/>
          <w:sz w:val="20"/>
          <w:szCs w:val="20"/>
        </w:rPr>
        <w:t>Lorenzo Lombardi  —  Principal Data Architect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color w:val="555555"/>
          <w:sz w:val="20"/>
          <w:szCs w:val="20"/>
        </w:rPr>
        <w:t>Versione 1.0  —  Aprile 2026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9B1D6A"/>
        </w:pBdr>
        <w:spacing w:before="0" w:after="160"/>
        <w:rPr/>
      </w:pPr>
      <w:r>
        <w:rPr>
          <w:rFonts w:eastAsia="Arial" w:cs="Arial" w:ascii="Arial" w:hAnsi="Arial"/>
          <w:b/>
          <w:bCs/>
          <w:color w:val="9B1D6A"/>
          <w:sz w:val="36"/>
          <w:szCs w:val="36"/>
        </w:rPr>
        <w:t>Istruzioni per la compilazione</w:t>
      </w:r>
    </w:p>
    <w:p>
      <w:pPr>
        <w:pStyle w:val="Normal"/>
        <w:spacing w:before="0" w:after="120"/>
        <w:jc w:val="left"/>
        <w:rPr/>
      </w:pPr>
      <w:r>
        <w:rPr>
          <w:rFonts w:eastAsia="Arial" w:cs="Arial"/>
          <w:b w:val="false"/>
          <w:bCs w:val="false"/>
          <w:i w:val="false"/>
          <w:iCs w:val="false"/>
          <w:color w:val="2E2E2E"/>
          <w:sz w:val="20"/>
          <w:szCs w:val="20"/>
        </w:rPr>
        <w:t xml:space="preserve">Questo questionario è lo strumento operativo di Fase 1 (Intake) e Fase 2 (Assessment Multidimensionale) del processo AIPAF. </w:t>
      </w:r>
      <w:r>
        <w:rPr>
          <w:rFonts w:eastAsia="Arial" w:cs="Arial"/>
          <w:b/>
          <w:bCs/>
          <w:i w:val="false"/>
          <w:iCs w:val="false"/>
          <w:color w:val="2E2E2E"/>
          <w:sz w:val="20"/>
          <w:szCs w:val="20"/>
        </w:rPr>
        <w:t xml:space="preserve">Va compilato da un team cross-funzionale </w:t>
      </w:r>
      <w:r>
        <w:rPr>
          <w:rFonts w:eastAsia="Arial" w:cs="Arial"/>
          <w:b w:val="false"/>
          <w:bCs w:val="false"/>
          <w:i w:val="false"/>
          <w:iCs w:val="false"/>
          <w:color w:val="2E2E2E"/>
          <w:sz w:val="20"/>
          <w:szCs w:val="20"/>
        </w:rPr>
        <w:t>che includa, idealmente: business owner, data architect, legal/compliance, AI/ML engineer.</w:t>
      </w:r>
    </w:p>
    <w:p>
      <w:pPr>
        <w:pStyle w:val="Normal"/>
        <w:spacing w:before="0" w:after="120"/>
        <w:jc w:val="left"/>
        <w:rPr/>
      </w:pPr>
      <w:r>
        <w:rPr>
          <w:rFonts w:eastAsia="Arial" w:cs="Arial"/>
          <w:b w:val="false"/>
          <w:bCs w:val="false"/>
          <w:i w:val="false"/>
          <w:iCs w:val="false"/>
          <w:color w:val="2E2E2E"/>
          <w:sz w:val="20"/>
          <w:szCs w:val="20"/>
        </w:rPr>
        <w:t>Per ogni criterio è richiesto di: (1) rispondere alla domanda principale, (2) assegnare uno score 0–3, (3) indicare il livello di confidence H/M/L, (4) lasciare una nota con l'evidenza di supporto o il motivo del gap.</w:t>
      </w:r>
    </w:p>
    <w:p>
      <w:pPr>
        <w:pStyle w:val="Normal"/>
        <w:spacing w:before="160" w:after="120"/>
        <w:jc w:val="left"/>
        <w:rPr/>
      </w:pPr>
      <w:r>
        <w:rPr>
          <w:rFonts w:eastAsia="Arial" w:cs="Arial"/>
          <w:b/>
          <w:bCs/>
          <w:i w:val="false"/>
          <w:iCs w:val="false"/>
          <w:color w:val="2E2E2E"/>
          <w:sz w:val="20"/>
          <w:szCs w:val="20"/>
        </w:rPr>
        <w:t>Scala di scoring di riferimento: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256"/>
        <w:gridCol w:w="2256"/>
        <w:gridCol w:w="2257"/>
        <w:gridCol w:w="2256"/>
      </w:tblGrid>
      <w:tr>
        <w:trPr/>
        <w:tc>
          <w:tcPr>
            <w:tcW w:w="2256" w:type="dxa"/>
            <w:tcBorders>
              <w:top w:val="single" w:sz="6" w:space="0" w:color="375623"/>
              <w:left w:val="single" w:sz="6" w:space="0" w:color="375623"/>
              <w:bottom w:val="single" w:sz="6" w:space="0" w:color="375623"/>
              <w:right w:val="single" w:sz="6" w:space="0" w:color="375623"/>
            </w:tcBorders>
            <w:shd w:fill="375623" w:val="clear"/>
          </w:tcPr>
          <w:p>
            <w:pPr>
              <w:pStyle w:val="Normal"/>
              <w:spacing w:before="0" w:after="6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>3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  Excellent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>Criterio pienamente soddisfatto. Evidenze documentate. Pronto per audit.</w:t>
            </w:r>
          </w:p>
        </w:tc>
        <w:tc>
          <w:tcPr>
            <w:tcW w:w="2256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fill="1F4E79" w:val="clear"/>
          </w:tcPr>
          <w:p>
            <w:pPr>
              <w:pStyle w:val="Normal"/>
              <w:spacing w:before="0" w:after="6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>2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  Adequate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>Parzialmente soddisfatto. Gap identificati con remediation plan attivo.</w:t>
            </w:r>
          </w:p>
        </w:tc>
        <w:tc>
          <w:tcPr>
            <w:tcW w:w="2257" w:type="dxa"/>
            <w:tcBorders>
              <w:top w:val="single" w:sz="6" w:space="0" w:color="9B1D6A"/>
              <w:left w:val="single" w:sz="6" w:space="0" w:color="9B1D6A"/>
              <w:bottom w:val="single" w:sz="6" w:space="0" w:color="9B1D6A"/>
              <w:right w:val="single" w:sz="6" w:space="0" w:color="9B1D6A"/>
            </w:tcBorders>
            <w:shd w:fill="9B1D6A" w:val="clear"/>
          </w:tcPr>
          <w:p>
            <w:pPr>
              <w:pStyle w:val="Normal"/>
              <w:spacing w:before="0" w:after="6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>1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  Insufficient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>Gap significativi. Remediation necessario prima di procedere.</w:t>
            </w:r>
          </w:p>
        </w:tc>
        <w:tc>
          <w:tcPr>
            <w:tcW w:w="2256" w:type="dxa"/>
            <w:tcBorders>
              <w:top w:val="single" w:sz="6" w:space="0" w:color="C00000"/>
              <w:left w:val="single" w:sz="6" w:space="0" w:color="C00000"/>
              <w:bottom w:val="single" w:sz="6" w:space="0" w:color="C00000"/>
              <w:right w:val="single" w:sz="6" w:space="0" w:color="C00000"/>
            </w:tcBorders>
            <w:shd w:fill="C00000" w:val="clear"/>
          </w:tcPr>
          <w:p>
            <w:pPr>
              <w:pStyle w:val="Normal"/>
              <w:spacing w:before="0" w:after="6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>0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  Critical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>Non soddisfatto. Rischio elevato. Stop senza intervento sostanziale.</w:t>
            </w:r>
          </w:p>
        </w:tc>
      </w:tr>
    </w:tbl>
    <w:p>
      <w:pPr>
        <w:pStyle w:val="Normal"/>
        <w:spacing w:before="120" w:after="200"/>
        <w:jc w:val="left"/>
        <w:rPr/>
      </w:pPr>
      <w:r>
        <w:rPr>
          <w:rFonts w:eastAsia="Arial" w:cs="Arial"/>
          <w:b/>
          <w:bCs/>
          <w:i w:val="false"/>
          <w:iCs w:val="false"/>
          <w:color w:val="2E2E2E"/>
          <w:sz w:val="18"/>
          <w:szCs w:val="18"/>
        </w:rPr>
        <w:t xml:space="preserve">Confidence modifier: </w:t>
      </w:r>
      <w:r>
        <w:rPr>
          <w:rFonts w:eastAsia="Arial" w:cs="Arial"/>
          <w:b/>
          <w:bCs/>
          <w:i w:val="false"/>
          <w:iCs w:val="false"/>
          <w:color w:val="375623"/>
          <w:sz w:val="18"/>
          <w:szCs w:val="18"/>
        </w:rPr>
        <w:t>H</w:t>
      </w:r>
      <w:r>
        <w:rPr>
          <w:rFonts w:eastAsia="Arial" w:cs="Arial"/>
          <w:b w:val="false"/>
          <w:bCs w:val="false"/>
          <w:i w:val="false"/>
          <w:iCs w:val="false"/>
          <w:color w:val="2E2E2E"/>
          <w:sz w:val="18"/>
          <w:szCs w:val="18"/>
        </w:rPr>
        <w:t xml:space="preserve"> = evidenza documentata (score pieno)  |  </w:t>
      </w:r>
      <w:r>
        <w:rPr>
          <w:rFonts w:eastAsia="Arial" w:cs="Arial"/>
          <w:b/>
          <w:bCs/>
          <w:i w:val="false"/>
          <w:iCs w:val="false"/>
          <w:color w:val="1F4E79"/>
          <w:sz w:val="18"/>
          <w:szCs w:val="18"/>
        </w:rPr>
        <w:t>M</w:t>
      </w:r>
      <w:r>
        <w:rPr>
          <w:rFonts w:eastAsia="Arial" w:cs="Arial"/>
          <w:b w:val="false"/>
          <w:bCs w:val="false"/>
          <w:i w:val="false"/>
          <w:iCs w:val="false"/>
          <w:color w:val="2E2E2E"/>
          <w:sz w:val="18"/>
          <w:szCs w:val="18"/>
        </w:rPr>
        <w:t xml:space="preserve"> = auto-dichiarazione (score × 0.8)  |  </w:t>
      </w:r>
      <w:r>
        <w:rPr>
          <w:rFonts w:eastAsia="Arial" w:cs="Arial"/>
          <w:b/>
          <w:bCs/>
          <w:i w:val="false"/>
          <w:iCs w:val="false"/>
          <w:color w:val="C00000"/>
          <w:sz w:val="18"/>
          <w:szCs w:val="18"/>
        </w:rPr>
        <w:t>L</w:t>
      </w:r>
      <w:r>
        <w:rPr>
          <w:rFonts w:eastAsia="Arial" w:cs="Arial"/>
          <w:b w:val="false"/>
          <w:bCs w:val="false"/>
          <w:i w:val="false"/>
          <w:iCs w:val="false"/>
          <w:color w:val="2E2E2E"/>
          <w:sz w:val="18"/>
          <w:szCs w:val="18"/>
        </w:rPr>
        <w:t xml:space="preserve"> = stima o assenza di dato (score = 0, flag 'data needed')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9B1D6A"/>
        </w:pBdr>
        <w:spacing w:before="0" w:after="160"/>
        <w:rPr/>
      </w:pPr>
      <w:r>
        <w:rPr>
          <w:rFonts w:eastAsia="Arial" w:cs="Arial" w:ascii="Arial" w:hAnsi="Arial"/>
          <w:b/>
          <w:bCs/>
          <w:color w:val="9B1D6A"/>
          <w:sz w:val="36"/>
          <w:szCs w:val="36"/>
        </w:rPr>
        <w:t>Sezione A — Project Card &amp; Intake</w:t>
      </w:r>
    </w:p>
    <w:p>
      <w:pPr>
        <w:pStyle w:val="Normal"/>
        <w:spacing w:before="0" w:after="120"/>
        <w:jc w:val="left"/>
        <w:rPr/>
      </w:pPr>
      <w:r>
        <w:rPr>
          <w:rFonts w:eastAsia="Arial" w:cs="Arial"/>
          <w:b w:val="false"/>
          <w:bCs w:val="false"/>
          <w:i w:val="false"/>
          <w:iCs w:val="false"/>
          <w:color w:val="2E2E2E"/>
          <w:sz w:val="20"/>
          <w:szCs w:val="20"/>
        </w:rPr>
        <w:t>Compilare prima di avviare la valutazione dimensionale. Questi dati determinano la configurazione dei pesi settoriali e la classificazione EU AI Act preliminare.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600"/>
        <w:gridCol w:w="2599"/>
        <w:gridCol w:w="5827"/>
      </w:tblGrid>
      <w:tr>
        <w:trPr/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A1</w:t>
            </w:r>
          </w:p>
        </w:tc>
        <w:tc>
          <w:tcPr>
            <w:tcW w:w="25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Nome del progetto</w:t>
            </w:r>
          </w:p>
        </w:tc>
        <w:tc>
          <w:tcPr>
            <w:tcW w:w="58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Denominazione ufficiale o working title</w:t>
            </w:r>
          </w:p>
        </w:tc>
      </w:tr>
      <w:tr>
        <w:trPr/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A2</w:t>
            </w:r>
          </w:p>
        </w:tc>
        <w:tc>
          <w:tcPr>
            <w:tcW w:w="25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Business unit / Divisione</w:t>
            </w:r>
          </w:p>
        </w:tc>
        <w:tc>
          <w:tcPr>
            <w:tcW w:w="58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Unità organizzativa proponente</w:t>
            </w:r>
          </w:p>
        </w:tc>
      </w:tr>
      <w:tr>
        <w:trPr/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A3</w:t>
            </w:r>
          </w:p>
        </w:tc>
        <w:tc>
          <w:tcPr>
            <w:tcW w:w="25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Settore di appartenenza</w:t>
            </w:r>
          </w:p>
        </w:tc>
        <w:tc>
          <w:tcPr>
            <w:tcW w:w="58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Banking &amp; Finance  /  Healthcare  /  Manufacturing  /  Public Admin  /  Media &amp; Telecom  /  Altro: ___</w:t>
            </w:r>
          </w:p>
        </w:tc>
      </w:tr>
      <w:tr>
        <w:trPr/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A4</w:t>
            </w:r>
          </w:p>
        </w:tc>
        <w:tc>
          <w:tcPr>
            <w:tcW w:w="25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Descrizione dello use case</w:t>
            </w:r>
          </w:p>
        </w:tc>
        <w:tc>
          <w:tcPr>
            <w:tcW w:w="58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Descrizione sintetica (2-4 righe): problema, soluzione AI proposta, utenti target</w:t>
            </w:r>
          </w:p>
        </w:tc>
      </w:tr>
      <w:tr>
        <w:trPr/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A5</w:t>
            </w:r>
          </w:p>
        </w:tc>
        <w:tc>
          <w:tcPr>
            <w:tcW w:w="25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Tipo di sistema AI</w:t>
            </w:r>
          </w:p>
        </w:tc>
        <w:tc>
          <w:tcPr>
            <w:tcW w:w="58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Classificazione  /  Regressione  /  NLP / LLM  /  Computer Vision  /  Generativa  /  Raccomandazione  /  Altro: ___</w:t>
            </w:r>
          </w:p>
        </w:tc>
      </w:tr>
      <w:tr>
        <w:trPr/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A6</w:t>
            </w:r>
          </w:p>
        </w:tc>
        <w:tc>
          <w:tcPr>
            <w:tcW w:w="25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Dati trattati</w:t>
            </w:r>
          </w:p>
        </w:tc>
        <w:tc>
          <w:tcPr>
            <w:tcW w:w="58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Dati personali? Sì / No  —  Dati sensibili (art. 9 GDPR)? Sì / No  —  Dati di terzi? Sì / No</w:t>
            </w:r>
          </w:p>
        </w:tc>
      </w:tr>
      <w:tr>
        <w:trPr/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A7</w:t>
            </w:r>
          </w:p>
        </w:tc>
        <w:tc>
          <w:tcPr>
            <w:tcW w:w="25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Utenti finali</w:t>
            </w:r>
          </w:p>
        </w:tc>
        <w:tc>
          <w:tcPr>
            <w:tcW w:w="58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Numero stimato e tipologia (es. clienti retail, dipendenti, medici, cittadini...)</w:t>
            </w:r>
          </w:p>
        </w:tc>
      </w:tr>
      <w:tr>
        <w:trPr/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A8</w:t>
            </w:r>
          </w:p>
        </w:tc>
        <w:tc>
          <w:tcPr>
            <w:tcW w:w="25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Fase attuale del progetto</w:t>
            </w:r>
          </w:p>
        </w:tc>
        <w:tc>
          <w:tcPr>
            <w:tcW w:w="58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Idea / Progettazione  /  PoC in corso  /  MVP completato  /  In produzione</w:t>
            </w:r>
          </w:p>
        </w:tc>
      </w:tr>
      <w:tr>
        <w:trPr/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A9</w:t>
            </w:r>
          </w:p>
        </w:tc>
        <w:tc>
          <w:tcPr>
            <w:tcW w:w="25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Timeline prevista a produzione</w:t>
            </w:r>
          </w:p>
        </w:tc>
        <w:tc>
          <w:tcPr>
            <w:tcW w:w="58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Data stimata di go-live o di fine PoC</w:t>
            </w:r>
          </w:p>
        </w:tc>
      </w:tr>
      <w:tr>
        <w:trPr/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A10</w:t>
            </w:r>
          </w:p>
        </w:tc>
        <w:tc>
          <w:tcPr>
            <w:tcW w:w="25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Budget stimato (TCO)</w:t>
            </w:r>
          </w:p>
        </w:tc>
        <w:tc>
          <w:tcPr>
            <w:tcW w:w="58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Range indicativo (€) — incluse preparazione dati, infrastruttura, governance, licenze</w:t>
            </w:r>
          </w:p>
        </w:tc>
      </w:tr>
      <w:tr>
        <w:trPr/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A11</w:t>
            </w:r>
          </w:p>
        </w:tc>
        <w:tc>
          <w:tcPr>
            <w:tcW w:w="25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Project owner</w:t>
            </w:r>
          </w:p>
        </w:tc>
        <w:tc>
          <w:tcPr>
            <w:tcW w:w="58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Nome, ruolo, contatto</w:t>
            </w:r>
          </w:p>
        </w:tc>
      </w:tr>
      <w:tr>
        <w:trPr/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A12</w:t>
            </w:r>
          </w:p>
        </w:tc>
        <w:tc>
          <w:tcPr>
            <w:tcW w:w="25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Executive sponsor</w:t>
            </w:r>
          </w:p>
        </w:tc>
        <w:tc>
          <w:tcPr>
            <w:tcW w:w="58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Nome e ruolo dello sponsor esecutivo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 w:ascii="Arial" w:hAnsi="Arial"/>
          <w:b/>
          <w:bCs/>
          <w:color w:val="555555"/>
          <w:sz w:val="22"/>
          <w:szCs w:val="22"/>
        </w:rPr>
        <w:t>A13 — Classificazione EU AI Act preliminare</w:t>
      </w:r>
    </w:p>
    <w:p>
      <w:pPr>
        <w:pStyle w:val="Normal"/>
        <w:spacing w:before="0" w:after="120"/>
        <w:jc w:val="left"/>
        <w:rPr/>
      </w:pPr>
      <w:r>
        <w:rPr>
          <w:rFonts w:eastAsia="Arial" w:cs="Arial"/>
          <w:b w:val="false"/>
          <w:bCs w:val="false"/>
          <w:i w:val="false"/>
          <w:iCs w:val="false"/>
          <w:color w:val="2E2E2E"/>
          <w:sz w:val="18"/>
          <w:szCs w:val="18"/>
        </w:rPr>
        <w:t>Sulla base delle risposte A4–A7, indicare la classificazione di rischio preliminare. In caso di dubbio, applicare il livello più cautelativo.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799"/>
        <w:gridCol w:w="3000"/>
        <w:gridCol w:w="5227"/>
      </w:tblGrid>
      <w:tr>
        <w:trPr/>
        <w:tc>
          <w:tcPr>
            <w:tcW w:w="7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Livello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Categoria</w:t>
            </w:r>
          </w:p>
        </w:tc>
        <w:tc>
          <w:tcPr>
            <w:tcW w:w="52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Criteri di riconoscimento (semplificati)</w:t>
            </w:r>
          </w:p>
        </w:tc>
      </w:tr>
      <w:tr>
        <w:trPr/>
        <w:tc>
          <w:tcPr>
            <w:tcW w:w="7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☐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Inaccettabile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52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Pratiche vietate: subliminal manipulation, social scoring, real-time biometric in spazi pubblici (salvo eccezioni). → STOP obbligatorio.</w:t>
            </w:r>
          </w:p>
        </w:tc>
      </w:tr>
      <w:tr>
        <w:trPr/>
        <w:tc>
          <w:tcPr>
            <w:tcW w:w="7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☐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Alto Rischio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52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Sistemi in Allegato III EU AI Act: infrastrutture critiche, istruzione, occupazione, servizi essenziali, law enforcement, migrazione, giustizia.</w:t>
            </w:r>
          </w:p>
        </w:tc>
      </w:tr>
      <w:tr>
        <w:trPr/>
        <w:tc>
          <w:tcPr>
            <w:tcW w:w="7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☐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Rischio Limitato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52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Chatbot, sistemi generativi con obblighi di trasparenza verso l'utente. Nessun obbligo di conformità pesante.</w:t>
            </w:r>
          </w:p>
        </w:tc>
      </w:tr>
      <w:tr>
        <w:trPr/>
        <w:tc>
          <w:tcPr>
            <w:tcW w:w="7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☐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Rischio Minimo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52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Filtri spam, giochi AI, sistemi di raccomandazione non ad alto rischio. Nessun obbligo specifico EU AI Act.</w:t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6" w:space="0" w:color="FFFFFF"/>
        </w:pBdr>
        <w:shd w:val="clear" w:fill="1F4E79"/>
        <w:spacing w:before="0" w:after="160"/>
        <w:ind w:left="200" w:right="200"/>
        <w:rPr/>
      </w:pPr>
      <w:r>
        <w:rPr>
          <w:rFonts w:eastAsia="Arial" w:cs="Arial"/>
          <w:b/>
          <w:bCs/>
          <w:color w:val="FFFFFF"/>
          <w:sz w:val="28"/>
          <w:szCs w:val="28"/>
        </w:rPr>
        <w:t>B  ·  D1  ·  Strategic Alignment &amp; Business Value</w:t>
      </w:r>
    </w:p>
    <w:p>
      <w:pPr>
        <w:pStyle w:val="Normal"/>
        <w:spacing w:before="0" w:after="120"/>
        <w:jc w:val="left"/>
        <w:rPr/>
      </w:pPr>
      <w:r>
        <w:rPr>
          <w:rFonts w:eastAsia="Arial" w:cs="Arial"/>
          <w:b w:val="false"/>
          <w:bCs w:val="false"/>
          <w:i w:val="false"/>
          <w:iCs w:val="false"/>
          <w:color w:val="2E2E2E"/>
          <w:sz w:val="20"/>
          <w:szCs w:val="20"/>
        </w:rPr>
        <w:t>Valuta il grado di allineamento del progetto AI con la strategia aziendale e il valore di business atteso. Un business case debole o non documentato è il primo predittore di fallimento.</w:t>
      </w:r>
    </w:p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fill="1F4E79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Q1  Chiarezza del problema di business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25%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1F4E79"/>
              <w:bottom w:val="single" w:sz="2" w:space="0" w:color="EEEEEE"/>
              <w:right w:val="single" w:sz="2" w:space="0" w:color="EEEEEE"/>
            </w:tcBorders>
            <w:shd w:fill="BDD7EE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1F4E79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Il problema di business è definito con precisione? Esistono use case documentati con metriche di successo misurabili (KPI, SLA, accuracy target)?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Problema formalizzato, use case documentati, metriche di successo definite e condivise con il business owner.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Problema identificato a livello verbale; metriche parziali o ancora da validare con il business.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Problema vago o descritto solo in termini tecnici; assenza di metriche di successo.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Nessuna definizione del problema. Progetto "AI-first" senza problema reale identificato.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1F4E79"/>
              <w:bottom w:val="single" w:sz="6" w:space="0" w:color="1F4E79"/>
              <w:right w:val="single" w:sz="8" w:space="0" w:color="1F4E79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Allegare eventuale problem statement o business case disponibile.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fill="1F4E79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Q2  ROI atteso e misurabilità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25%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1F4E79"/>
              <w:bottom w:val="single" w:sz="2" w:space="0" w:color="EEEEEE"/>
              <w:right w:val="single" w:sz="2" w:space="0" w:color="EEEEEE"/>
            </w:tcBorders>
            <w:shd w:fill="BDD7EE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1F4E79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Esiste una proiezione quantitativa di ROI? Con quali metriche e in quale arco temporale? Il business case è stato validato da Finance o dal business owner?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ROI quantificato (€ o %), metriche tracciabili, validato da Finance. Baseline documentata.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Stima di ROI presente ma non validata formalmente; metriche di massima identificate.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ROI espresso in termini qualitativi ('miglioreremo l'efficienza') senza quantificazione.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Nessuna stima di ROI. Progetto avviato senza business case economico.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1F4E79"/>
              <w:bottom w:val="single" w:sz="6" w:space="0" w:color="1F4E79"/>
              <w:right w:val="single" w:sz="8" w:space="0" w:color="1F4E79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Indicare il valore stimato e l'arco temporale (es. €200k/anno, payback 18 mesi).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fill="1F4E79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Q3  Sponsorship e ownership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1F4E79"/>
              <w:bottom w:val="single" w:sz="2" w:space="0" w:color="EEEEEE"/>
              <w:right w:val="single" w:sz="2" w:space="0" w:color="EEEEEE"/>
            </w:tcBorders>
            <w:shd w:fill="BDD7EE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1F4E79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Esiste un executive sponsor nominato? Il business owner è identificato e ha dedicato tempo/risorse al progetto? Sono stati definiti ruoli e responsabilità formali?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Executive sponsor attivo con budget assegnato. Business owner coinvolto. Ruoli RACI formalizzati.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Sponsor nominato ma con coinvolgimento limitato; business owner informale.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Sponsorship vaga o delegata interamente all'IT; nessun owner di business formale.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Nessuno sponsor esecutivo. Progetto 'orfano' senza accountability di business.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1F4E79"/>
              <w:bottom w:val="single" w:sz="6" w:space="0" w:color="1F4E79"/>
              <w:right w:val="single" w:sz="8" w:space="0" w:color="1F4E79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Indicare nome e ruolo di sponsor e business owner.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fill="1F4E79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Q4  Coerenza con roadmap digitale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15%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1F4E79"/>
              <w:bottom w:val="single" w:sz="2" w:space="0" w:color="EEEEEE"/>
              <w:right w:val="single" w:sz="2" w:space="0" w:color="EEEEEE"/>
            </w:tcBorders>
            <w:shd w:fill="BDD7EE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1F4E79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Il progetto è inserito nella roadmap digitale/tecnologica ufficiale dell'organizzazione? È allineato con le priorità strategiche dichiarate (piano industriale, OKR aziendali)?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Progetto esplicitamente nella roadmap digitale con priorità assegnata e budget dedicato.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Allineamento generale con la strategia digitale ma non inserito in roadmap formale.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Progetto laterale, non citato in nessun documento strategico.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Progetto in contraddizione con le priorità strategiche dichiarate.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1F4E79"/>
              <w:bottom w:val="single" w:sz="6" w:space="0" w:color="1F4E79"/>
              <w:right w:val="single" w:sz="8" w:space="0" w:color="1F4E79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Citare il documento strategico di riferimento (piano industriale, OKR, roadmap IT).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fill="1F4E79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Q5  Impatto su KPI aziendali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15%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1F4E79"/>
              <w:bottom w:val="single" w:sz="2" w:space="0" w:color="EEEEEE"/>
              <w:right w:val="single" w:sz="2" w:space="0" w:color="EEEEEE"/>
            </w:tcBorders>
            <w:shd w:fill="BDD7EE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1F4E79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Il progetto ha un impatto misurabile su KPI aziendali rilevanti (revenue, riduzione costi, NPS, time-to-market, riduzione errori)? I KPI impattati sono monitorati?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KPI aziendali impattati identificati, baseline misurata, target definito, dashboard di monitoraggio prevista.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KPI identificati ma baseline non ancora misurata o target non formalizzati.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Impatto generico su 'efficienza' o 'qualità' senza KPI specifici.</w:t>
            </w:r>
          </w:p>
        </w:tc>
      </w:tr>
      <w:tr>
        <w:trPr/>
        <w:tc>
          <w:tcPr>
            <w:tcW w:w="159" w:type="dxa"/>
            <w:tcBorders>
              <w:left w:val="single" w:sz="8" w:space="0" w:color="1F4E79"/>
              <w:right w:val="single" w:sz="2" w:space="0" w:color="EEEEEE"/>
            </w:tcBorders>
            <w:shd w:fill="BDD7EE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F4E79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 KPI aziendale identificato. Valore di business non tracciabile.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1F4E79"/>
              <w:bottom w:val="single" w:sz="6" w:space="0" w:color="1F4E79"/>
              <w:right w:val="single" w:sz="8" w:space="0" w:color="1F4E79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Elencare i KPI impattati e i valori target attesi.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 w:ascii="Arial" w:hAnsi="Arial"/>
          <w:b/>
          <w:bCs/>
          <w:color w:val="555555"/>
          <w:sz w:val="22"/>
          <w:szCs w:val="22"/>
        </w:rPr>
        <w:t>Riepilogo scoring D1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4513"/>
        <w:gridCol w:w="899"/>
        <w:gridCol w:w="900"/>
        <w:gridCol w:w="900"/>
        <w:gridCol w:w="1814"/>
      </w:tblGrid>
      <w:tr>
        <w:trPr>
          <w:tblHeader w:val="true"/>
        </w:trPr>
        <w:tc>
          <w:tcPr>
            <w:tcW w:w="4513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fill="1F4E79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899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fill="1F4E79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Peso %</w:t>
            </w:r>
          </w:p>
        </w:tc>
        <w:tc>
          <w:tcPr>
            <w:tcW w:w="900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fill="1F4E79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Score (0-3)</w:t>
            </w:r>
          </w:p>
        </w:tc>
        <w:tc>
          <w:tcPr>
            <w:tcW w:w="900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fill="1F4E79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Conf.</w:t>
            </w:r>
          </w:p>
        </w:tc>
        <w:tc>
          <w:tcPr>
            <w:tcW w:w="1814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fill="1F4E79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Note / Evidenze</w:t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Chiarezza del problema di business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25%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ROI atteso e misurabilità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25%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Sponsorship e ownership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Coerenza con roadmap digitale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15%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Impatto su KPI aziendali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15%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Score D1 (media pesata)</w:t>
            </w:r>
          </w:p>
        </w:tc>
        <w:tc>
          <w:tcPr>
            <w:tcW w:w="899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fill="F0F0F0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100%</w:t>
            </w:r>
          </w:p>
        </w:tc>
        <w:tc>
          <w:tcPr>
            <w:tcW w:w="900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6" w:space="0" w:color="FFFFFF"/>
        </w:pBdr>
        <w:shd w:val="clear" w:fill="843C0C"/>
        <w:spacing w:before="0" w:after="160"/>
        <w:ind w:left="200" w:right="200"/>
        <w:rPr/>
      </w:pPr>
      <w:r>
        <w:rPr>
          <w:rFonts w:eastAsia="Arial" w:cs="Arial"/>
          <w:b/>
          <w:bCs/>
          <w:color w:val="FFFFFF"/>
          <w:sz w:val="28"/>
          <w:szCs w:val="28"/>
        </w:rPr>
        <w:t>C  ·  D2  ·  Risk Classification &amp; Regulatory Compliance</w:t>
      </w:r>
    </w:p>
    <w:p>
      <w:pPr>
        <w:pStyle w:val="Normal"/>
        <w:spacing w:before="0" w:after="120"/>
        <w:jc w:val="left"/>
        <w:rPr/>
      </w:pPr>
      <w:r>
        <w:rPr>
          <w:rFonts w:eastAsia="Arial" w:cs="Arial"/>
          <w:b w:val="false"/>
          <w:bCs w:val="false"/>
          <w:i w:val="false"/>
          <w:iCs w:val="false"/>
          <w:color w:val="2E2E2E"/>
          <w:sz w:val="20"/>
          <w:szCs w:val="20"/>
        </w:rPr>
        <w:t xml:space="preserve">Classifica il livello di rischio secondo l'EU AI Act e valuta la conformità regolatoria. </w:t>
      </w:r>
      <w:r>
        <w:rPr>
          <w:rFonts w:eastAsia="Arial" w:cs="Arial"/>
          <w:b/>
          <w:bCs/>
          <w:i w:val="false"/>
          <w:iCs w:val="false"/>
          <w:color w:val="843C0C"/>
          <w:sz w:val="20"/>
          <w:szCs w:val="20"/>
        </w:rPr>
        <w:t>Sanzioni potenziali fino al 7% del fatturato globale.</w:t>
      </w:r>
      <w:r>
        <w:rPr>
          <w:rFonts w:eastAsia="Arial" w:cs="Arial"/>
          <w:b w:val="false"/>
          <w:bCs w:val="false"/>
          <w:i w:val="false"/>
          <w:iCs w:val="false"/>
          <w:color w:val="2E2E2E"/>
          <w:sz w:val="20"/>
          <w:szCs w:val="20"/>
        </w:rPr>
        <w:t xml:space="preserve"> La classificazione errata di un sistema è essa stessa una violazione normativa.</w:t>
      </w:r>
    </w:p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843C0C"/>
              <w:left w:val="single" w:sz="6" w:space="0" w:color="843C0C"/>
              <w:bottom w:val="single" w:sz="6" w:space="0" w:color="843C0C"/>
              <w:right w:val="single" w:sz="6" w:space="0" w:color="843C0C"/>
            </w:tcBorders>
            <w:shd w:fill="843C0C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Q6  Classificazione rischio EU AI Act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30%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843C0C"/>
              <w:bottom w:val="single" w:sz="2" w:space="0" w:color="EEEEEE"/>
              <w:right w:val="single" w:sz="2" w:space="0" w:color="EEEEEE"/>
            </w:tcBorders>
            <w:shd w:fill="FCE4D6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843C0C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843C0C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Il sistema AI è stato classificato correttamente nei 4 livelli EU AI Act (inaccettabile / alto rischio / rischio limitato / rischio minimo)? Chi ha effettuato la classificazione e quando? La classificazione è documentata?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Classificazione formale documentata, eseguita o validata da Legal/Compliance, con riferimento esplicito agli articoli EU AI Act applicabili.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Classificazione effettuata internamente ma non ancora validata da Legal; documentazione parziale.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Classificazione informale o eseguita solo da profili tecnici senza conoscenza normativa.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Nessuna classificazione effettuata. Rischio normativo non valutato.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843C0C"/>
              <w:bottom w:val="single" w:sz="6" w:space="0" w:color="843C0C"/>
              <w:right w:val="single" w:sz="8" w:space="0" w:color="843C0C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Riportare il livello di rischio assegnato e il riferimento all'articolo EU AI Act.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843C0C"/>
              <w:left w:val="single" w:sz="6" w:space="0" w:color="843C0C"/>
              <w:bottom w:val="single" w:sz="6" w:space="0" w:color="843C0C"/>
              <w:right w:val="single" w:sz="6" w:space="0" w:color="843C0C"/>
            </w:tcBorders>
            <w:shd w:fill="843C0C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Q7  Conformità GDPR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25%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843C0C"/>
              <w:bottom w:val="single" w:sz="2" w:space="0" w:color="EEEEEE"/>
              <w:right w:val="single" w:sz="2" w:space="0" w:color="EEEEEE"/>
            </w:tcBorders>
            <w:shd w:fill="FCE4D6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843C0C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843C0C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Il progetto tratta dati personali? In caso affermativo: è stata condotta una DPIA (Data Protection Impact Assessment)? Sono applicati i principi di minimizzazione, limitazione della finalità e base giuridica del trattamento?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DPIA completata e approvata dal DPO. Base giuridica documentata. Minimizzazione e pseudonimizzazione implementate.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DPIA avviata ma non completata; o completata senza approvazione DPO. Privacy controls parziali.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Consapevolezza del tema GDPR ma nessuna azione formale intrapresa.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Tratta dati personali senza alcuna valutazione GDPR. Rischio legale immediato.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843C0C"/>
              <w:bottom w:val="single" w:sz="6" w:space="0" w:color="843C0C"/>
              <w:right w:val="single" w:sz="8" w:space="0" w:color="843C0C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N/A se il progetto non tratta dati personali (documentare questa conclusione).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843C0C"/>
              <w:left w:val="single" w:sz="6" w:space="0" w:color="843C0C"/>
              <w:bottom w:val="single" w:sz="6" w:space="0" w:color="843C0C"/>
              <w:right w:val="single" w:sz="6" w:space="0" w:color="843C0C"/>
            </w:tcBorders>
            <w:shd w:fill="843C0C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Q8  Obblighi settoriali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843C0C"/>
              <w:bottom w:val="single" w:sz="2" w:space="0" w:color="EEEEEE"/>
              <w:right w:val="single" w:sz="2" w:space="0" w:color="EEEEEE"/>
            </w:tcBorders>
            <w:shd w:fill="FCE4D6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843C0C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843C0C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Sono stati mappati tutti gli obblighi regolatori specifici del settore applicabili al progetto? (es. Banca d'Italia / EBA per banking; IVASS per assicurazioni; NIS2; normative settoriali specifiche?)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Mappa completa degli obblighi settoriali, con gap analysis e piano di compliance. Validata da Legal.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Principali obblighi identificati ma mappatura incompleta o non aggiornata.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Consapevolezza generica degli obblighi settoriali; nessuna mappatura formale.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Nessuna analisi degli obblighi settoriali. Operatività in settore regolato senza compliance check.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843C0C"/>
              <w:bottom w:val="single" w:sz="6" w:space="0" w:color="843C0C"/>
              <w:right w:val="single" w:sz="8" w:space="0" w:color="843C0C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Elencare le normative settoriali applicabili identificate.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843C0C"/>
              <w:left w:val="single" w:sz="6" w:space="0" w:color="843C0C"/>
              <w:bottom w:val="single" w:sz="6" w:space="0" w:color="843C0C"/>
              <w:right w:val="single" w:sz="6" w:space="0" w:color="843C0C"/>
            </w:tcBorders>
            <w:shd w:fill="843C0C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Q9  Risk Register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15%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843C0C"/>
              <w:bottom w:val="single" w:sz="2" w:space="0" w:color="EEEEEE"/>
              <w:right w:val="single" w:sz="2" w:space="0" w:color="EEEEEE"/>
            </w:tcBorders>
            <w:shd w:fill="FCE4D6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843C0C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843C0C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Esiste un risk register per il progetto AI? Contiene i rischi identificati con probabilità, impatto e piani di mitigazione? È aggiornato regolarmente?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Risk register formale con rischi classificati per probabilità/impatto, owner assegnato per ogni rischio, piani di mitigazione documentati e aggiornati.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Risk register presente ma con copertura parziale o aggiornamento irregolare.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Lista informale di rischi senza struttura né piani di mitigazione.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 risk register. Rischi non identificati formalmente.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843C0C"/>
              <w:bottom w:val="single" w:sz="6" w:space="0" w:color="843C0C"/>
              <w:right w:val="single" w:sz="8" w:space="0" w:color="843C0C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Allegare o citare il risk register di riferimento.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843C0C"/>
              <w:left w:val="single" w:sz="6" w:space="0" w:color="843C0C"/>
              <w:bottom w:val="single" w:sz="6" w:space="0" w:color="843C0C"/>
              <w:right w:val="single" w:sz="6" w:space="0" w:color="843C0C"/>
            </w:tcBorders>
            <w:shd w:fill="843C0C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Q10  Audit trail e documentazione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10%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843C0C"/>
              <w:bottom w:val="single" w:sz="2" w:space="0" w:color="EEEEEE"/>
              <w:right w:val="single" w:sz="2" w:space="0" w:color="EEEEEE"/>
            </w:tcBorders>
            <w:shd w:fill="FCE4D6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843C0C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843C0C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Il progetto dispone di documentazione tecnica conforme (model card, technical documentation, factsheet)? È predisposto un audit trail delle decisioni del sistema AI?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Documentazione tecnica completa (conforme ISO 42001 A.6.2.7), audit trail implementato e testato.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Documentazione parziale; audit trail in progettazione ma non ancora implementato.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Documentazione minima; nessun audit trail previsto.</w:t>
            </w:r>
          </w:p>
        </w:tc>
      </w:tr>
      <w:tr>
        <w:trPr/>
        <w:tc>
          <w:tcPr>
            <w:tcW w:w="159" w:type="dxa"/>
            <w:tcBorders>
              <w:left w:val="single" w:sz="8" w:space="0" w:color="843C0C"/>
              <w:right w:val="single" w:sz="2" w:space="0" w:color="EEEEEE"/>
            </w:tcBorders>
            <w:shd w:fill="FCE4D6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843C0C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Nessuna documentazione tecnica. Sistema non tracciabile.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843C0C"/>
              <w:bottom w:val="single" w:sz="6" w:space="0" w:color="843C0C"/>
              <w:right w:val="single" w:sz="8" w:space="0" w:color="843C0C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Indicare i documenti disponibili e il formato dell'audit trail.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 w:ascii="Arial" w:hAnsi="Arial"/>
          <w:b/>
          <w:bCs/>
          <w:color w:val="555555"/>
          <w:sz w:val="22"/>
          <w:szCs w:val="22"/>
        </w:rPr>
        <w:t>Riepilogo scoring D2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4513"/>
        <w:gridCol w:w="899"/>
        <w:gridCol w:w="900"/>
        <w:gridCol w:w="900"/>
        <w:gridCol w:w="1814"/>
      </w:tblGrid>
      <w:tr>
        <w:trPr>
          <w:tblHeader w:val="true"/>
        </w:trPr>
        <w:tc>
          <w:tcPr>
            <w:tcW w:w="4513" w:type="dxa"/>
            <w:tcBorders>
              <w:top w:val="single" w:sz="6" w:space="0" w:color="843C0C"/>
              <w:left w:val="single" w:sz="6" w:space="0" w:color="843C0C"/>
              <w:bottom w:val="single" w:sz="6" w:space="0" w:color="843C0C"/>
              <w:right w:val="single" w:sz="6" w:space="0" w:color="843C0C"/>
            </w:tcBorders>
            <w:shd w:fill="843C0C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899" w:type="dxa"/>
            <w:tcBorders>
              <w:top w:val="single" w:sz="6" w:space="0" w:color="843C0C"/>
              <w:left w:val="single" w:sz="6" w:space="0" w:color="843C0C"/>
              <w:bottom w:val="single" w:sz="6" w:space="0" w:color="843C0C"/>
              <w:right w:val="single" w:sz="6" w:space="0" w:color="843C0C"/>
            </w:tcBorders>
            <w:shd w:fill="843C0C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Peso %</w:t>
            </w:r>
          </w:p>
        </w:tc>
        <w:tc>
          <w:tcPr>
            <w:tcW w:w="900" w:type="dxa"/>
            <w:tcBorders>
              <w:top w:val="single" w:sz="6" w:space="0" w:color="843C0C"/>
              <w:left w:val="single" w:sz="6" w:space="0" w:color="843C0C"/>
              <w:bottom w:val="single" w:sz="6" w:space="0" w:color="843C0C"/>
              <w:right w:val="single" w:sz="6" w:space="0" w:color="843C0C"/>
            </w:tcBorders>
            <w:shd w:fill="843C0C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Score (0-3)</w:t>
            </w:r>
          </w:p>
        </w:tc>
        <w:tc>
          <w:tcPr>
            <w:tcW w:w="900" w:type="dxa"/>
            <w:tcBorders>
              <w:top w:val="single" w:sz="6" w:space="0" w:color="843C0C"/>
              <w:left w:val="single" w:sz="6" w:space="0" w:color="843C0C"/>
              <w:bottom w:val="single" w:sz="6" w:space="0" w:color="843C0C"/>
              <w:right w:val="single" w:sz="6" w:space="0" w:color="843C0C"/>
            </w:tcBorders>
            <w:shd w:fill="843C0C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Conf.</w:t>
            </w:r>
          </w:p>
        </w:tc>
        <w:tc>
          <w:tcPr>
            <w:tcW w:w="1814" w:type="dxa"/>
            <w:tcBorders>
              <w:top w:val="single" w:sz="6" w:space="0" w:color="843C0C"/>
              <w:left w:val="single" w:sz="6" w:space="0" w:color="843C0C"/>
              <w:bottom w:val="single" w:sz="6" w:space="0" w:color="843C0C"/>
              <w:right w:val="single" w:sz="6" w:space="0" w:color="843C0C"/>
            </w:tcBorders>
            <w:shd w:fill="843C0C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Note / Evidenze</w:t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Classificazione rischio EU AI Act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30%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Conformità GDPR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25%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Obblighi settoriali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Risk Register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15%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Audit trail e documentazione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10%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6" w:space="0" w:color="843C0C"/>
              <w:left w:val="single" w:sz="6" w:space="0" w:color="843C0C"/>
              <w:bottom w:val="single" w:sz="6" w:space="0" w:color="843C0C"/>
              <w:right w:val="single" w:sz="6" w:space="0" w:color="843C0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843C0C"/>
                <w:sz w:val="18"/>
                <w:szCs w:val="18"/>
              </w:rPr>
              <w:t>Score D2 (media pesata)</w:t>
            </w:r>
          </w:p>
        </w:tc>
        <w:tc>
          <w:tcPr>
            <w:tcW w:w="899" w:type="dxa"/>
            <w:tcBorders>
              <w:top w:val="single" w:sz="6" w:space="0" w:color="843C0C"/>
              <w:left w:val="single" w:sz="6" w:space="0" w:color="843C0C"/>
              <w:bottom w:val="single" w:sz="6" w:space="0" w:color="843C0C"/>
              <w:right w:val="single" w:sz="6" w:space="0" w:color="843C0C"/>
            </w:tcBorders>
            <w:shd w:fill="F0F0F0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843C0C"/>
                <w:sz w:val="18"/>
                <w:szCs w:val="18"/>
              </w:rPr>
              <w:t>100%</w:t>
            </w:r>
          </w:p>
        </w:tc>
        <w:tc>
          <w:tcPr>
            <w:tcW w:w="900" w:type="dxa"/>
            <w:tcBorders>
              <w:top w:val="single" w:sz="6" w:space="0" w:color="843C0C"/>
              <w:left w:val="single" w:sz="6" w:space="0" w:color="843C0C"/>
              <w:bottom w:val="single" w:sz="6" w:space="0" w:color="843C0C"/>
              <w:right w:val="single" w:sz="6" w:space="0" w:color="843C0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6" w:space="0" w:color="843C0C"/>
              <w:left w:val="single" w:sz="6" w:space="0" w:color="843C0C"/>
              <w:bottom w:val="single" w:sz="6" w:space="0" w:color="843C0C"/>
              <w:right w:val="single" w:sz="6" w:space="0" w:color="843C0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6" w:space="0" w:color="843C0C"/>
              <w:left w:val="single" w:sz="6" w:space="0" w:color="843C0C"/>
              <w:bottom w:val="single" w:sz="6" w:space="0" w:color="843C0C"/>
              <w:right w:val="single" w:sz="6" w:space="0" w:color="843C0C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6" w:space="0" w:color="FFFFFF"/>
        </w:pBdr>
        <w:shd w:val="clear" w:fill="375623"/>
        <w:spacing w:before="0" w:after="160"/>
        <w:ind w:left="200" w:right="200"/>
        <w:rPr/>
      </w:pPr>
      <w:r>
        <w:rPr>
          <w:rFonts w:eastAsia="Arial" w:cs="Arial"/>
          <w:b/>
          <w:bCs/>
          <w:color w:val="FFFFFF"/>
          <w:sz w:val="28"/>
          <w:szCs w:val="28"/>
        </w:rPr>
        <w:t>D  ·  D3  ·  Data Readiness &amp; Governance</w:t>
      </w:r>
    </w:p>
    <w:p>
      <w:pPr>
        <w:pStyle w:val="Normal"/>
        <w:spacing w:before="0" w:after="120"/>
        <w:jc w:val="left"/>
        <w:rPr/>
      </w:pPr>
      <w:r>
        <w:rPr>
          <w:rFonts w:eastAsia="Arial" w:cs="Arial"/>
          <w:b w:val="false"/>
          <w:bCs w:val="false"/>
          <w:i w:val="false"/>
          <w:iCs w:val="false"/>
          <w:color w:val="2E2E2E"/>
          <w:sz w:val="20"/>
          <w:szCs w:val="20"/>
        </w:rPr>
        <w:t>La maggior parte dei fallimenti AI è riconducibile a problemi di dati, non di modelli. Questa dimensione è il predittore più affidabile di successo operativo.</w:t>
      </w:r>
    </w:p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375623"/>
              <w:left w:val="single" w:sz="6" w:space="0" w:color="375623"/>
              <w:bottom w:val="single" w:sz="6" w:space="0" w:color="375623"/>
              <w:right w:val="single" w:sz="6" w:space="0" w:color="375623"/>
            </w:tcBorders>
            <w:shd w:fill="375623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Q11  Qualità dei dati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25%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375623"/>
              <w:bottom w:val="single" w:sz="2" w:space="0" w:color="EEEEEE"/>
              <w:right w:val="single" w:sz="2" w:space="0" w:color="EEEEEE"/>
            </w:tcBorders>
            <w:shd w:fill="E2EFDA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375623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Sono state eseguite misurazioni formali di qualità dei dati (completezza, accuratezza, consistenza, unicità)? Esistono metriche DQ documentate? Su quali dataset di training e inference?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Profiling DQ eseguito con metriche documentate su tutti i dataset rilevanti. Score DQ superiore alle soglie definite per il caso d'uso.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Profiling parziale su subset dei dati; metriche disponibili ma non sistematiche.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Qualità valutata informalmente ('i dati sembrano buoni') senza misurazioni formali.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 profiling DQ eseguito. Qualità dei dati ignota.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375623"/>
              <w:bottom w:val="single" w:sz="6" w:space="0" w:color="375623"/>
              <w:right w:val="single" w:sz="8" w:space="0" w:color="375623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Indicare lo strumento usato per il profiling (es. IDMC, Great Expectations, dbt) e le metriche principali.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375623"/>
              <w:left w:val="single" w:sz="6" w:space="0" w:color="375623"/>
              <w:bottom w:val="single" w:sz="6" w:space="0" w:color="375623"/>
              <w:right w:val="single" w:sz="6" w:space="0" w:color="375623"/>
            </w:tcBorders>
            <w:shd w:fill="375623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Q12  Disponibilità, accessibilità e rilevanza temporale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375623"/>
              <w:bottom w:val="single" w:sz="2" w:space="0" w:color="EEEEEE"/>
              <w:right w:val="single" w:sz="2" w:space="0" w:color="EEEEEE"/>
            </w:tcBorders>
            <w:shd w:fill="E2EFDA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375623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I dati necessari sono già accessibili nelle tempistiche del progetto? Qual è la finestra temporale disponibile vs. quella necessaria? I requisiti di freshness (aggiornamento) dei dati sono coerenti con il caso d'uso?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Dati disponibili e accessibili. Finestra temporale adeguata. Freshness documentata e verificata coerente con i requisiti del caso d'uso.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Dati disponibili ma con vincoli di accesso o finestra temporale parzialmente adeguata. Freshness non ancora validata.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Dati parzialmente disponibili; richiesti accordi o integrazioni non ancora definiti.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Dati non disponibili o con latenza/finestra temporale incompatibile con il caso d'uso.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375623"/>
              <w:bottom w:val="single" w:sz="6" w:space="0" w:color="375623"/>
              <w:right w:val="single" w:sz="8" w:space="0" w:color="375623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Specificare la frequenza di aggiornamento richiesta e quella disponibile (es. real-time, daily, monthly).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375623"/>
              <w:left w:val="single" w:sz="6" w:space="0" w:color="375623"/>
              <w:bottom w:val="single" w:sz="6" w:space="0" w:color="375623"/>
              <w:right w:val="single" w:sz="6" w:space="0" w:color="375623"/>
            </w:tcBorders>
            <w:shd w:fill="375623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Q13  Metadata management, lineage e catalogazione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375623"/>
              <w:bottom w:val="single" w:sz="2" w:space="0" w:color="EEEEEE"/>
              <w:right w:val="single" w:sz="2" w:space="0" w:color="EEEEEE"/>
            </w:tcBorders>
            <w:shd w:fill="E2EFDA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375623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I dataset utilizzati sono catalogati in un enterprise data catalog? Il lineage end-to-end (dalle sorgenti al modello) è documentato? Esistono metadati business e tecnici strutturati?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Dataset catalogati (es. IDMC/EDC, Collibra, Alation). Lineage end-to-end documentato. Metadati business e tecnici completi.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Catalogazione parziale; lineage documentato solo per alcune sorgenti. Metadati incompleti.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 catalogo formale; documentazione lineage ad hoc o in documenti non strutturati.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 metadata management. Lineage non tracciato. Dati non catalogati.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375623"/>
              <w:bottom w:val="single" w:sz="6" w:space="0" w:color="375623"/>
              <w:right w:val="single" w:sz="8" w:space="0" w:color="375623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Indicare il tool di catalogazione utilizzato e lo stato del lineage.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375623"/>
              <w:left w:val="single" w:sz="6" w:space="0" w:color="375623"/>
              <w:bottom w:val="single" w:sz="6" w:space="0" w:color="375623"/>
              <w:right w:val="single" w:sz="6" w:space="0" w:color="375623"/>
            </w:tcBorders>
            <w:shd w:fill="375623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Q14  Privacy by design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375623"/>
              <w:bottom w:val="single" w:sz="2" w:space="0" w:color="EEEEEE"/>
              <w:right w:val="single" w:sz="2" w:space="0" w:color="EEEEEE"/>
            </w:tcBorders>
            <w:shd w:fill="E2EFDA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375623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Sono applicate tecniche di privacy by design/default sui dati di training e inference? Dove necessario, sono implementate pseudonimizzazione, anonimizzazione o tecniche di privacy-preserving ML?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Privacy by design applicata sistematicamente. Pseudonimizzazione/anonimizzazione implementata dove necessario e documentata. Conformità art. 25 GDPR verificata.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Privacy by design applicata su alcuni dataset ma non sistematicamente; pseudonimizzazione parziale.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Consapevolezza del principio ma nessuna misura tecnica implementata.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Dati personali/sensibili usati senza alcuna misura di privacy by design.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375623"/>
              <w:bottom w:val="single" w:sz="6" w:space="0" w:color="375623"/>
              <w:right w:val="single" w:sz="8" w:space="0" w:color="375623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Indicare le tecniche applicate (es. pseudonimizzazione, differential privacy, federated learning).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375623"/>
              <w:left w:val="single" w:sz="6" w:space="0" w:color="375623"/>
              <w:bottom w:val="single" w:sz="6" w:space="0" w:color="375623"/>
              <w:right w:val="single" w:sz="6" w:space="0" w:color="375623"/>
            </w:tcBorders>
            <w:shd w:fill="375623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Q15  Data contracts e SLA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15%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375623"/>
              <w:bottom w:val="single" w:sz="2" w:space="0" w:color="EEEEEE"/>
              <w:right w:val="single" w:sz="2" w:space="0" w:color="EEEEEE"/>
            </w:tcBorders>
            <w:shd w:fill="E2EFDA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375623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Esistono data contracts formali con i fornitori/produttori dei dati? Includono SLA misurabili su qualità, freshness (con soglie esplicite) e availability? Sono monitorati?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Data contracts formalizzati con SLA espliciti (es. completezza ≥98%, latenza ≤1h, availability ≥99.5%). Monitoring automatico delle violazioni.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Accordi informali o SLA definiti ma non ancora monitorati sistematicamente.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 data contract formale; SLA negoziati verbalmente o non definiti.</w:t>
            </w:r>
          </w:p>
        </w:tc>
      </w:tr>
      <w:tr>
        <w:trPr/>
        <w:tc>
          <w:tcPr>
            <w:tcW w:w="159" w:type="dxa"/>
            <w:tcBorders>
              <w:left w:val="single" w:sz="8" w:space="0" w:color="375623"/>
              <w:right w:val="single" w:sz="2" w:space="0" w:color="EEEEEE"/>
            </w:tcBorders>
            <w:shd w:fill="E2EFDA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375623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Dati consumati senza alcun accordo su qualità o disponibilità. Dipendenza non governata.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375623"/>
              <w:bottom w:val="single" w:sz="6" w:space="0" w:color="375623"/>
              <w:right w:val="single" w:sz="8" w:space="0" w:color="375623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Riportare i KPI principali dei data contracts (freshness threshold, availability SLA).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 w:ascii="Arial" w:hAnsi="Arial"/>
          <w:b/>
          <w:bCs/>
          <w:color w:val="555555"/>
          <w:sz w:val="22"/>
          <w:szCs w:val="22"/>
        </w:rPr>
        <w:t>Riepilogo scoring D3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4513"/>
        <w:gridCol w:w="899"/>
        <w:gridCol w:w="900"/>
        <w:gridCol w:w="900"/>
        <w:gridCol w:w="1814"/>
      </w:tblGrid>
      <w:tr>
        <w:trPr>
          <w:tblHeader w:val="true"/>
        </w:trPr>
        <w:tc>
          <w:tcPr>
            <w:tcW w:w="4513" w:type="dxa"/>
            <w:tcBorders>
              <w:top w:val="single" w:sz="6" w:space="0" w:color="375623"/>
              <w:left w:val="single" w:sz="6" w:space="0" w:color="375623"/>
              <w:bottom w:val="single" w:sz="6" w:space="0" w:color="375623"/>
              <w:right w:val="single" w:sz="6" w:space="0" w:color="375623"/>
            </w:tcBorders>
            <w:shd w:fill="375623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899" w:type="dxa"/>
            <w:tcBorders>
              <w:top w:val="single" w:sz="6" w:space="0" w:color="375623"/>
              <w:left w:val="single" w:sz="6" w:space="0" w:color="375623"/>
              <w:bottom w:val="single" w:sz="6" w:space="0" w:color="375623"/>
              <w:right w:val="single" w:sz="6" w:space="0" w:color="375623"/>
            </w:tcBorders>
            <w:shd w:fill="375623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Peso %</w:t>
            </w:r>
          </w:p>
        </w:tc>
        <w:tc>
          <w:tcPr>
            <w:tcW w:w="900" w:type="dxa"/>
            <w:tcBorders>
              <w:top w:val="single" w:sz="6" w:space="0" w:color="375623"/>
              <w:left w:val="single" w:sz="6" w:space="0" w:color="375623"/>
              <w:bottom w:val="single" w:sz="6" w:space="0" w:color="375623"/>
              <w:right w:val="single" w:sz="6" w:space="0" w:color="375623"/>
            </w:tcBorders>
            <w:shd w:fill="375623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Score (0-3)</w:t>
            </w:r>
          </w:p>
        </w:tc>
        <w:tc>
          <w:tcPr>
            <w:tcW w:w="900" w:type="dxa"/>
            <w:tcBorders>
              <w:top w:val="single" w:sz="6" w:space="0" w:color="375623"/>
              <w:left w:val="single" w:sz="6" w:space="0" w:color="375623"/>
              <w:bottom w:val="single" w:sz="6" w:space="0" w:color="375623"/>
              <w:right w:val="single" w:sz="6" w:space="0" w:color="375623"/>
            </w:tcBorders>
            <w:shd w:fill="375623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Conf.</w:t>
            </w:r>
          </w:p>
        </w:tc>
        <w:tc>
          <w:tcPr>
            <w:tcW w:w="1814" w:type="dxa"/>
            <w:tcBorders>
              <w:top w:val="single" w:sz="6" w:space="0" w:color="375623"/>
              <w:left w:val="single" w:sz="6" w:space="0" w:color="375623"/>
              <w:bottom w:val="single" w:sz="6" w:space="0" w:color="375623"/>
              <w:right w:val="single" w:sz="6" w:space="0" w:color="375623"/>
            </w:tcBorders>
            <w:shd w:fill="375623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Note / Evidenze</w:t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Qualità dei dati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25%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Disponibilità, accessibilità e rilevanza temporale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Metadata management, lineage e catalogazione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Privacy by design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Data contracts e SLA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15%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6" w:space="0" w:color="375623"/>
              <w:left w:val="single" w:sz="6" w:space="0" w:color="375623"/>
              <w:bottom w:val="single" w:sz="6" w:space="0" w:color="375623"/>
              <w:right w:val="single" w:sz="6" w:space="0" w:color="375623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Score D3 (media pesata)</w:t>
            </w:r>
          </w:p>
        </w:tc>
        <w:tc>
          <w:tcPr>
            <w:tcW w:w="899" w:type="dxa"/>
            <w:tcBorders>
              <w:top w:val="single" w:sz="6" w:space="0" w:color="375623"/>
              <w:left w:val="single" w:sz="6" w:space="0" w:color="375623"/>
              <w:bottom w:val="single" w:sz="6" w:space="0" w:color="375623"/>
              <w:right w:val="single" w:sz="6" w:space="0" w:color="375623"/>
            </w:tcBorders>
            <w:shd w:fill="F0F0F0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100%</w:t>
            </w:r>
          </w:p>
        </w:tc>
        <w:tc>
          <w:tcPr>
            <w:tcW w:w="900" w:type="dxa"/>
            <w:tcBorders>
              <w:top w:val="single" w:sz="6" w:space="0" w:color="375623"/>
              <w:left w:val="single" w:sz="6" w:space="0" w:color="375623"/>
              <w:bottom w:val="single" w:sz="6" w:space="0" w:color="375623"/>
              <w:right w:val="single" w:sz="6" w:space="0" w:color="375623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6" w:space="0" w:color="375623"/>
              <w:left w:val="single" w:sz="6" w:space="0" w:color="375623"/>
              <w:bottom w:val="single" w:sz="6" w:space="0" w:color="375623"/>
              <w:right w:val="single" w:sz="6" w:space="0" w:color="375623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6" w:space="0" w:color="375623"/>
              <w:left w:val="single" w:sz="6" w:space="0" w:color="375623"/>
              <w:bottom w:val="single" w:sz="6" w:space="0" w:color="375623"/>
              <w:right w:val="single" w:sz="6" w:space="0" w:color="375623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6" w:space="0" w:color="FFFFFF"/>
        </w:pBdr>
        <w:shd w:val="clear" w:fill="4A235A"/>
        <w:spacing w:before="0" w:after="160"/>
        <w:ind w:left="200" w:right="200"/>
        <w:rPr/>
      </w:pPr>
      <w:r>
        <w:rPr>
          <w:rFonts w:eastAsia="Arial" w:cs="Arial"/>
          <w:b/>
          <w:bCs/>
          <w:color w:val="FFFFFF"/>
          <w:sz w:val="28"/>
          <w:szCs w:val="28"/>
        </w:rPr>
        <w:t>E  ·  D4  ·  Technical Feasibility &amp; Architecture</w:t>
      </w:r>
    </w:p>
    <w:p>
      <w:pPr>
        <w:pStyle w:val="Normal"/>
        <w:spacing w:before="0" w:after="120"/>
        <w:jc w:val="left"/>
        <w:rPr/>
      </w:pPr>
      <w:r>
        <w:rPr>
          <w:rFonts w:eastAsia="Arial" w:cs="Arial"/>
          <w:b w:val="false"/>
          <w:bCs w:val="false"/>
          <w:i w:val="false"/>
          <w:iCs w:val="false"/>
          <w:color w:val="2E2E2E"/>
          <w:sz w:val="20"/>
          <w:szCs w:val="20"/>
        </w:rPr>
        <w:t>Valuta la fattibilità tecnica reale del progetto, dall'architettura alla scalabilità. Include il criterio critico dell'efficacia marginale dell'AI rispetto a soluzioni tradizionali.</w:t>
      </w:r>
    </w:p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4A235A"/>
              <w:left w:val="single" w:sz="6" w:space="0" w:color="4A235A"/>
              <w:bottom w:val="single" w:sz="6" w:space="0" w:color="4A235A"/>
              <w:right w:val="single" w:sz="6" w:space="0" w:color="4A235A"/>
            </w:tcBorders>
            <w:shd w:fill="4A235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Q16  Maturità del modello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4A235A"/>
              <w:bottom w:val="single" w:sz="2" w:space="0" w:color="EEEEEE"/>
              <w:right w:val="single" w:sz="2" w:space="0" w:color="EEEEEE"/>
            </w:tcBorders>
            <w:shd w:fill="E8D5F5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4A235A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4A235A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Qual è lo stato attuale del modello (idea, PoC, MVP, produzione)? È coerente con gli obiettivi dichiarati e la timeline? Sono stati eseguiti test di validazione?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Modello in MVP o produzione con test di validazione documentati e metriche di performance misurate. Timeline coerente.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PoC completato con risultati promettenti ma non ancora validato su dati di produzione.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Idea o PoC embrionale con risultati preliminari non robusti. Timeline ottimistica.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 modello sviluppato. Fattibilità tecnica non verificata.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4A235A"/>
              <w:bottom w:val="single" w:sz="6" w:space="0" w:color="4A235A"/>
              <w:right w:val="single" w:sz="8" w:space="0" w:color="4A235A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Indicare le metriche di performance raggiunte (es. accuracy, F1, RMSE) e i dataset usati per la validazione.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4A235A"/>
              <w:left w:val="single" w:sz="6" w:space="0" w:color="4A235A"/>
              <w:bottom w:val="single" w:sz="6" w:space="0" w:color="4A235A"/>
              <w:right w:val="single" w:sz="6" w:space="0" w:color="4A235A"/>
            </w:tcBorders>
            <w:shd w:fill="4A235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Q17  Scalabilità e performance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4A235A"/>
              <w:bottom w:val="single" w:sz="2" w:space="0" w:color="EEEEEE"/>
              <w:right w:val="single" w:sz="2" w:space="0" w:color="EEEEEE"/>
            </w:tcBorders>
            <w:shd w:fill="E8D5F5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4A235A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4A235A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L'architettura è in grado di supportare i volumi di produzione attesi (richieste/secondo, dimensione dei batch, latenza richiesta)? Sono stati condotti stress test o benchmark di carico?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Architettura progettata per produzione. Stress test eseguiti con risultati entro i limiti. SLA di latenza definiti e verificati.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Architettura scalabile in linea teorica; stress test non ancora eseguiti ma piano previsto.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Architettura PoC non pensata per la scala; requisiti di produzione non ancora analizzati.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Nessuna considerazione di scalabilità. Architettura monolitica non estendibile.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4A235A"/>
              <w:bottom w:val="single" w:sz="6" w:space="0" w:color="4A235A"/>
              <w:right w:val="single" w:sz="8" w:space="0" w:color="4A235A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Indicare i volumi di produzione attesi (req/sec, batch size) e i risultati dei test disponibili.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4A235A"/>
              <w:left w:val="single" w:sz="6" w:space="0" w:color="4A235A"/>
              <w:bottom w:val="single" w:sz="6" w:space="0" w:color="4A235A"/>
              <w:right w:val="single" w:sz="6" w:space="0" w:color="4A235A"/>
            </w:tcBorders>
            <w:shd w:fill="4A235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Q18  Integrabilità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4A235A"/>
              <w:bottom w:val="single" w:sz="2" w:space="0" w:color="EEEEEE"/>
              <w:right w:val="single" w:sz="2" w:space="0" w:color="EEEEEE"/>
            </w:tcBorders>
            <w:shd w:fill="E8D5F5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4A235A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4A235A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Il sistema AI è integrabile con l'ecosistema esistente (API aziendali, piattaforme dati, CI/CD, strumenti di monitoring)? Le dipendenze sono state mappate e i rischi di integrazione valutati?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Integrazione pianificata e testata. API contrattualizzate. Pipeline CI/CD per il modello definita. Dipendenze mappate e gestite.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Dipendenze identificate; integrazione progettata ma non ancora testata.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Integrazione non ancora analizzata; rischi di compatibilità non valutati.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Sistema isolato senza piano di integrazione. Silo tecnico.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4A235A"/>
              <w:bottom w:val="single" w:sz="6" w:space="0" w:color="4A235A"/>
              <w:right w:val="single" w:sz="8" w:space="0" w:color="4A235A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Elencare le principali integrazioni richieste e lo stato di ciascuna.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4A235A"/>
              <w:left w:val="single" w:sz="6" w:space="0" w:color="4A235A"/>
              <w:bottom w:val="single" w:sz="6" w:space="0" w:color="4A235A"/>
              <w:right w:val="single" w:sz="6" w:space="0" w:color="4A235A"/>
            </w:tcBorders>
            <w:shd w:fill="4A235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Q19  Spiegabilità e riproducibilità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4A235A"/>
              <w:bottom w:val="single" w:sz="2" w:space="0" w:color="EEEEEE"/>
              <w:right w:val="single" w:sz="2" w:space="0" w:color="EEEEEE"/>
            </w:tcBorders>
            <w:shd w:fill="E8D5F5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4A235A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4A235A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I risultati del modello sono spiegabili (explainability)? Le decisioni sono riproducibili con la stessa configurazione? Sono documentate le scelte architetturali e i parametri chiave?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Explainability implementata (es. SHAP, LIME, attention maps). Risultati riproducibili con seed e versioning. Documentazione tecnica completa.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Spiegabilità parziale (es. feature importance disponibile). Riproducibilità garantita per i casi principali.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Modello 'black box' senza meccanismi di spiegabilità. Riproducibilità non verificata.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Nessuna spiegabilità, nessun versioning, nessuna documentazione. Non auditabile.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4A235A"/>
              <w:bottom w:val="single" w:sz="6" w:space="0" w:color="4A235A"/>
              <w:right w:val="single" w:sz="8" w:space="0" w:color="4A235A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Indicare la tecnica di explainability adottata e il tool di experiment tracking (es. MLflow, W&amp;B).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4A235A"/>
              <w:left w:val="single" w:sz="6" w:space="0" w:color="4A235A"/>
              <w:bottom w:val="single" w:sz="6" w:space="0" w:color="4A235A"/>
              <w:right w:val="single" w:sz="6" w:space="0" w:color="4A235A"/>
            </w:tcBorders>
            <w:shd w:fill="4A235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Q20  Costi infrastrutturali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10%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4A235A"/>
              <w:bottom w:val="single" w:sz="2" w:space="0" w:color="EEEEEE"/>
              <w:right w:val="single" w:sz="2" w:space="0" w:color="EEEEEE"/>
            </w:tcBorders>
            <w:shd w:fill="E8D5F5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4A235A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4A235A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I costi di compute, storage e licenze sono stati stimati in modo realistico? Il TCO include voci 'invisibili' (preparazione dati, governance, change management)? Il modello di allocazione dei costi è trasparente?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TCO completo stimato e validato, incluse voci invisibili (cfr. iKN/Casaleggio 2026). Budget approvato. Modello di allocazione documentato.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Stima TCO disponibile ma limitata a cloud/licenze; voci invisibili non ancora considerate.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Solo stima di massima dei costi cloud. TCO reale non calcolato.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Nessuna stima di costo. Rischio di budget shock post-deploy.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4A235A"/>
              <w:bottom w:val="single" w:sz="6" w:space="0" w:color="4A235A"/>
              <w:right w:val="single" w:sz="8" w:space="0" w:color="4A235A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Riportare la stima TCO su 3 anni con breakdown per categoria di costo.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4A235A"/>
              <w:left w:val="single" w:sz="6" w:space="0" w:color="4A235A"/>
              <w:bottom w:val="single" w:sz="6" w:space="0" w:color="4A235A"/>
              <w:right w:val="single" w:sz="6" w:space="0" w:color="4A235A"/>
            </w:tcBorders>
            <w:shd w:fill="4A235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Q21  Efficacia marginale AI vs baseline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10%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4A235A"/>
              <w:bottom w:val="single" w:sz="2" w:space="0" w:color="EEEEEE"/>
              <w:right w:val="single" w:sz="2" w:space="0" w:color="EEEEEE"/>
            </w:tcBorders>
            <w:shd w:fill="E8D5F5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4A235A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4A235A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È stato condotto un benchmark comparativo tra la soluzione AI proposta e approcci tradizionali (regole, euristiche, modelli statistici, processo manuale)? Il vantaggio dell'AI è misurabile e giustifica la complessità e il costo aggiuntivo?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Benchmark formale eseguito. Il vantaggio AI vs baseline è quantificato e documentato. ROI incrementale verificato.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Confronto informale effettuato; vantaggi stimati ma non misurati formalmente.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 confronto con baseline. Si assume che l'AI sia migliore senza evidenza.</w:t>
            </w:r>
          </w:p>
        </w:tc>
      </w:tr>
      <w:tr>
        <w:trPr/>
        <w:tc>
          <w:tcPr>
            <w:tcW w:w="159" w:type="dxa"/>
            <w:tcBorders>
              <w:left w:val="single" w:sz="8" w:space="0" w:color="4A235A"/>
              <w:right w:val="single" w:sz="2" w:space="0" w:color="EEEEEE"/>
            </w:tcBorders>
            <w:shd w:fill="E8D5F5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4A235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Approccio AI scelto senza valutare alternative. Alta probabilità che una soluzione rule-based sia sufficiente.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4A235A"/>
              <w:bottom w:val="single" w:sz="6" w:space="0" w:color="4A235A"/>
              <w:right w:val="single" w:sz="8" w:space="0" w:color="4A235A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Indicare la soluzione baseline confrontata e il delta di performance ottenuto.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 w:ascii="Arial" w:hAnsi="Arial"/>
          <w:b/>
          <w:bCs/>
          <w:color w:val="555555"/>
          <w:sz w:val="22"/>
          <w:szCs w:val="22"/>
        </w:rPr>
        <w:t>Riepilogo scoring D4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4513"/>
        <w:gridCol w:w="899"/>
        <w:gridCol w:w="900"/>
        <w:gridCol w:w="900"/>
        <w:gridCol w:w="1814"/>
      </w:tblGrid>
      <w:tr>
        <w:trPr>
          <w:tblHeader w:val="true"/>
        </w:trPr>
        <w:tc>
          <w:tcPr>
            <w:tcW w:w="4513" w:type="dxa"/>
            <w:tcBorders>
              <w:top w:val="single" w:sz="6" w:space="0" w:color="4A235A"/>
              <w:left w:val="single" w:sz="6" w:space="0" w:color="4A235A"/>
              <w:bottom w:val="single" w:sz="6" w:space="0" w:color="4A235A"/>
              <w:right w:val="single" w:sz="6" w:space="0" w:color="4A235A"/>
            </w:tcBorders>
            <w:shd w:fill="4A235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899" w:type="dxa"/>
            <w:tcBorders>
              <w:top w:val="single" w:sz="6" w:space="0" w:color="4A235A"/>
              <w:left w:val="single" w:sz="6" w:space="0" w:color="4A235A"/>
              <w:bottom w:val="single" w:sz="6" w:space="0" w:color="4A235A"/>
              <w:right w:val="single" w:sz="6" w:space="0" w:color="4A235A"/>
            </w:tcBorders>
            <w:shd w:fill="4A235A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Peso %</w:t>
            </w:r>
          </w:p>
        </w:tc>
        <w:tc>
          <w:tcPr>
            <w:tcW w:w="900" w:type="dxa"/>
            <w:tcBorders>
              <w:top w:val="single" w:sz="6" w:space="0" w:color="4A235A"/>
              <w:left w:val="single" w:sz="6" w:space="0" w:color="4A235A"/>
              <w:bottom w:val="single" w:sz="6" w:space="0" w:color="4A235A"/>
              <w:right w:val="single" w:sz="6" w:space="0" w:color="4A235A"/>
            </w:tcBorders>
            <w:shd w:fill="4A235A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Score (0-3)</w:t>
            </w:r>
          </w:p>
        </w:tc>
        <w:tc>
          <w:tcPr>
            <w:tcW w:w="900" w:type="dxa"/>
            <w:tcBorders>
              <w:top w:val="single" w:sz="6" w:space="0" w:color="4A235A"/>
              <w:left w:val="single" w:sz="6" w:space="0" w:color="4A235A"/>
              <w:bottom w:val="single" w:sz="6" w:space="0" w:color="4A235A"/>
              <w:right w:val="single" w:sz="6" w:space="0" w:color="4A235A"/>
            </w:tcBorders>
            <w:shd w:fill="4A235A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Conf.</w:t>
            </w:r>
          </w:p>
        </w:tc>
        <w:tc>
          <w:tcPr>
            <w:tcW w:w="1814" w:type="dxa"/>
            <w:tcBorders>
              <w:top w:val="single" w:sz="6" w:space="0" w:color="4A235A"/>
              <w:left w:val="single" w:sz="6" w:space="0" w:color="4A235A"/>
              <w:bottom w:val="single" w:sz="6" w:space="0" w:color="4A235A"/>
              <w:right w:val="single" w:sz="6" w:space="0" w:color="4A235A"/>
            </w:tcBorders>
            <w:shd w:fill="4A235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Note / Evidenze</w:t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Maturità del modello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Scalabilità e performance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Integrabilità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Spiegabilità e riproducibilità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Costi infrastrutturali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10%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Efficacia marginale AI vs baseline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10%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6" w:space="0" w:color="4A235A"/>
              <w:left w:val="single" w:sz="6" w:space="0" w:color="4A235A"/>
              <w:bottom w:val="single" w:sz="6" w:space="0" w:color="4A235A"/>
              <w:right w:val="single" w:sz="6" w:space="0" w:color="4A235A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4A235A"/>
                <w:sz w:val="18"/>
                <w:szCs w:val="18"/>
              </w:rPr>
              <w:t>Score D4 (media pesata)</w:t>
            </w:r>
          </w:p>
        </w:tc>
        <w:tc>
          <w:tcPr>
            <w:tcW w:w="899" w:type="dxa"/>
            <w:tcBorders>
              <w:top w:val="single" w:sz="6" w:space="0" w:color="4A235A"/>
              <w:left w:val="single" w:sz="6" w:space="0" w:color="4A235A"/>
              <w:bottom w:val="single" w:sz="6" w:space="0" w:color="4A235A"/>
              <w:right w:val="single" w:sz="6" w:space="0" w:color="4A235A"/>
            </w:tcBorders>
            <w:shd w:fill="F0F0F0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4A235A"/>
                <w:sz w:val="18"/>
                <w:szCs w:val="18"/>
              </w:rPr>
              <w:t>100%</w:t>
            </w:r>
          </w:p>
        </w:tc>
        <w:tc>
          <w:tcPr>
            <w:tcW w:w="900" w:type="dxa"/>
            <w:tcBorders>
              <w:top w:val="single" w:sz="6" w:space="0" w:color="4A235A"/>
              <w:left w:val="single" w:sz="6" w:space="0" w:color="4A235A"/>
              <w:bottom w:val="single" w:sz="6" w:space="0" w:color="4A235A"/>
              <w:right w:val="single" w:sz="6" w:space="0" w:color="4A235A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6" w:space="0" w:color="4A235A"/>
              <w:left w:val="single" w:sz="6" w:space="0" w:color="4A235A"/>
              <w:bottom w:val="single" w:sz="6" w:space="0" w:color="4A235A"/>
              <w:right w:val="single" w:sz="6" w:space="0" w:color="4A235A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6" w:space="0" w:color="4A235A"/>
              <w:left w:val="single" w:sz="6" w:space="0" w:color="4A235A"/>
              <w:bottom w:val="single" w:sz="6" w:space="0" w:color="4A235A"/>
              <w:right w:val="single" w:sz="6" w:space="0" w:color="4A235A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6" w:space="0" w:color="FFFFFF"/>
        </w:pBdr>
        <w:shd w:val="clear" w:fill="7B3F00"/>
        <w:spacing w:before="0" w:after="160"/>
        <w:ind w:left="200" w:right="200"/>
        <w:rPr/>
      </w:pPr>
      <w:r>
        <w:rPr>
          <w:rFonts w:eastAsia="Arial" w:cs="Arial"/>
          <w:b/>
          <w:bCs/>
          <w:color w:val="FFFFFF"/>
          <w:sz w:val="28"/>
          <w:szCs w:val="28"/>
        </w:rPr>
        <w:t>F  ·  D5  ·  Ethical &amp; Responsible AI</w:t>
      </w:r>
    </w:p>
    <w:p>
      <w:pPr>
        <w:pStyle w:val="Normal"/>
        <w:spacing w:before="0" w:after="120"/>
        <w:jc w:val="left"/>
        <w:rPr/>
      </w:pPr>
      <w:r>
        <w:rPr>
          <w:rFonts w:eastAsia="Arial" w:cs="Arial"/>
          <w:b w:val="false"/>
          <w:bCs w:val="false"/>
          <w:i w:val="false"/>
          <w:iCs w:val="false"/>
          <w:color w:val="2E2E2E"/>
          <w:sz w:val="20"/>
          <w:szCs w:val="20"/>
        </w:rPr>
        <w:t>Valuta gli aspetti etici e di AI responsabile. Questa dimensione è spesso sottovalutata nel contesto enterprise — i casi Air Canada e Clearview AI mostrano che i costi dell'omissione sono reali e immediati.</w:t>
      </w:r>
    </w:p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7B3F00"/>
              <w:left w:val="single" w:sz="6" w:space="0" w:color="7B3F00"/>
              <w:bottom w:val="single" w:sz="6" w:space="0" w:color="7B3F00"/>
              <w:right w:val="single" w:sz="6" w:space="0" w:color="7B3F00"/>
            </w:tcBorders>
            <w:shd w:fill="7B3F0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Q22  Bias assessment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25%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7B3F00"/>
              <w:bottom w:val="single" w:sz="2" w:space="0" w:color="EEEEEE"/>
              <w:right w:val="single" w:sz="2" w:space="0" w:color="EEEEEE"/>
            </w:tcBorders>
            <w:shd w:fill="FFF2CC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7B3F00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7B3F00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È stata effettuata un'analisi dei bias sui dati di training e sugli output del modello? Con quali metriche di fairness (es. demographic parity, equalized odds)? Su quali gruppi protetti?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Bias assessment formale eseguito su dati di training e output. Metriche di fairness documentate per tutti i gruppi protetti rilevanti. Remediation applicata dove necessario.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Analisi bias effettuata su subset dei dati o con metriche parziali; remediation in corso.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Consapevolezza del tema bias ma nessuna analisi formale eseguita.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Nessuna analisi di bias. Output potenzialmente discriminatori non rilevati.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7B3F00"/>
              <w:bottom w:val="single" w:sz="6" w:space="0" w:color="7B3F00"/>
              <w:right w:val="single" w:sz="8" w:space="0" w:color="7B3F00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Indicare le metriche usate (es. SHAP, AIF360, Fairlearn) e i gruppi protetti analizzati.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7B3F00"/>
              <w:left w:val="single" w:sz="6" w:space="0" w:color="7B3F00"/>
              <w:bottom w:val="single" w:sz="6" w:space="0" w:color="7B3F00"/>
              <w:right w:val="single" w:sz="6" w:space="0" w:color="7B3F00"/>
            </w:tcBorders>
            <w:shd w:fill="7B3F0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Q23  Human-in-the-loop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25%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7B3F00"/>
              <w:bottom w:val="single" w:sz="2" w:space="0" w:color="EEEEEE"/>
              <w:right w:val="single" w:sz="2" w:space="0" w:color="EEEEEE"/>
            </w:tcBorders>
            <w:shd w:fill="FFF2CC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7B3F00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7B3F00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Sono definite procedure di supervisione umana proporzionali al livello di rischio del sistema? Esistono meccanismi di escalation per i casi incerti o ad alto impatto? Per sistemi ad alto rischio EU AI Act: è garantita la sorveglianza umana (art. 14)?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HITL definito per tutti i casi ad alto rischio. Escalation procedure documentata. Supervisione umana conforme art. 14 EU AI Act dove applicabile. Ruoli assegnati.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HITL previsto ma non ancora formalizzato in procedure. Escalation informale.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Sistema totalmente automatizzato senza supervisione umana pianificata.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Sistema ad alto rischio senza HITL. Violazione potenziale EU AI Act art. 14.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7B3F00"/>
              <w:bottom w:val="single" w:sz="6" w:space="0" w:color="7B3F00"/>
              <w:right w:val="single" w:sz="8" w:space="0" w:color="7B3F00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Descrivere il meccanismo di supervisione umana e i trigger di escalation.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7B3F00"/>
              <w:left w:val="single" w:sz="6" w:space="0" w:color="7B3F00"/>
              <w:bottom w:val="single" w:sz="6" w:space="0" w:color="7B3F00"/>
              <w:right w:val="single" w:sz="6" w:space="0" w:color="7B3F00"/>
            </w:tcBorders>
            <w:shd w:fill="7B3F0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Q24  Trasparenza e comunicazione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7B3F00"/>
              <w:bottom w:val="single" w:sz="2" w:space="0" w:color="EEEEEE"/>
              <w:right w:val="single" w:sz="2" w:space="0" w:color="EEEEEE"/>
            </w:tcBorders>
            <w:shd w:fill="FFF2CC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7B3F00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7B3F00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Gli utenti finali sono informati di interagire con un sistema AI? Sono comunicati i limiti e le capacità del sistema? Per sistemi generativi o chatbot: è applicata la disclosure obbligatoria (EU AI Act art. 50)?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Disclosure implementata in modo chiaro e comprensibile. Limitazioni del sistema comunicate. Conformità art. 50 EU AI Act verificata (se applicabile).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Disclosure presente ma non sufficientemente chiara o incompleta sui limiti.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Nessuna disclosure verso gli utenti. Sistema percepito come umano o come 'oracle'.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Sistema interagisce con utenti come se fosse umano senza alcuna disclosure. Violazione EU AI Act.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7B3F00"/>
              <w:bottom w:val="single" w:sz="6" w:space="0" w:color="7B3F00"/>
              <w:right w:val="single" w:sz="8" w:space="0" w:color="7B3F00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Indicare la modalità di disclosure implementata (es. banner, notice, onboarding).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7B3F00"/>
              <w:left w:val="single" w:sz="6" w:space="0" w:color="7B3F00"/>
              <w:bottom w:val="single" w:sz="6" w:space="0" w:color="7B3F00"/>
              <w:right w:val="single" w:sz="6" w:space="0" w:color="7B3F00"/>
            </w:tcBorders>
            <w:shd w:fill="7B3F0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Q25  Impatto sociale e occupazionale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10%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7B3F00"/>
              <w:bottom w:val="single" w:sz="2" w:space="0" w:color="EEEEEE"/>
              <w:right w:val="single" w:sz="2" w:space="0" w:color="EEEEEE"/>
            </w:tcBorders>
            <w:shd w:fill="FFF2CC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7B3F00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7B3F00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È stata effettuata una valutazione dell'impatto occupazionale del sistema AI? Sono previsti piani di reskilling/upskilling per i lavoratori coinvolti? Il progetto è allineato con il codice etico aziendale?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Impact assessment occupazionale completato. Piano reskilling approvato. Allineamento con codice etico documentato. Stakeholder coinvolti nel processo.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Impatto occupazionale identificato; piani di reskilling in elaborazione.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Impatto occupazionale riconosciuto ma non analizzato formalmente.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Nessuna valutazione dell'impatto su lavoratori e stakeholder sociali.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7B3F00"/>
              <w:bottom w:val="single" w:sz="6" w:space="0" w:color="7B3F00"/>
              <w:right w:val="single" w:sz="8" w:space="0" w:color="7B3F00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Stimare il numero di ruoli impattati e descrivere il piano di gestione del cambiamento.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7B3F00"/>
              <w:left w:val="single" w:sz="6" w:space="0" w:color="7B3F00"/>
              <w:bottom w:val="single" w:sz="6" w:space="0" w:color="7B3F00"/>
              <w:right w:val="single" w:sz="6" w:space="0" w:color="7B3F00"/>
            </w:tcBorders>
            <w:shd w:fill="7B3F0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Q26  Capability evaluation pre-deploy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10%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7B3F00"/>
              <w:bottom w:val="single" w:sz="2" w:space="0" w:color="EEEEEE"/>
              <w:right w:val="single" w:sz="2" w:space="0" w:color="EEEEEE"/>
            </w:tcBorders>
            <w:shd w:fill="FFF2CC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7B3F00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7B3F00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Prima del deployment, sono state valutate eventuali capability pericolose o indesiderate del sistema AI? (es. generazione di contenuti dannosi, abuso potenziale, dual-use). Esiste un piano di red teaming?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Capability evaluation formale eseguita (cfr. Anthropic RSP). Red teaming condotto. Nessuna capability pericolosa identificata o mitigata.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Valutazione informale delle capability; red teaming non ancora eseguito ma pianificato.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Nessuna valutazione sistematica delle capability. Solo test funzionali eseguiti.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Deployment pianificato senza alcuna valutazione delle capability. Rischio di harm non valutato.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7B3F00"/>
              <w:bottom w:val="single" w:sz="6" w:space="0" w:color="7B3F00"/>
              <w:right w:val="single" w:sz="8" w:space="0" w:color="7B3F00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Indicare il metodo usato per la capability evaluation e l'esito principale.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7B3F00"/>
              <w:left w:val="single" w:sz="6" w:space="0" w:color="7B3F00"/>
              <w:bottom w:val="single" w:sz="6" w:space="0" w:color="7B3F00"/>
              <w:right w:val="single" w:sz="6" w:space="0" w:color="7B3F00"/>
            </w:tcBorders>
            <w:shd w:fill="7B3F0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Q27  Sostenibilità ambientale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10%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7B3F00"/>
              <w:bottom w:val="single" w:sz="2" w:space="0" w:color="EEEEEE"/>
              <w:right w:val="single" w:sz="2" w:space="0" w:color="EEEEEE"/>
            </w:tcBorders>
            <w:shd w:fill="FFF2CC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7B3F00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7B3F00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È stato stimato il carbon footprint del training e dell'inference del modello? Sono state considerate misure di compute efficiency (es. model compression, quantization, green cloud)? L'impatto ambientale è accettabile rispetto al valore generato?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Carbon footprint stimato con metodologia documentata. Compute efficiency ottimizzata. Hosting su provider con certificazione green energy. Bilancio costi/benefici ambientali documentato.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Footprint stimato approssimativamente. Alcune misure di efficienza applicate.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Tema riconosciuto ma nessuna stima o misura adottata.</w:t>
            </w:r>
          </w:p>
        </w:tc>
      </w:tr>
      <w:tr>
        <w:trPr/>
        <w:tc>
          <w:tcPr>
            <w:tcW w:w="159" w:type="dxa"/>
            <w:tcBorders>
              <w:left w:val="single" w:sz="8" w:space="0" w:color="7B3F00"/>
              <w:right w:val="single" w:sz="2" w:space="0" w:color="EEEEEE"/>
            </w:tcBorders>
            <w:shd w:fill="FFF2CC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7B3F00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Impatto ambientale non considerato. Training ad alto costo computazionale senza giustificazione.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7B3F00"/>
              <w:bottom w:val="single" w:sz="6" w:space="0" w:color="7B3F00"/>
              <w:right w:val="single" w:sz="8" w:space="0" w:color="7B3F00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Indicare la stima CO₂ equivalente e il provider cloud/infrastruttura utilizzato.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 w:ascii="Arial" w:hAnsi="Arial"/>
          <w:b/>
          <w:bCs/>
          <w:color w:val="555555"/>
          <w:sz w:val="22"/>
          <w:szCs w:val="22"/>
        </w:rPr>
        <w:t>Riepilogo scoring D5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4513"/>
        <w:gridCol w:w="899"/>
        <w:gridCol w:w="900"/>
        <w:gridCol w:w="900"/>
        <w:gridCol w:w="1814"/>
      </w:tblGrid>
      <w:tr>
        <w:trPr>
          <w:tblHeader w:val="true"/>
        </w:trPr>
        <w:tc>
          <w:tcPr>
            <w:tcW w:w="4513" w:type="dxa"/>
            <w:tcBorders>
              <w:top w:val="single" w:sz="6" w:space="0" w:color="7B3F00"/>
              <w:left w:val="single" w:sz="6" w:space="0" w:color="7B3F00"/>
              <w:bottom w:val="single" w:sz="6" w:space="0" w:color="7B3F00"/>
              <w:right w:val="single" w:sz="6" w:space="0" w:color="7B3F00"/>
            </w:tcBorders>
            <w:shd w:fill="7B3F0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899" w:type="dxa"/>
            <w:tcBorders>
              <w:top w:val="single" w:sz="6" w:space="0" w:color="7B3F00"/>
              <w:left w:val="single" w:sz="6" w:space="0" w:color="7B3F00"/>
              <w:bottom w:val="single" w:sz="6" w:space="0" w:color="7B3F00"/>
              <w:right w:val="single" w:sz="6" w:space="0" w:color="7B3F00"/>
            </w:tcBorders>
            <w:shd w:fill="7B3F00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Peso %</w:t>
            </w:r>
          </w:p>
        </w:tc>
        <w:tc>
          <w:tcPr>
            <w:tcW w:w="900" w:type="dxa"/>
            <w:tcBorders>
              <w:top w:val="single" w:sz="6" w:space="0" w:color="7B3F00"/>
              <w:left w:val="single" w:sz="6" w:space="0" w:color="7B3F00"/>
              <w:bottom w:val="single" w:sz="6" w:space="0" w:color="7B3F00"/>
              <w:right w:val="single" w:sz="6" w:space="0" w:color="7B3F00"/>
            </w:tcBorders>
            <w:shd w:fill="7B3F00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Score (0-3)</w:t>
            </w:r>
          </w:p>
        </w:tc>
        <w:tc>
          <w:tcPr>
            <w:tcW w:w="900" w:type="dxa"/>
            <w:tcBorders>
              <w:top w:val="single" w:sz="6" w:space="0" w:color="7B3F00"/>
              <w:left w:val="single" w:sz="6" w:space="0" w:color="7B3F00"/>
              <w:bottom w:val="single" w:sz="6" w:space="0" w:color="7B3F00"/>
              <w:right w:val="single" w:sz="6" w:space="0" w:color="7B3F00"/>
            </w:tcBorders>
            <w:shd w:fill="7B3F00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Conf.</w:t>
            </w:r>
          </w:p>
        </w:tc>
        <w:tc>
          <w:tcPr>
            <w:tcW w:w="1814" w:type="dxa"/>
            <w:tcBorders>
              <w:top w:val="single" w:sz="6" w:space="0" w:color="7B3F00"/>
              <w:left w:val="single" w:sz="6" w:space="0" w:color="7B3F00"/>
              <w:bottom w:val="single" w:sz="6" w:space="0" w:color="7B3F00"/>
              <w:right w:val="single" w:sz="6" w:space="0" w:color="7B3F00"/>
            </w:tcBorders>
            <w:shd w:fill="7B3F0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Note / Evidenze</w:t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Bias assessment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25%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Human-in-the-loop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25%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Trasparenza e comunicazione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Impatto sociale e occupazionale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10%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Capability evaluation pre-deploy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10%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Sostenibilità ambientale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10%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6" w:space="0" w:color="7B3F00"/>
              <w:left w:val="single" w:sz="6" w:space="0" w:color="7B3F00"/>
              <w:bottom w:val="single" w:sz="6" w:space="0" w:color="7B3F00"/>
              <w:right w:val="single" w:sz="6" w:space="0" w:color="7B3F00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>Score D5 (media pesata)</w:t>
            </w:r>
          </w:p>
        </w:tc>
        <w:tc>
          <w:tcPr>
            <w:tcW w:w="899" w:type="dxa"/>
            <w:tcBorders>
              <w:top w:val="single" w:sz="6" w:space="0" w:color="7B3F00"/>
              <w:left w:val="single" w:sz="6" w:space="0" w:color="7B3F00"/>
              <w:bottom w:val="single" w:sz="6" w:space="0" w:color="7B3F00"/>
              <w:right w:val="single" w:sz="6" w:space="0" w:color="7B3F00"/>
            </w:tcBorders>
            <w:shd w:fill="F0F0F0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>100%</w:t>
            </w:r>
          </w:p>
        </w:tc>
        <w:tc>
          <w:tcPr>
            <w:tcW w:w="900" w:type="dxa"/>
            <w:tcBorders>
              <w:top w:val="single" w:sz="6" w:space="0" w:color="7B3F00"/>
              <w:left w:val="single" w:sz="6" w:space="0" w:color="7B3F00"/>
              <w:bottom w:val="single" w:sz="6" w:space="0" w:color="7B3F00"/>
              <w:right w:val="single" w:sz="6" w:space="0" w:color="7B3F00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6" w:space="0" w:color="7B3F00"/>
              <w:left w:val="single" w:sz="6" w:space="0" w:color="7B3F00"/>
              <w:bottom w:val="single" w:sz="6" w:space="0" w:color="7B3F00"/>
              <w:right w:val="single" w:sz="6" w:space="0" w:color="7B3F00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6" w:space="0" w:color="7B3F00"/>
              <w:left w:val="single" w:sz="6" w:space="0" w:color="7B3F00"/>
              <w:bottom w:val="single" w:sz="6" w:space="0" w:color="7B3F00"/>
              <w:right w:val="single" w:sz="6" w:space="0" w:color="7B3F00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6" w:space="0" w:color="FFFFFF"/>
        </w:pBdr>
        <w:shd w:val="clear" w:fill="1A3A4A"/>
        <w:spacing w:before="0" w:after="160"/>
        <w:ind w:left="200" w:right="200"/>
        <w:rPr/>
      </w:pPr>
      <w:r>
        <w:rPr>
          <w:rFonts w:eastAsia="Arial" w:cs="Arial"/>
          <w:b/>
          <w:bCs/>
          <w:color w:val="FFFFFF"/>
          <w:sz w:val="28"/>
          <w:szCs w:val="28"/>
        </w:rPr>
        <w:t>G  ·  D6  ·  Operational Readiness &amp; Lifecycle Management</w:t>
      </w:r>
    </w:p>
    <w:p>
      <w:pPr>
        <w:pStyle w:val="Normal"/>
        <w:spacing w:before="0" w:after="120"/>
        <w:jc w:val="left"/>
        <w:rPr/>
      </w:pPr>
      <w:r>
        <w:rPr>
          <w:rFonts w:eastAsia="Arial" w:cs="Arial"/>
          <w:b w:val="false"/>
          <w:bCs w:val="false"/>
          <w:i w:val="false"/>
          <w:iCs w:val="false"/>
          <w:color w:val="2E2E2E"/>
          <w:sz w:val="20"/>
          <w:szCs w:val="20"/>
        </w:rPr>
        <w:t>Il valore di un progetto AI non si misura al deploy, ma a 12 mesi di distanza. Questa dimensione valuta quanto il sistema reggerà in produzione nel tempo.</w:t>
      </w:r>
    </w:p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1A3A4A"/>
              <w:left w:val="single" w:sz="6" w:space="0" w:color="1A3A4A"/>
              <w:bottom w:val="single" w:sz="6" w:space="0" w:color="1A3A4A"/>
              <w:right w:val="single" w:sz="6" w:space="0" w:color="1A3A4A"/>
            </w:tcBorders>
            <w:shd w:fill="1A3A4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Q28  Monitoring e alerting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25%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1A3A4A"/>
              <w:bottom w:val="single" w:sz="2" w:space="0" w:color="EEEEEE"/>
              <w:right w:val="single" w:sz="2" w:space="0" w:color="EEEEEE"/>
            </w:tcBorders>
            <w:shd w:fill="D5E8F0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1A3A4A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A3A4A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Esiste un piano di monitoring per la produzione? Copre: drift dei dati (data drift), degradazione delle performance (concept drift), anomalie degli output? Sono configurati alert automatici con soglie definite?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Monitoring plan documentato e implementato. Dashboard di produzione attiva. Alert automatici configurati per data drift, concept drift e anomalie. SLA di risposta definiti.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Monitoring pianificato; dashboard in sviluppo. Alert parzialmente configurati.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Monitoring previsto ma non ancora progettato in dettaglio.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 monitoring previsto. Sistema 'fire and forget'. Degradazione non rilevabile.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1A3A4A"/>
              <w:bottom w:val="single" w:sz="6" w:space="0" w:color="1A3A4A"/>
              <w:right w:val="single" w:sz="8" w:space="0" w:color="1A3A4A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Indicare il tool di monitoring (es. Evidently AI, watsonx.governance, Grafana) e le metriche tracciate.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1A3A4A"/>
              <w:left w:val="single" w:sz="6" w:space="0" w:color="1A3A4A"/>
              <w:bottom w:val="single" w:sz="6" w:space="0" w:color="1A3A4A"/>
              <w:right w:val="single" w:sz="6" w:space="0" w:color="1A3A4A"/>
            </w:tcBorders>
            <w:shd w:fill="1A3A4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Q29  Piano di retraining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1A3A4A"/>
              <w:bottom w:val="single" w:sz="2" w:space="0" w:color="EEEEEE"/>
              <w:right w:val="single" w:sz="2" w:space="0" w:color="EEEEEE"/>
            </w:tcBorders>
            <w:shd w:fill="D5E8F0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1A3A4A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A3A4A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Esiste un piano di retraining documentato? Include: (1) trigger di retraining (schedulato, drift-based, event-driven), (2) procedure automatizzate di validazione pre-deploy del nuovo modello, (3) procedure di rollback, (4) governance di versioning dei modelli?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Piano di retraining completo con tutti e 4 gli elementi documentati e testati. Model registry configurato. Rollback testato.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Piano presente con alcuni elementi; rollback o validazione automatica non ancora implementati.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Retraining previsto 'ad hoc' senza piano strutturato.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 piano di retraining. Modello statico esposto a drift silenzioso.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1A3A4A"/>
              <w:bottom w:val="single" w:sz="6" w:space="0" w:color="1A3A4A"/>
              <w:right w:val="single" w:sz="8" w:space="0" w:color="1A3A4A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Descrivere i trigger di retraining previsti e il tool di model registry (es. MLflow, SageMaker).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1A3A4A"/>
              <w:left w:val="single" w:sz="6" w:space="0" w:color="1A3A4A"/>
              <w:bottom w:val="single" w:sz="6" w:space="0" w:color="1A3A4A"/>
              <w:right w:val="single" w:sz="6" w:space="0" w:color="1A3A4A"/>
            </w:tcBorders>
            <w:shd w:fill="1A3A4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Q30  Incident response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1A3A4A"/>
              <w:bottom w:val="single" w:sz="2" w:space="0" w:color="EEEEEE"/>
              <w:right w:val="single" w:sz="2" w:space="0" w:color="EEEEEE"/>
            </w:tcBorders>
            <w:shd w:fill="D5E8F0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1A3A4A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A3A4A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Esistono procedure di incident response specifiche per il sistema AI? Sono definiti: ruoli, escalation path, SLA di risposta, criteri di stop/rollback del sistema in caso di incidente?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Runbook di incident response documentato e testato. Ruoli definiti (AI Incident Manager). SLA di risposta stabiliti. Criteri di stop e rollback formalizzati.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Procedure di incident response generiche adattate all'AI; non ancora testate con drill.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Procedure IT generiche applicate al sistema AI senza adattamenti specifici.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Nessuna procedura di incident response per il sistema AI.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1A3A4A"/>
              <w:bottom w:val="single" w:sz="6" w:space="0" w:color="1A3A4A"/>
              <w:right w:val="single" w:sz="8" w:space="0" w:color="1A3A4A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Indicare il runbook disponibile e l'esito dell'ultimo drill di test (se eseguito).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1A3A4A"/>
              <w:left w:val="single" w:sz="6" w:space="0" w:color="1A3A4A"/>
              <w:bottom w:val="single" w:sz="6" w:space="0" w:color="1A3A4A"/>
              <w:right w:val="single" w:sz="6" w:space="0" w:color="1A3A4A"/>
            </w:tcBorders>
            <w:shd w:fill="1A3A4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Q31  Model documentation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20%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1A3A4A"/>
              <w:bottom w:val="single" w:sz="2" w:space="0" w:color="EEEEEE"/>
              <w:right w:val="single" w:sz="2" w:space="0" w:color="EEEEEE"/>
            </w:tcBorders>
            <w:shd w:fill="D5E8F0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1A3A4A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A3A4A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Il sistema AI dispone di una model card o factsheet completa? Include: metadati del modello, intended use e out-of-scope use, limitazioni note, performance per segmento di utenti, dati di training?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Model card conforme agli standard (es. Google Model Cards, IBM FactSheets). Aggiornata ad ogni release. Disponibile agli stakeholder rilevanti.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Model card presente ma incompleta (es. mancano performance per segmento o limitazioni note).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Documentazione minima del modello; nessuna model card strutturata.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Nessuna documentazione del modello. Sistema non auditabile.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1A3A4A"/>
              <w:bottom w:val="single" w:sz="6" w:space="0" w:color="1A3A4A"/>
              <w:right w:val="single" w:sz="8" w:space="0" w:color="1A3A4A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Allegare o citare la model card / factsheet disponibile.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"/>
        <w:gridCol w:w="8866"/>
      </w:tblGrid>
      <w:tr>
        <w:trPr/>
        <w:tc>
          <w:tcPr>
            <w:tcW w:w="9025" w:type="dxa"/>
            <w:gridSpan w:val="2"/>
            <w:tcBorders>
              <w:top w:val="single" w:sz="6" w:space="0" w:color="1A3A4A"/>
              <w:left w:val="single" w:sz="6" w:space="0" w:color="1A3A4A"/>
              <w:bottom w:val="single" w:sz="6" w:space="0" w:color="1A3A4A"/>
              <w:right w:val="single" w:sz="6" w:space="0" w:color="1A3A4A"/>
            </w:tcBorders>
            <w:shd w:fill="1A3A4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Q32  Ownership e accountability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   ·  Peso 15%</w:t>
            </w:r>
          </w:p>
        </w:tc>
      </w:tr>
      <w:tr>
        <w:trPr/>
        <w:tc>
          <w:tcPr>
            <w:tcW w:w="159" w:type="dxa"/>
            <w:tcBorders>
              <w:top w:val="single" w:sz="2" w:space="0" w:color="EEEEEE"/>
              <w:left w:val="single" w:sz="8" w:space="0" w:color="1A3A4A"/>
              <w:bottom w:val="single" w:sz="2" w:space="0" w:color="EEEEEE"/>
              <w:right w:val="single" w:sz="2" w:space="0" w:color="EEEEEE"/>
            </w:tcBorders>
            <w:shd w:fill="D5E8F0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top w:val="single" w:sz="2" w:space="0" w:color="EEEEEE"/>
              <w:left w:val="single" w:sz="2" w:space="0" w:color="EEEEEE"/>
              <w:bottom w:val="single" w:sz="2" w:space="0" w:color="EEEEEE"/>
              <w:right w:val="single" w:sz="8" w:space="0" w:color="1A3A4A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A3A4A"/>
                <w:sz w:val="20"/>
                <w:szCs w:val="20"/>
              </w:rPr>
              <w:t xml:space="preserve">Domanda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20"/>
                <w:szCs w:val="20"/>
              </w:rPr>
              <w:t>Sono formalmente assegnati i ruoli di governance del sistema AI in produzione? (AI System Owner, Data Owner, Model Owner, responsabile del monitoring). Esiste una matrice RACI aggiornata?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3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Ruoli formalmente assegnati con comunicazione ufficiale. RACI documentata. Responsabilità operative e di governance distinte e chiare.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>2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Ruoli informalmente assegnati; RACI in bozza o non ancora comunicata.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1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Ownership vaga, affidata genericamente al 'team AI' senza accountability individuale.</w:t>
            </w:r>
          </w:p>
        </w:tc>
      </w:tr>
      <w:tr>
        <w:trPr/>
        <w:tc>
          <w:tcPr>
            <w:tcW w:w="159" w:type="dxa"/>
            <w:tcBorders>
              <w:left w:val="single" w:sz="8" w:space="0" w:color="1A3A4A"/>
              <w:right w:val="single" w:sz="2" w:space="0" w:color="EEEEEE"/>
            </w:tcBorders>
            <w:shd w:fill="D5E8F0" w:val="clea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866" w:type="dxa"/>
            <w:tcBorders>
              <w:left w:val="single" w:sz="2" w:space="0" w:color="EEEEEE"/>
              <w:right w:val="single" w:sz="8" w:space="0" w:color="1A3A4A"/>
            </w:tcBorders>
            <w:tcMar>
              <w:top w:w="40" w:type="dxa"/>
              <w:bottom w:w="4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0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Nessun owner formale. Sistema in produzione senza responsabilità assegnate.</w:t>
            </w:r>
          </w:p>
        </w:tc>
      </w:tr>
      <w:tr>
        <w:trPr/>
        <w:tc>
          <w:tcPr>
            <w:tcW w:w="9025" w:type="dxa"/>
            <w:gridSpan w:val="2"/>
            <w:tcBorders>
              <w:top w:val="single" w:sz="2" w:space="0" w:color="CCCCCC"/>
              <w:left w:val="single" w:sz="8" w:space="0" w:color="1A3A4A"/>
              <w:bottom w:val="single" w:sz="6" w:space="0" w:color="1A3A4A"/>
              <w:right w:val="single" w:sz="8" w:space="0" w:color="1A3A4A"/>
            </w:tcBorders>
            <w:shd w:fill="F9F9F9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0" w:after="4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Confidence: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☐ H (evidenza documentata)   ☐ M (auto-dichiarazione)   ☐ L (stima/assenza dato)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Score assegnato: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☐ 3  ☐ 2  ☐ 1  ☐ 0  ☐ N/A   ·  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>Nota: </w:t>
            </w: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Indicare nome e ruolo dell'AI System Owner e del responsabile del monitoring.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 w:ascii="Arial" w:hAnsi="Arial"/>
          <w:b/>
          <w:bCs/>
          <w:color w:val="555555"/>
          <w:sz w:val="22"/>
          <w:szCs w:val="22"/>
        </w:rPr>
        <w:t>Riepilogo scoring D6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4513"/>
        <w:gridCol w:w="899"/>
        <w:gridCol w:w="900"/>
        <w:gridCol w:w="900"/>
        <w:gridCol w:w="1814"/>
      </w:tblGrid>
      <w:tr>
        <w:trPr>
          <w:tblHeader w:val="true"/>
        </w:trPr>
        <w:tc>
          <w:tcPr>
            <w:tcW w:w="4513" w:type="dxa"/>
            <w:tcBorders>
              <w:top w:val="single" w:sz="6" w:space="0" w:color="1A3A4A"/>
              <w:left w:val="single" w:sz="6" w:space="0" w:color="1A3A4A"/>
              <w:bottom w:val="single" w:sz="6" w:space="0" w:color="1A3A4A"/>
              <w:right w:val="single" w:sz="6" w:space="0" w:color="1A3A4A"/>
            </w:tcBorders>
            <w:shd w:fill="1A3A4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899" w:type="dxa"/>
            <w:tcBorders>
              <w:top w:val="single" w:sz="6" w:space="0" w:color="1A3A4A"/>
              <w:left w:val="single" w:sz="6" w:space="0" w:color="1A3A4A"/>
              <w:bottom w:val="single" w:sz="6" w:space="0" w:color="1A3A4A"/>
              <w:right w:val="single" w:sz="6" w:space="0" w:color="1A3A4A"/>
            </w:tcBorders>
            <w:shd w:fill="1A3A4A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Peso %</w:t>
            </w:r>
          </w:p>
        </w:tc>
        <w:tc>
          <w:tcPr>
            <w:tcW w:w="900" w:type="dxa"/>
            <w:tcBorders>
              <w:top w:val="single" w:sz="6" w:space="0" w:color="1A3A4A"/>
              <w:left w:val="single" w:sz="6" w:space="0" w:color="1A3A4A"/>
              <w:bottom w:val="single" w:sz="6" w:space="0" w:color="1A3A4A"/>
              <w:right w:val="single" w:sz="6" w:space="0" w:color="1A3A4A"/>
            </w:tcBorders>
            <w:shd w:fill="1A3A4A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Score (0-3)</w:t>
            </w:r>
          </w:p>
        </w:tc>
        <w:tc>
          <w:tcPr>
            <w:tcW w:w="900" w:type="dxa"/>
            <w:tcBorders>
              <w:top w:val="single" w:sz="6" w:space="0" w:color="1A3A4A"/>
              <w:left w:val="single" w:sz="6" w:space="0" w:color="1A3A4A"/>
              <w:bottom w:val="single" w:sz="6" w:space="0" w:color="1A3A4A"/>
              <w:right w:val="single" w:sz="6" w:space="0" w:color="1A3A4A"/>
            </w:tcBorders>
            <w:shd w:fill="1A3A4A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Conf.</w:t>
            </w:r>
          </w:p>
        </w:tc>
        <w:tc>
          <w:tcPr>
            <w:tcW w:w="1814" w:type="dxa"/>
            <w:tcBorders>
              <w:top w:val="single" w:sz="6" w:space="0" w:color="1A3A4A"/>
              <w:left w:val="single" w:sz="6" w:space="0" w:color="1A3A4A"/>
              <w:bottom w:val="single" w:sz="6" w:space="0" w:color="1A3A4A"/>
              <w:right w:val="single" w:sz="6" w:space="0" w:color="1A3A4A"/>
            </w:tcBorders>
            <w:shd w:fill="1A3A4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Note / Evidenze</w:t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Monitoring e alerting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25%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Piano di retraining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Incident response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Model documentation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Ownership e accountability</w:t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15%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513" w:type="dxa"/>
            <w:tcBorders>
              <w:top w:val="single" w:sz="6" w:space="0" w:color="1A3A4A"/>
              <w:left w:val="single" w:sz="6" w:space="0" w:color="1A3A4A"/>
              <w:bottom w:val="single" w:sz="6" w:space="0" w:color="1A3A4A"/>
              <w:right w:val="single" w:sz="6" w:space="0" w:color="1A3A4A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A3A4A"/>
                <w:sz w:val="18"/>
                <w:szCs w:val="18"/>
              </w:rPr>
              <w:t>Score D6 (media pesata)</w:t>
            </w:r>
          </w:p>
        </w:tc>
        <w:tc>
          <w:tcPr>
            <w:tcW w:w="899" w:type="dxa"/>
            <w:tcBorders>
              <w:top w:val="single" w:sz="6" w:space="0" w:color="1A3A4A"/>
              <w:left w:val="single" w:sz="6" w:space="0" w:color="1A3A4A"/>
              <w:bottom w:val="single" w:sz="6" w:space="0" w:color="1A3A4A"/>
              <w:right w:val="single" w:sz="6" w:space="0" w:color="1A3A4A"/>
            </w:tcBorders>
            <w:shd w:fill="F0F0F0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1A3A4A"/>
                <w:sz w:val="18"/>
                <w:szCs w:val="18"/>
              </w:rPr>
              <w:t>100%</w:t>
            </w:r>
          </w:p>
        </w:tc>
        <w:tc>
          <w:tcPr>
            <w:tcW w:w="900" w:type="dxa"/>
            <w:tcBorders>
              <w:top w:val="single" w:sz="6" w:space="0" w:color="1A3A4A"/>
              <w:left w:val="single" w:sz="6" w:space="0" w:color="1A3A4A"/>
              <w:bottom w:val="single" w:sz="6" w:space="0" w:color="1A3A4A"/>
              <w:right w:val="single" w:sz="6" w:space="0" w:color="1A3A4A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6" w:space="0" w:color="1A3A4A"/>
              <w:left w:val="single" w:sz="6" w:space="0" w:color="1A3A4A"/>
              <w:bottom w:val="single" w:sz="6" w:space="0" w:color="1A3A4A"/>
              <w:right w:val="single" w:sz="6" w:space="0" w:color="1A3A4A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6" w:space="0" w:color="1A3A4A"/>
              <w:left w:val="single" w:sz="6" w:space="0" w:color="1A3A4A"/>
              <w:bottom w:val="single" w:sz="6" w:space="0" w:color="1A3A4A"/>
              <w:right w:val="single" w:sz="6" w:space="0" w:color="1A3A4A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9B1D6A"/>
        </w:pBdr>
        <w:spacing w:before="0" w:after="160"/>
        <w:rPr/>
      </w:pPr>
      <w:r>
        <w:rPr>
          <w:rFonts w:eastAsia="Arial" w:cs="Arial" w:ascii="Arial" w:hAnsi="Arial"/>
          <w:b/>
          <w:bCs/>
          <w:color w:val="9B1D6A"/>
          <w:sz w:val="36"/>
          <w:szCs w:val="36"/>
        </w:rPr>
        <w:t>Sezione H — Score Composito &amp; Gate di Approvazione</w:t>
      </w:r>
    </w:p>
    <w:p>
      <w:pPr>
        <w:pStyle w:val="Normal"/>
        <w:spacing w:before="0" w:after="120"/>
        <w:jc w:val="left"/>
        <w:rPr/>
      </w:pPr>
      <w:r>
        <w:rPr>
          <w:rFonts w:eastAsia="Arial" w:cs="Arial"/>
          <w:b w:val="false"/>
          <w:bCs w:val="false"/>
          <w:i w:val="false"/>
          <w:iCs w:val="false"/>
          <w:color w:val="2E2E2E"/>
          <w:sz w:val="20"/>
          <w:szCs w:val="20"/>
        </w:rPr>
        <w:t>Consolidare gli score delle 6 dimensioni. Applicare i pesi settoriali selezionati in A3.</w:t>
      </w:r>
    </w:p>
    <w:p>
      <w:pPr>
        <w:pStyle w:val="Normal"/>
        <w:spacing w:before="0" w:after="8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00"/>
        <w:gridCol w:w="3400"/>
        <w:gridCol w:w="900"/>
        <w:gridCol w:w="899"/>
        <w:gridCol w:w="900"/>
        <w:gridCol w:w="900"/>
        <w:gridCol w:w="1526"/>
      </w:tblGrid>
      <w:tr>
        <w:trPr>
          <w:tblHeader w:val="true"/>
        </w:trPr>
        <w:tc>
          <w:tcPr>
            <w:tcW w:w="500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2E2E2E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Dim.</w:t>
            </w:r>
          </w:p>
        </w:tc>
        <w:tc>
          <w:tcPr>
            <w:tcW w:w="3400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2E2E2E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Dimensione</w:t>
            </w:r>
          </w:p>
        </w:tc>
        <w:tc>
          <w:tcPr>
            <w:tcW w:w="900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2E2E2E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Score (0–3)</w:t>
            </w:r>
          </w:p>
        </w:tc>
        <w:tc>
          <w:tcPr>
            <w:tcW w:w="899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2E2E2E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Peso Default</w:t>
            </w:r>
          </w:p>
        </w:tc>
        <w:tc>
          <w:tcPr>
            <w:tcW w:w="900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2E2E2E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Peso Settore</w:t>
            </w:r>
          </w:p>
        </w:tc>
        <w:tc>
          <w:tcPr>
            <w:tcW w:w="900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2E2E2E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Score Ponderato</w:t>
            </w:r>
          </w:p>
        </w:tc>
        <w:tc>
          <w:tcPr>
            <w:tcW w:w="1526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2E2E2E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Flag (&lt;0.5 = RED)</w:t>
            </w:r>
          </w:p>
        </w:tc>
      </w:tr>
      <w:tr>
        <w:trPr/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F4E79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D1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Strategic Alignment &amp; Business Value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1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43C0C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D2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Risk Classification &amp; Regulatory Compliance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1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375623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D3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Data Readiness &amp; Governance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1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4A235A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D4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Technical Feasibility &amp; Architecture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15%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1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7B3F00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D5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Ethical &amp; Responsible AI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10%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1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A3A4A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D6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Operational Readiness &amp; Lifecycle Mgmt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15%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1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0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F0F0F0" w:val="clear"/>
            <w:tcMar>
              <w:left w:w="80" w:type="dxa"/>
              <w:right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3400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20"/>
                <w:szCs w:val="20"/>
              </w:rPr>
              <w:t>SCORE COMPOSITO</w:t>
            </w:r>
          </w:p>
        </w:tc>
        <w:tc>
          <w:tcPr>
            <w:tcW w:w="900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899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F0F0F0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100%</w:t>
            </w:r>
          </w:p>
        </w:tc>
        <w:tc>
          <w:tcPr>
            <w:tcW w:w="900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F0F0F0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/>
            </w:r>
          </w:p>
        </w:tc>
        <w:tc>
          <w:tcPr>
            <w:tcW w:w="1526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F0F0F0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00"/>
        <w:rPr/>
      </w:pPr>
      <w:r>
        <w:rPr>
          <w:rFonts w:eastAsia="Arial" w:cs="Arial" w:ascii="Arial" w:hAnsi="Arial"/>
          <w:b/>
          <w:bCs/>
          <w:color w:val="2E2E2E"/>
          <w:sz w:val="26"/>
          <w:szCs w:val="26"/>
        </w:rPr>
        <w:t>Gate di Approvazione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2000"/>
        <w:gridCol w:w="1500"/>
        <w:gridCol w:w="2499"/>
        <w:gridCol w:w="3026"/>
      </w:tblGrid>
      <w:tr>
        <w:trPr/>
        <w:tc>
          <w:tcPr>
            <w:tcW w:w="2000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2E2E2E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Gate</w:t>
            </w:r>
          </w:p>
        </w:tc>
        <w:tc>
          <w:tcPr>
            <w:tcW w:w="1500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2E2E2E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Score</w:t>
            </w:r>
          </w:p>
        </w:tc>
        <w:tc>
          <w:tcPr>
            <w:tcW w:w="2499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2E2E2E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Decisione</w:t>
            </w:r>
          </w:p>
        </w:tc>
        <w:tc>
          <w:tcPr>
            <w:tcW w:w="3026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2E2E2E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Azione Richiesta</w:t>
            </w:r>
          </w:p>
        </w:tc>
      </w:tr>
      <w:tr>
        <w:trPr/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375623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GREEN  ✓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≥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2.0  e  nessuna dim. &lt; 0.5</w:t>
            </w:r>
          </w:p>
        </w:tc>
        <w:tc>
          <w:tcPr>
            <w:tcW w:w="24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>Procede senza blocchi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Review periodiche. Monitoring continuo.</w:t>
            </w:r>
          </w:p>
        </w:tc>
      </w:tr>
      <w:tr>
        <w:trPr/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9B1D6A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YELLOW  ⚠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 xml:space="preserve">≥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1.0 e &lt; 2.0  e  nessuna dim. &lt; 0.5</w:t>
            </w:r>
          </w:p>
        </w:tc>
        <w:tc>
          <w:tcPr>
            <w:tcW w:w="24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9B1D6A"/>
                <w:sz w:val="18"/>
                <w:szCs w:val="18"/>
              </w:rPr>
              <w:t>Procede con condizioni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Remediation plan obbligatorio. Re-assessment entro 30 giorni.</w:t>
            </w:r>
          </w:p>
        </w:tc>
      </w:tr>
      <w:tr>
        <w:trPr/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C00000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RED  ✗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&lt; 1.0  OPPURE  qualsiasi dim. &lt; 0.5</w:t>
            </w:r>
          </w:p>
        </w:tc>
        <w:tc>
          <w:tcPr>
            <w:tcW w:w="24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>Stop — rework richiesto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</w:tcMar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Stop al progetto. Rework e re-assessment completo prima di procedere.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00"/>
        <w:rPr/>
      </w:pPr>
      <w:r>
        <w:rPr>
          <w:rFonts w:eastAsia="Arial" w:cs="Arial" w:ascii="Arial" w:hAnsi="Arial"/>
          <w:b/>
          <w:bCs/>
          <w:color w:val="2E2E2E"/>
          <w:sz w:val="26"/>
          <w:szCs w:val="26"/>
        </w:rPr>
        <w:t>Pattern di Rischio Cross-Dimensionale</w:t>
      </w:r>
    </w:p>
    <w:p>
      <w:pPr>
        <w:pStyle w:val="Normal"/>
        <w:spacing w:before="0" w:after="120"/>
        <w:jc w:val="left"/>
        <w:rPr/>
      </w:pPr>
      <w:r>
        <w:rPr>
          <w:rFonts w:eastAsia="Arial" w:cs="Arial"/>
          <w:b w:val="false"/>
          <w:bCs w:val="false"/>
          <w:i w:val="false"/>
          <w:iCs w:val="false"/>
          <w:color w:val="2E2E2E"/>
          <w:sz w:val="18"/>
          <w:szCs w:val="18"/>
        </w:rPr>
        <w:t>Verificare la presenza dei seguenti pattern di rischio noti, indipendentemente dallo score composito: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1199"/>
        <w:gridCol w:w="3201"/>
        <w:gridCol w:w="4626"/>
      </w:tblGrid>
      <w:tr>
        <w:trPr/>
        <w:tc>
          <w:tcPr>
            <w:tcW w:w="1199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2E2E2E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Pattern</w:t>
            </w:r>
          </w:p>
        </w:tc>
        <w:tc>
          <w:tcPr>
            <w:tcW w:w="3201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2E2E2E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Segnale di rischio</w:t>
            </w:r>
          </w:p>
        </w:tc>
        <w:tc>
          <w:tcPr>
            <w:tcW w:w="4626" w:type="dxa"/>
            <w:tcBorders>
              <w:top w:val="single" w:sz="6" w:space="0" w:color="2E2E2E"/>
              <w:left w:val="single" w:sz="6" w:space="0" w:color="2E2E2E"/>
              <w:bottom w:val="single" w:sz="6" w:space="0" w:color="2E2E2E"/>
              <w:right w:val="single" w:sz="6" w:space="0" w:color="2E2E2E"/>
            </w:tcBorders>
            <w:shd w:fill="2E2E2E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Caso reale di riferimento</w:t>
            </w:r>
          </w:p>
        </w:tc>
      </w:tr>
      <w:tr>
        <w:trPr/>
        <w:tc>
          <w:tcPr>
            <w:tcW w:w="11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FF2CC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>D2 alto + D5 basso</w:t>
            </w:r>
          </w:p>
        </w:tc>
        <w:tc>
          <w:tcPr>
            <w:tcW w:w="3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Compliance formale senza etica operativa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Air Canada: sistemi conformi normativamente ma senza supervisione umana reale e senza disclosure adeguata.</w:t>
            </w:r>
          </w:p>
        </w:tc>
      </w:tr>
      <w:tr>
        <w:trPr/>
        <w:tc>
          <w:tcPr>
            <w:tcW w:w="11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FF2CC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>D1 alto + D3 basso</w:t>
            </w:r>
          </w:p>
        </w:tc>
        <w:tc>
          <w:tcPr>
            <w:tcW w:w="3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Business case solido su dati non pronti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IBM Watson Health: forte sponsorship executive, dati clinici non sufficientemente maturi per il caso d'uso.</w:t>
            </w:r>
          </w:p>
        </w:tc>
      </w:tr>
      <w:tr>
        <w:trPr/>
        <w:tc>
          <w:tcPr>
            <w:tcW w:w="11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FF2CC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>D4 alto + D6 basso</w:t>
            </w:r>
          </w:p>
        </w:tc>
        <w:tc>
          <w:tcPr>
            <w:tcW w:w="3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Ottimo modello, zero operatività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Zillow Offers: modello tecnico eccellente, nessun monitoring del drift e nessun piano di incident response.</w:t>
            </w:r>
          </w:p>
        </w:tc>
      </w:tr>
      <w:tr>
        <w:trPr/>
        <w:tc>
          <w:tcPr>
            <w:tcW w:w="11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FF2CC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>D3 basso + D6 basso</w:t>
            </w:r>
          </w:p>
        </w:tc>
        <w:tc>
          <w:tcPr>
            <w:tcW w:w="3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Dati e operatività entrambi immaturi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NHS PRISM: dati di stratificazione incompleti e assenza di integrazione operativa nei workflow clinici.</w:t>
            </w:r>
          </w:p>
        </w:tc>
      </w:tr>
      <w:tr>
        <w:trPr/>
        <w:tc>
          <w:tcPr>
            <w:tcW w:w="11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FF2CC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>D2 basso + D3 basso</w:t>
            </w:r>
          </w:p>
        </w:tc>
        <w:tc>
          <w:tcPr>
            <w:tcW w:w="3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Compliance e privacy ignorati by design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Clearview AI: raccolta dati senza consenso e senza classificazione rischio adeguata.</w:t>
            </w:r>
          </w:p>
        </w:tc>
      </w:tr>
      <w:tr>
        <w:trPr/>
        <w:tc>
          <w:tcPr>
            <w:tcW w:w="11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FF2CC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7B3F00"/>
                <w:sz w:val="18"/>
                <w:szCs w:val="18"/>
              </w:rPr>
              <w:t>D1 basso + D4 alto</w:t>
            </w:r>
          </w:p>
        </w:tc>
        <w:tc>
          <w:tcPr>
            <w:tcW w:w="3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2E2E2E"/>
                <w:sz w:val="18"/>
                <w:szCs w:val="18"/>
              </w:rPr>
              <w:t>Tecnologia avanzata senza problema reale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>PoC vanity: modello stato dell'arte senza use case di business definito. Tipico progetto 'AI-first'.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00"/>
        <w:rPr/>
      </w:pPr>
      <w:r>
        <w:rPr>
          <w:rFonts w:eastAsia="Arial" w:cs="Arial" w:ascii="Arial" w:hAnsi="Arial"/>
          <w:b/>
          <w:bCs/>
          <w:color w:val="2E2E2E"/>
          <w:sz w:val="26"/>
          <w:szCs w:val="26"/>
        </w:rPr>
        <w:t>Spazio per osservazioni finali e raccomandazioni del team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160" w:type="dxa"/>
          <w:bottom w:w="80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6" w:space="0" w:color="9B1D6A"/>
              <w:left w:val="single" w:sz="6" w:space="0" w:color="9B1D6A"/>
              <w:bottom w:val="single" w:sz="6" w:space="0" w:color="9B1D6A"/>
              <w:right w:val="single" w:sz="6" w:space="0" w:color="9B1D6A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00"/>
        <w:rPr/>
      </w:pPr>
      <w:r>
        <w:rPr>
          <w:rFonts w:eastAsia="Arial" w:cs="Arial" w:ascii="Arial" w:hAnsi="Arial"/>
          <w:b/>
          <w:bCs/>
          <w:color w:val="2E2E2E"/>
          <w:sz w:val="26"/>
          <w:szCs w:val="26"/>
        </w:rPr>
        <w:t>Firme e sign-off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300" w:type="dxa"/>
          <w:right w:w="120" w:type="dxa"/>
        </w:tblCellMar>
      </w:tblPr>
      <w:tblGrid>
        <w:gridCol w:w="2256"/>
        <w:gridCol w:w="2257"/>
        <w:gridCol w:w="2257"/>
        <w:gridCol w:w="2255"/>
      </w:tblGrid>
      <w:tr>
        <w:trPr/>
        <w:tc>
          <w:tcPr>
            <w:tcW w:w="22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Business Owner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6"/>
                <w:szCs w:val="16"/>
              </w:rPr>
              <w:t>Nome: ___________________________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6"/>
                <w:szCs w:val="16"/>
              </w:rPr>
              <w:t>Data: ___________________________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6"/>
                <w:szCs w:val="16"/>
              </w:rPr>
              <w:t>Firma: __________________________</w:t>
            </w:r>
          </w:p>
        </w:tc>
        <w:tc>
          <w:tcPr>
            <w:tcW w:w="22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Data Architect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6"/>
                <w:szCs w:val="16"/>
              </w:rPr>
              <w:t>Nome: ___________________________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6"/>
                <w:szCs w:val="16"/>
              </w:rPr>
              <w:t>Data: ___________________________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6"/>
                <w:szCs w:val="16"/>
              </w:rPr>
              <w:t>Firma: __________________________</w:t>
            </w:r>
          </w:p>
        </w:tc>
        <w:tc>
          <w:tcPr>
            <w:tcW w:w="22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Legal / Compliance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6"/>
                <w:szCs w:val="16"/>
              </w:rPr>
              <w:t>Nome: ___________________________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6"/>
                <w:szCs w:val="16"/>
              </w:rPr>
              <w:t>Data: ___________________________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6"/>
                <w:szCs w:val="16"/>
              </w:rPr>
              <w:t>Firma: __________________________</w:t>
            </w:r>
          </w:p>
        </w:tc>
        <w:tc>
          <w:tcPr>
            <w:tcW w:w="2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2E2E2E"/>
                <w:sz w:val="18"/>
                <w:szCs w:val="18"/>
              </w:rPr>
              <w:t>AI System Owner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6"/>
                <w:szCs w:val="16"/>
              </w:rPr>
              <w:t>Nome: ___________________________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6"/>
                <w:szCs w:val="16"/>
              </w:rPr>
              <w:t>Data: ___________________________</w:t>
            </w:r>
          </w:p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6"/>
                <w:szCs w:val="16"/>
              </w:rPr>
              <w:t>Firma: __________________________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0" w:color="9B1D6A"/>
      </w:pBdr>
      <w:spacing w:before="80" w:after="0"/>
      <w:rPr/>
    </w:pPr>
    <w:r>
      <w:rPr>
        <w:rFonts w:eastAsia="Arial" w:cs="Arial"/>
        <w:color w:val="555555"/>
        <w:sz w:val="16"/>
        <w:szCs w:val="16"/>
      </w:rPr>
      <w:t xml:space="preserve">AIPAF v1.2  —  Aprile 2026   | 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20</w:t>
    </w:r>
    <w:r>
      <w:rPr/>
      <w:fldChar w:fldCharType="end"/>
    </w:r>
    <w:r>
      <w:rPr>
        <w:rFonts w:eastAsia="Arial" w:cs="Arial"/>
        <w:color w:val="555555"/>
        <w:sz w:val="16"/>
        <w:szCs w:val="16"/>
      </w:rPr>
      <w:t xml:space="preserve"> 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0" w:color="9B1D6A"/>
      </w:pBdr>
      <w:spacing w:before="80" w:after="0"/>
      <w:rPr/>
    </w:pPr>
    <w:r>
      <w:rPr>
        <w:rFonts w:eastAsia="Arial" w:cs="Arial"/>
        <w:color w:val="555555"/>
        <w:sz w:val="16"/>
        <w:szCs w:val="16"/>
      </w:rPr>
      <w:t xml:space="preserve">AIPAF v1.2  —  Aprile 2026   | 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20</w:t>
    </w:r>
    <w:r>
      <w:rPr/>
      <w:fldChar w:fldCharType="end"/>
    </w:r>
    <w:r>
      <w:rPr>
        <w:rFonts w:eastAsia="Arial" w:cs="Arial"/>
        <w:color w:val="555555"/>
        <w:sz w:val="16"/>
        <w:szCs w:val="16"/>
      </w:rPr>
      <w:t xml:space="preserve"> 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0" w:color="9B1D6A"/>
      </w:pBdr>
      <w:spacing w:before="0" w:after="120"/>
      <w:rPr/>
    </w:pPr>
    <w:r>
      <w:rPr>
        <w:rFonts w:eastAsia="Arial" w:cs="Arial"/>
        <w:b/>
        <w:bCs/>
        <w:color w:val="9B1D6A"/>
        <w:sz w:val="18"/>
        <w:szCs w:val="18"/>
      </w:rPr>
      <w:t>AIPAF — Questionario di Intake &amp; Assessment</w:t>
    </w:r>
    <w:r>
      <w:rPr>
        <w:rFonts w:eastAsia="Arial" w:cs="Arial"/>
        <w:color w:val="555555"/>
        <w:sz w:val="16"/>
        <w:szCs w:val="16"/>
      </w:rPr>
      <w:t xml:space="preserve">   |   © 2026 Lorenzo Lombardi — CC BY 4.0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0" w:color="9B1D6A"/>
      </w:pBdr>
      <w:spacing w:before="0" w:after="120"/>
      <w:rPr/>
    </w:pPr>
    <w:r>
      <w:rPr>
        <w:rFonts w:eastAsia="Arial" w:cs="Arial"/>
        <w:b/>
        <w:bCs/>
        <w:color w:val="9B1D6A"/>
        <w:sz w:val="18"/>
        <w:szCs w:val="18"/>
      </w:rPr>
      <w:t>AIPAF — Questionario di Intake &amp; Assessment</w:t>
    </w:r>
    <w:r>
      <w:rPr>
        <w:rFonts w:eastAsia="Arial" w:cs="Arial"/>
        <w:color w:val="555555"/>
        <w:sz w:val="16"/>
        <w:szCs w:val="16"/>
      </w:rPr>
      <w:t xml:space="preserve">   |   © 2026 Lorenzo Lombardi — CC BY 4.0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2E2E2E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2E2E2E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>
      <w:spacing w:before="360" w:after="160"/>
      <w:outlineLvl w:val="0"/>
    </w:pPr>
    <w:rPr>
      <w:rFonts w:ascii="Arial" w:hAnsi="Arial" w:eastAsia="Arial" w:cs="Arial"/>
      <w:b/>
      <w:bCs/>
      <w:sz w:val="36"/>
      <w:szCs w:val="36"/>
    </w:rPr>
  </w:style>
  <w:style w:type="paragraph" w:styleId="Heading2">
    <w:name w:val="Heading 2"/>
    <w:basedOn w:val="Heading"/>
    <w:qFormat/>
    <w:pPr>
      <w:spacing w:before="280" w:after="100"/>
      <w:outlineLvl w:val="1"/>
    </w:pPr>
    <w:rPr>
      <w:rFonts w:ascii="Arial" w:hAnsi="Arial" w:eastAsia="Arial" w:cs="Arial"/>
      <w:b/>
      <w:bCs/>
      <w:sz w:val="26"/>
      <w:szCs w:val="26"/>
    </w:rPr>
  </w:style>
  <w:style w:type="paragraph" w:styleId="Heading3">
    <w:name w:val="Heading 3"/>
    <w:basedOn w:val="Heading"/>
    <w:qFormat/>
    <w:pPr>
      <w:spacing w:before="20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LineNumber">
    <w:name w:val="Lin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2E2E2E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2E2E2E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23</Pages>
  <Words>736</Words>
  <Characters>4352</Characters>
  <CharactersWithSpaces>5056</CharactersWithSpaces>
  <Paragraphs>127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2026-04-25T14:22:31Z</dcterms:created>
  <dc:creator>Lorenzo Lombardi</dc:creator>
  <dc:description/>
  <dc:language>en-US</dc:language>
  <cp:lastModifiedBy/>
  <dcterms:modified xsi:type="dcterms:W3CDTF">2026-08-25T08:05:53Z</dcterms:modified>
  <cp:revision>2</cp:revision>
  <dc:subject/>
  <dc:title/>
</cp:coreProperties>
</file>