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Product Requirements Document (PRD)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Project Name:</w:t>
      </w:r>
      <w:r>
        <w:t xml:space="preserve"> NextBank – A Digital Banking Application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Date:</w:t>
      </w:r>
      <w:r>
        <w:t xml:space="preserve"> July 28, 2025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Prepared by:</w:t>
      </w:r>
      <w:r>
        <w:t xml:space="preserve"> Product Management Team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1. Introduction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1.1 Overview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NextBank is a microservices-based digital banking platform designed to provide customers with a secure, intuitive, and seamless banking experience. The application supports personal banking functionalities such as account management, fund transfers, transaction history, and notifications, while empowering bank staff with administrative controls and reporting tools.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1.2 Target Audience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US"/>
        </w:rPr>
        <w:t xml:space="preserve">- </w:t>
      </w:r>
      <w:r>
        <w:rPr>
          <w:b/>
          <w:bCs/>
        </w:rPr>
        <w:t>End Customers:</w:t>
      </w:r>
      <w:r>
        <w:t xml:space="preserve"> Individuals seeking online banking solutions.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US"/>
        </w:rPr>
        <w:t xml:space="preserve">- </w:t>
      </w:r>
      <w:r>
        <w:rPr>
          <w:b/>
          <w:bCs/>
        </w:rPr>
        <w:t>Bank Employees:</w:t>
      </w:r>
      <w:r>
        <w:t xml:space="preserve"> Customer support and relationship managers.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b/>
          <w:bCs/>
          <w:lang w:val="en-US"/>
        </w:rPr>
        <w:t xml:space="preserve">- </w:t>
      </w:r>
      <w:r>
        <w:rPr>
          <w:b/>
          <w:bCs/>
        </w:rPr>
        <w:t>Administrators:</w:t>
      </w:r>
      <w:r>
        <w:t xml:space="preserve"> Internal users managing operations and compliance.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1.3 Goals &amp; Objectives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t>Provide core retail banking functionalities via a web and mobile interface.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Ensure high availability, scalability, and responsiveness.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Enable easy integration with third-party financial services.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Maintain robust access control and audit capabilities.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2. Scope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2.1 In-Scope Functionalities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User registration and login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Account creation and overview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Fund transfer (intra-bank and inter-bank)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Transaction history and download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Notifications (SMS/Email/Push)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Customer support ticketing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Admin dashboard with user and transaction management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Reporting and audit tools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2.2 Out-of-Scope Items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Investment portfolio management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Cryptocurrency transactions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US"/>
        </w:rPr>
        <w:t xml:space="preserve">- </w:t>
      </w:r>
      <w:r>
        <w:t>Multi-language support (planned for future release)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3. User Stories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3.1 Customers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 customer</w:t>
      </w:r>
      <w:r>
        <w:t>, I want to register and log in so that I can access my accounts.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 customer</w:t>
      </w:r>
      <w:r>
        <w:t>, I want to transfer funds to other accounts and receive confirmation notifications.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 customer</w:t>
      </w:r>
      <w:r>
        <w:t>, I want to view and download my transaction history.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3.2 Bank Staff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 support staff member</w:t>
      </w:r>
      <w:r>
        <w:t>, I want to view customer information to assist with queries.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 relationship manager</w:t>
      </w:r>
      <w:r>
        <w:t>, I want to monitor customer transactions and raise alerts for anomalies.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3.3 Administrators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an admin</w:t>
      </w:r>
      <w:r>
        <w:t>, I want to manage user roles and permissions.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i/>
          <w:iCs/>
          <w:lang w:val="en-US"/>
        </w:rPr>
        <w:t xml:space="preserve">- </w:t>
      </w:r>
      <w:r>
        <w:rPr>
          <w:i/>
          <w:iCs/>
        </w:rPr>
        <w:t>As an admin</w:t>
      </w:r>
      <w:r>
        <w:t>, I want to generate compliance and activity reports.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4. Functional Requirements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b/>
          <w:bCs/>
        </w:rPr>
        <w:t>4.1 Customer Feature</w:t>
      </w:r>
      <w:r>
        <w:rPr>
          <w:rFonts w:hint="default"/>
          <w:b/>
          <w:bCs/>
          <w:lang w:val="en-US"/>
        </w:rPr>
        <w:t>s</w:t>
      </w:r>
    </w:p>
    <w:tbl>
      <w:tblPr>
        <w:tblStyle w:val="12"/>
        <w:tblW w:w="0" w:type="auto"/>
        <w:tblCellSpacing w:w="15" w:type="dxa"/>
        <w:tblInd w:w="-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3"/>
        <w:gridCol w:w="2562"/>
        <w:gridCol w:w="5167"/>
      </w:tblGrid>
      <w:tr>
        <w:trPr>
          <w:tblHeader/>
          <w:tblCellSpacing w:w="15" w:type="dxa"/>
        </w:trPr>
        <w:tc>
          <w:tcPr>
            <w:tcW w:w="6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Feature</w:t>
            </w:r>
          </w:p>
        </w:tc>
        <w:tc>
          <w:tcPr>
            <w:tcW w:w="5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blCellSpacing w:w="15" w:type="dxa"/>
        </w:trPr>
        <w:tc>
          <w:tcPr>
            <w:tcW w:w="6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FR-10</w:t>
            </w:r>
          </w:p>
        </w:tc>
        <w:tc>
          <w:tcPr>
            <w:tcW w:w="2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User Management</w:t>
            </w:r>
          </w:p>
        </w:tc>
        <w:tc>
          <w:tcPr>
            <w:tcW w:w="5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lang w:val="en-US"/>
              </w:rPr>
            </w:pPr>
            <w:r>
              <w:t>Create, edit, or disable user accounts.</w:t>
            </w:r>
            <w:r>
              <w:rPr>
                <w:rFonts w:hint="default"/>
                <w:lang w:val="en-US"/>
              </w:rPr>
              <w:t>No reviewer needed.</w:t>
            </w:r>
            <w:bookmarkStart w:id="0" w:name="_GoBack"/>
            <w:bookmarkEnd w:id="0"/>
          </w:p>
        </w:tc>
      </w:tr>
      <w:tr>
        <w:trPr>
          <w:tblCellSpacing w:w="15" w:type="dxa"/>
        </w:trPr>
        <w:tc>
          <w:tcPr>
            <w:tcW w:w="6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FR-11</w:t>
            </w:r>
          </w:p>
        </w:tc>
        <w:tc>
          <w:tcPr>
            <w:tcW w:w="2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Role-Based Access Control</w:t>
            </w:r>
          </w:p>
        </w:tc>
        <w:tc>
          <w:tcPr>
            <w:tcW w:w="5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Assign roles with permissions.</w:t>
            </w:r>
          </w:p>
        </w:tc>
      </w:tr>
      <w:tr>
        <w:trPr>
          <w:tblCellSpacing w:w="15" w:type="dxa"/>
        </w:trPr>
        <w:tc>
          <w:tcPr>
            <w:tcW w:w="6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FR-12</w:t>
            </w:r>
          </w:p>
        </w:tc>
        <w:tc>
          <w:tcPr>
            <w:tcW w:w="2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Reporting</w:t>
            </w:r>
          </w:p>
        </w:tc>
        <w:tc>
          <w:tcPr>
            <w:tcW w:w="5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lang w:val="en-US"/>
              </w:rPr>
            </w:pPr>
            <w:r>
              <w:t>Generate custom reports on transactions and user activity</w:t>
            </w:r>
            <w:r>
              <w:rPr>
                <w:rFonts w:hint="default"/>
                <w:lang w:val="en-US"/>
              </w:rPr>
              <w:t xml:space="preserve"> allow special characters to search for edge cases.</w:t>
            </w:r>
          </w:p>
        </w:tc>
      </w:tr>
      <w:tr>
        <w:trPr>
          <w:tblCellSpacing w:w="15" w:type="dxa"/>
        </w:trPr>
        <w:tc>
          <w:tcPr>
            <w:tcW w:w="6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FR-13</w:t>
            </w:r>
          </w:p>
        </w:tc>
        <w:tc>
          <w:tcPr>
            <w:tcW w:w="2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Ticket Review</w:t>
            </w:r>
          </w:p>
        </w:tc>
        <w:tc>
          <w:tcPr>
            <w:tcW w:w="5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lang w:val="en-US"/>
              </w:rPr>
            </w:pPr>
            <w:r>
              <w:t>View and manage support tickets submitted by users</w:t>
            </w:r>
            <w:r>
              <w:rPr>
                <w:rFonts w:hint="default"/>
                <w:lang w:val="en-US"/>
              </w:rPr>
              <w:t>, all reviewers can view all tickets.</w:t>
            </w:r>
          </w:p>
        </w:tc>
      </w:tr>
    </w:tbl>
    <w:p>
      <w:pPr>
        <w:rPr>
          <w:rFonts w:hint="default"/>
          <w:bdr w:val="single" w:color="000000" w:themeColor="text1" w:sz="2" w:space="0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4.2 Administrative Features</w:t>
      </w:r>
    </w:p>
    <w:tbl>
      <w:tblPr>
        <w:tblStyle w:val="12"/>
        <w:tblW w:w="0" w:type="auto"/>
        <w:tblCellSpacing w:w="1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7"/>
        <w:gridCol w:w="2271"/>
        <w:gridCol w:w="5513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User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lang w:val="en-US"/>
              </w:rPr>
            </w:pPr>
            <w:r>
              <w:t>Create, edit, or disable user accounts.</w:t>
            </w:r>
            <w:r>
              <w:rPr>
                <w:rFonts w:hint="default"/>
                <w:lang w:val="en-US"/>
              </w:rPr>
              <w:t xml:space="preserve"> User accounts stored using SHA1 hash.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Role-Based Access Control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Assign roles with specific permissions.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Reporting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Generate custom reports on transactions and user activity.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FR-13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Ticket Review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View and manage support tickets submitted by users.</w:t>
            </w:r>
          </w:p>
        </w:tc>
      </w:tr>
    </w:tbl>
    <w:p>
      <w:pPr>
        <w:rPr>
          <w:rFonts w:hint="default"/>
          <w:bdr w:val="single" w:color="000000" w:themeColor="text1" w:sz="2" w:space="0"/>
          <w:lang w:val="en-US"/>
        </w:rPr>
      </w:pPr>
    </w:p>
    <w:p>
      <w:pPr>
        <w:rPr>
          <w:rFonts w:hint="default"/>
          <w:bdr w:val="single" w:color="000000" w:themeColor="text1" w:sz="2" w:space="0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5. Non-Functional Requirements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4"/>
        <w:gridCol w:w="6262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Requirement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System should respond to API calls within 200ms under normal load.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Should support 1M+ users with elastic horizontal scaling.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Uptime of 99.99% with multi-zone redundancy.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Usability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Web &amp; mobile UI must be WCAG 2.1 compliant.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Modular services with automated testing and CI/CD.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Internationalization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All date/time and currency formats should be locale-aware.</w:t>
            </w:r>
          </w:p>
        </w:tc>
      </w:tr>
    </w:tbl>
    <w:p>
      <w:pPr>
        <w:rPr>
          <w:rFonts w:hint="default"/>
          <w:bdr w:val="single" w:color="000000" w:themeColor="text1" w:sz="2" w:space="0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b/>
          <w:bCs/>
        </w:rPr>
      </w:pPr>
      <w:r>
        <w:rPr>
          <w:b/>
          <w:bCs/>
        </w:rPr>
        <w:t> Architecture Overview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511550"/>
            <wp:effectExtent l="0" t="0" r="16510" b="19050"/>
            <wp:docPr id="1" name="Picture 1" descr="245cb28a-b3e8-4142-8b64-dd7e78e97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5cb28a-b3e8-4142-8b64-dd7e78e97f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7. Data Flow</w:t>
      </w:r>
    </w:p>
    <w:p>
      <w:pPr>
        <w:rPr>
          <w:rFonts w:hint="default"/>
        </w:rPr>
      </w:pPr>
      <w:r>
        <w:rPr>
          <w:rFonts w:hint="default"/>
        </w:rPr>
        <w:t>Example: Fund Transfer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Customer initiates transfer via UI.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Request is routed through API Gateway → Auth Service validates token.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Transaction Service validates balance and recipient.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Transaction is executed and stored in DB.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Notification Service sends confirmation to user.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Audit Service logs the transaction.</w:t>
      </w:r>
    </w:p>
    <w:p>
      <w:pPr>
        <w:rPr>
          <w:rStyle w:val="41"/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8. Integration Points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3"/>
        <w:gridCol w:w="2803"/>
        <w:gridCol w:w="2306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External System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Integration Method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RBI Payment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Interbank transfer routing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lang w:val="en-US"/>
              </w:rPr>
            </w:pPr>
            <w:r>
              <w:t xml:space="preserve">REST APIs with </w:t>
            </w:r>
            <w:r>
              <w:rPr>
                <w:rFonts w:hint="default"/>
                <w:lang w:val="en-US"/>
              </w:rPr>
              <w:t>auth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SMS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User notification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HTTP-based API</w:t>
            </w:r>
          </w:p>
        </w:tc>
      </w:tr>
      <w:tr>
        <w:trPr>
          <w:trHeight w:val="18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Email Service (e.g., SES)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Email notifications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SMTP &amp; API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KYC Provider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Identity verification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OAuth-API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Fraud Detection Engine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Transaction anomaly checks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Kafka topic integration</w:t>
            </w:r>
          </w:p>
        </w:tc>
      </w:tr>
    </w:tbl>
    <w:p>
      <w:pPr>
        <w:rPr>
          <w:rStyle w:val="41"/>
          <w:rFonts w:hint="default"/>
          <w:lang w:val="en-US"/>
        </w:rPr>
      </w:pPr>
    </w:p>
    <w:p>
      <w:pPr>
        <w:rPr>
          <w:rStyle w:val="41"/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9. Deployment Strategy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4632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Strategy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Cloud Provider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AWS (multi-region deployment)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Containerization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Docker images managed via EKS (Kubernetes)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GitHub Actions + ArgoCD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Secrets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AWS Secrets Manager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Observability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Prometheus + Grafana + ELK stack</w:t>
            </w:r>
          </w:p>
        </w:tc>
      </w:tr>
    </w:tbl>
    <w:p>
      <w:pPr>
        <w:rPr>
          <w:rStyle w:val="41"/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10. Testing Strategy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6392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Test 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Unit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Performed using JUnit/PyTest with &gt;90% coverage per microservice.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Validate interactions between services using mock/stub services.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System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Test E2E flows in staging with production-like data.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UAT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Executed by business stakeholders using pre-defined test cases.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Load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Simulate high-volume usage with tools like JMeter or Locust.</w:t>
            </w:r>
          </w:p>
        </w:tc>
      </w:tr>
    </w:tbl>
    <w:p>
      <w:pPr>
        <w:rPr>
          <w:rStyle w:val="41"/>
          <w:rFonts w:hint="default"/>
          <w:lang w:val="en-US"/>
        </w:rPr>
      </w:pPr>
    </w:p>
    <w:p>
      <w:pPr>
        <w:rPr>
          <w:rStyle w:val="41"/>
          <w:rFonts w:hint="default"/>
          <w:lang w:val="en-US"/>
        </w:rPr>
      </w:pPr>
    </w:p>
    <w:p>
      <w:pPr>
        <w:rPr>
          <w:rStyle w:val="41"/>
          <w:rFonts w:hint="default"/>
          <w:lang w:val="en-US"/>
        </w:rPr>
      </w:pPr>
    </w:p>
    <w:p>
      <w:pPr>
        <w:rPr>
          <w:rStyle w:val="41"/>
          <w:rFonts w:hint="default"/>
          <w:lang w:val="en-US"/>
        </w:rPr>
      </w:pPr>
      <w:r>
        <w:rPr>
          <w:rStyle w:val="41"/>
          <w:rFonts w:hint="default"/>
          <w:lang w:val="en-US"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11. Compliance and Regulatory Requirements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1"/>
        <w:gridCol w:w="3900"/>
      </w:tblGrid>
      <w:tr>
        <w:trPr>
          <w:tblHeader/>
          <w:tblCellSpacing w:w="15" w:type="dxa"/>
        </w:trPr>
        <w:tc>
          <w:tcPr>
            <w:tcW w:w="4456" w:type="dxa"/>
            <w:tcBorders>
              <w:top w:val="single" w:color="000000" w:sz="2" w:space="0"/>
              <w:left w:val="single" w:color="auto" w:sz="0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Compliance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blCellSpacing w:w="15" w:type="dxa"/>
        </w:trPr>
        <w:tc>
          <w:tcPr>
            <w:tcW w:w="44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PCI DSS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Ensures handling of payment and card data.</w:t>
            </w:r>
          </w:p>
        </w:tc>
      </w:tr>
      <w:tr>
        <w:trPr>
          <w:tblCellSpacing w:w="15" w:type="dxa"/>
        </w:trPr>
        <w:tc>
          <w:tcPr>
            <w:tcW w:w="44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RBI Guidelines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Adherence to Reserve Bank of India digital banking norms.</w:t>
            </w:r>
          </w:p>
        </w:tc>
      </w:tr>
      <w:tr>
        <w:trPr>
          <w:tblCellSpacing w:w="15" w:type="dxa"/>
        </w:trPr>
        <w:tc>
          <w:tcPr>
            <w:tcW w:w="44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ISO/IEC 27001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Information Security Management certification.</w:t>
            </w:r>
          </w:p>
        </w:tc>
      </w:tr>
      <w:tr>
        <w:trPr>
          <w:tblCellSpacing w:w="15" w:type="dxa"/>
        </w:trPr>
        <w:tc>
          <w:tcPr>
            <w:tcW w:w="44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GDPR (for EU users)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Data protection and privacy regulations compliance.</w:t>
            </w:r>
          </w:p>
        </w:tc>
      </w:tr>
      <w:tr>
        <w:trPr>
          <w:tblCellSpacing w:w="15" w:type="dxa"/>
        </w:trPr>
        <w:tc>
          <w:tcPr>
            <w:tcW w:w="445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</w:p>
          <w:p/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12. Appendices</w:t>
            </w:r>
          </w:p>
          <w:tbl>
            <w:tblPr>
              <w:tblStyle w:val="12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2" w:space="0"/>
                <w:insideV w:val="single" w:color="000000" w:sz="2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34"/>
              <w:gridCol w:w="3692"/>
            </w:tblGrid>
            <w:tr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  <w:jc w:val="center"/>
                  </w:pPr>
                  <w:r>
                    <w:rPr>
                      <w:b/>
                      <w:bCs/>
                    </w:rPr>
                    <w:t>Term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  <w:jc w:val="center"/>
                  </w:pPr>
                  <w:r>
                    <w:rPr>
                      <w:b/>
                      <w:bCs/>
                    </w:rPr>
                    <w:t>Definition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KYC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Know Your Customer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MFA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Multi-Factor Authentication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RBAC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Role-Based Access Control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CI/CD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pStyle w:val="8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/>
                    <w:ind w:left="0" w:right="0"/>
                  </w:pPr>
                  <w:r>
                    <w:t>Continuous Integration/Continuous Deployment</w:t>
                  </w:r>
                </w:p>
              </w:tc>
            </w:tr>
          </w:tbl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</w:tr>
    </w:tbl>
    <w:p>
      <w:pPr>
        <w:rPr>
          <w:rStyle w:val="41"/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66D4"/>
    <w:multiLevelType w:val="singleLevel"/>
    <w:tmpl w:val="FDFE66D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77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EDDA6CE"/>
    <w:rsid w:val="4F742C0A"/>
    <w:rsid w:val="73B377D5"/>
    <w:rsid w:val="7DF674A2"/>
    <w:rsid w:val="7FFD39CF"/>
    <w:rsid w:val="A7FD8274"/>
    <w:rsid w:val="DBCE5246"/>
    <w:rsid w:val="DBFF85DD"/>
    <w:rsid w:val="ED5F782B"/>
    <w:rsid w:val="FDFB460B"/>
    <w:rsid w:val="FEFD1653"/>
    <w:rsid w:val="FFD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718</Words>
  <Characters>4451</Characters>
  <Lines>0</Lines>
  <Paragraphs>0</Paragraphs>
  <TotalTime>17</TotalTime>
  <ScaleCrop>false</ScaleCrop>
  <LinksUpToDate>false</LinksUpToDate>
  <CharactersWithSpaces>5005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2025-07-29T08:38:00Z</dcterms:created>
  <dc:creator>satyamnagpal</dc:creator>
  <cp:lastModifiedBy>Something Fun</cp:lastModifiedBy>
  <dcterms:modified xsi:type="dcterms:W3CDTF">2025-07-29T13:51:10Z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