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Microsoft YaHei"/>
          <w:b/>
          <w:color w:val="1F4D78"/>
          <w:sz w:val="36"/>
        </w:rPr>
        <w:t>AI 增强型量化选股与回测系统考试答案</w:t>
      </w:r>
    </w:p>
    <w:p>
      <w:pPr>
        <w:spacing w:after="280"/>
        <w:jc w:val="center"/>
      </w:pPr>
      <w:r>
        <w:rPr>
          <w:rFonts w:ascii="Calibri" w:hAnsi="Calibri" w:eastAsia="Microsoft YaHei"/>
          <w:b w:val="0"/>
          <w:color w:val="555555"/>
          <w:sz w:val="20"/>
        </w:rPr>
        <w:t>基于 ANN-LSTM-Exam 项目 run_full_pipeline.py 的实测输出整理；未输出的内容不做虚构。</w:t>
      </w:r>
    </w:p>
    <w:p>
      <w:pPr>
        <w:pStyle w:val="Heading1"/>
      </w:pPr>
      <w:r>
        <w:t>L1 数据获取与预处理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本题选择标的为 300502.SZ。数据来源为本地已下载的 Tushare 日频 CSV 文件，其中个股数据为 data/stock_300502.csv，基准指数数据为 data/benchmark_300.csv。实测读取到的个股数据区间为 2016-03-03 至 2026-05-29，共 2485 条日频样本，覆盖时间超过 10 年，满足题目要求的“不少于 5 年，且截至 2026 年 5 月”。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数据预处理时，首先按交易日期升序排列，并删除重复日期；随后检查缺失值，实测原始缺失单元格数量为 0。项目仍保留前向填充和后向填充作为兜底逻辑，以防后续更换数据源后出现少量缺失。异常值处理采用 1% 和 99% 分位数缩尾，目的是降低极端异常值或异常行情对统计检验和模型训练的影响。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复权方式采用前复权。前复权可以保持最新价格不变，同时修正历史价格中的分红、送转影响，因此更适合构造收益率和技术指标。项目构造的核心收益率为：</w:t>
      </w:r>
    </w:p>
    <w:p>
      <w:pPr>
        <w:spacing w:after="160"/>
        <w:ind w:left="360"/>
      </w:pPr>
      <w:r>
        <w:rPr>
          <w:rFonts w:ascii="Consolas" w:hAnsi="Consolas" w:eastAsia="Microsoft YaHei"/>
          <w:b w:val="0"/>
          <w:color w:val="1F4D78"/>
          <w:sz w:val="18"/>
        </w:rPr>
        <w:t>r_t = ln(Close_t / Close_{t-1})</w:t>
        <w:br/>
        <w:t>target_h1  = ln(Close_{t+1}  / Close_t)</w:t>
        <w:br/>
        <w:t>target_h5  = ln(Close_{t+5}  / Close_t)</w:t>
        <w:br/>
        <w:t>target_h20 = ln(Close_{t+20} / Close_t)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日历效应按星期几分组统计。实测结果如下：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星期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平均收益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标准差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样本数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正收益比例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Monday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0.005600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0.044051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457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56.67%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Tuesday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0.003729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0.037497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473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52.22%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Wednesday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-0.000966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0.037373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47.69%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Thursday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0.001308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0.039668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50.11%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Friday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-0.000796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0.038327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466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46.78%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  <w:b w:val="0"/>
          <w:sz w:val="22"/>
        </w:rPr>
        <w:t>从结果看，Monday 和 Tuesday 的平均收益与正收益比例相对较高，Wednesday 和 Friday 相对偏弱，说明样本内存在一定星期效应。但当前流程只做了描述性统计，尚未进一步做显著性检验，因此考试作答中应谨慎表述为“存在描述性差异”。</w:t>
      </w:r>
    </w:p>
    <w:p>
      <w:pPr>
        <w:pStyle w:val="Heading1"/>
      </w:pPr>
      <w:r>
        <w:t>L2 探索性分析与平稳性检验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收益率序列的描述统计结果如下：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实测值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均值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0.001753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标准差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0.039477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偏度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0.275234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峰度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2.687883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JB 统计量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731.7661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JB p 值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1.26e-159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  <w:b w:val="0"/>
          <w:sz w:val="22"/>
        </w:rPr>
        <w:t>从分布形态看，收益率均值接近 0，但标准差较大，说明该标的日收益波动较高；偏度为正，说明收益率分布略右偏；JB 检验 p 值极小，显著拒绝正态分布假设，符合金融收益率序列常见的非正态、高噪声特征。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平稳性检验方面，ADF 统计量为 -46.0753，p 值为 0.0，强烈拒绝单位根原假设，说明收益率序列支持平稳。KPSS 统计量为 0.4671，p 值约 0.0491，在 5% 水平附近拒绝平稳性原假设，提示序列可能存在结构变化或状态切换。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综合 ADF 与 KPSS 结果，本文在 ARIMA 建模中取差分阶数 d = 0。理由是建模对象已经是对数收益率，而不是价格水平序列；ADF 明确支持收益率平稳。但 KPSS 的边界结果提示后续分析需要关注非平稳市场状态和时变波动。</w:t>
      </w:r>
    </w:p>
    <w:p>
      <w:pPr>
        <w:pStyle w:val="Heading1"/>
      </w:pPr>
      <w:r>
        <w:t>L3 ARMA/ARIMA 基准建模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本题在 p,q ∈ [0,5] 的范围内进行 ARIMA 网格搜索，并以 AIC/BIC 作为选择依据。实测前三个候选模型如下：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排名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模型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AIC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BIC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ARIMA(1,0,0)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-6697.8196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-6681.3547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ARIMA(0,0,1)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-6697.7045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-6681.2397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ARIMA(0,0,0)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-6697.5143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-6686.5377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  <w:b w:val="0"/>
          <w:sz w:val="22"/>
        </w:rPr>
        <w:t>因此，本文选择 ARIMA(1,0,0) 作为传统时间序列基准模型。残差诊断中，Ljung-Box 检验 lag 10 的 p 值为 0.4177，lag 20 的 p 值为 0.6487，均大于 0.05，说明残差没有显著线性自相关，ARIMA 对均值方程中的线性相关结构刻画基本充分。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但是 ARCH-LM 检验统计量为 84.6770，p 值约 6.04e-14，显著拒绝无 ARCH 效应的原假设，说明残差存在明显条件异方差和波动聚集。因此，若继续改进传统模型，应在 ARIMA 均值方程基础上引入 GARCH(1,1)、EGARCH 或 GJR-GARCH 等波动率模型。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滚动窗口一步外推预测结果为：方向准确率 50.00%，RMSE 为 0.04798，MAE 为 0.03408。该结果说明 ARIMA 作为基准模型误差规模较稳定，但方向预测能力基本接近随机猜测。</w:t>
      </w:r>
    </w:p>
    <w:p>
      <w:pPr>
        <w:pStyle w:val="Heading1"/>
      </w:pPr>
      <w:r>
        <w:t>L4 VAR/VECM 多元扩展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多元扩展中，项目使用个股收益率、沪深 300 收益率以及若干市场状态变量进行 VAR 相关分析。核心经济逻辑是：沪深 300 收益率代表市场系统性风险，成交量变化代表资金活跃度，滚动波动率代表风险状态和波动聚集特征。这些变量能够从市场、资金和风险三个角度补充单变量 ARIMA 模型。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Johansen 检验中，trace statistic 为 1389.2753，大于 5% 临界值 15.4943。不过需要注意，当前流程使用的是收益率变量，而不是价格水平变量，因此不能过度解释为价格之间存在严格协整关系。更稳妥的表述是：收益率和市场变量之间存在较强共同动态变化特征。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当前实测流程完成了 Johansen 检验、VAR 滚动预测、Granger 因果检验和 IRF 图输出，但没有完整输出 VECM 的协整向量与调整系数。因此在考试答案中必须如实说明：本项目完成了 VECM 判断所需的协整检验，但未完整建立和报告 VECM 参数，严格来说 L4 的 VECM 部分仍有不足。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Granger 因果检验结果如下：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变量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 值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hs300_ret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0.6983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5% 水平不显著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volume_change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0.3163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5% 水平不显著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volatility_20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0.1014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5% 水平不显著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  <w:b w:val="0"/>
          <w:sz w:val="22"/>
        </w:rPr>
        <w:t>以上变量在 5% 显著性水平下均未表现出显著 Granger 因果关系。其中 volatility_20 的 p 值相对较低，说明波动率状态可能仍具有一定预测信息，因此后续 AI 特征矩阵中继续保留该类变量。</w:t>
      </w:r>
    </w:p>
    <w:p>
      <w:pPr>
        <w:pStyle w:val="Heading1"/>
      </w:pPr>
      <w:r>
        <w:t>L5 AI 增强建模与集成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本题是系统核心。项目构造了 41 维监督学习特征矩阵，满足题目要求的“不少于 20 维”。特征包括滞后收益、技术指标、波动率与量价特征、市场因子，以及 ARIMA/VAR 残差滞后项。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滞后收益：ret_lag_1 到 ret_lag_10。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技术指标：MA 偏离、MACD、RSI、ATR、OBV、布林带宽度等。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波动率与量价：滚动波动率、日内收益、振幅、成交量变化、成交额变化等。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市场因子：沪深 300 收益率、市场波动率、超额收益、滚动 beta、滚动相关性等。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传统模型残差：arima_resid_lag_1、arima_resid_lag_2、var_resid_lag_1、var_resid_lag_2。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这正是“AI 增强传统模型”的关键：不是只把 ARIMA、VAR 和 LSTM 放在一起比较，而是把 ARIMA/VAR 没有解释掉的残差信息作为 AI 模型输入，让 LSTM 继续学习传统线性模型未捕捉到的非线性关系。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特征选择使用了两种方法：互信息法和随机森林重要性。互信息结果中，intraday_return_scaled、MACD_HIST_scaled、arima_resid_lag_2_scaled、var_resid_lag_2_scaled 等排名靠前；随机森林结果中，ret_lag_7_scaled、hs300_ret_scaled、hs300_volatility_20_scaled、arima_resid_lag_2_scaled、var_resid_lag_2_scaled 等排名靠前。由此可见，ARIMA/VAR 残差滞后项确实提供了一定信息增量。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AI 模型采用扩展后的 ANN-LSTM，并基于 41 维新特征重新训练。旧的 10 维 best_model.pth 权重没有覆盖，只作为旧版基线保留。由于新旧输入维度不同，直接复用旧输入层权重并不严谨，因此主实验采用重新训练。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测试集模型对比结果如下：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模型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方向准确率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RMSE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MAE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LSTM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51.89%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0.04807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0.03397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ARIMA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50.00%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0.04785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0.03401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VAR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48.74%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0.04819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0.03441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Ensemble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47.80%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0.04796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0.03393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  <w:b w:val="0"/>
          <w:sz w:val="22"/>
        </w:rPr>
        <w:t>从结果看，LSTM 的方向准确率最高，为 51.89%；ARIMA 的 RMSE 最低；集成模型的 MAE 最低，但方向准确率不如 LSTM。因此不能夸大为 AI 模型全面优于传统模型，只能说 AI 在方向识别上略有优势，集成模型在平均绝对误差上略有优势。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Diebold-Mariano 检验结果显示，LSTM vs ARIMA 的 p 值为 0.1490，LSTM vs VAR 的 p 值为 0.7083，LSTM vs Ensemble 的 p 值为 0.3318，均大于 0.05。因此，不同模型的预测误差差异没有达到统计显著水平。考试答案中应谨慎表述为：AI 增强模型有一定改进迹象，但 DM 检验未证明其显著优于传统模型。</w:t>
      </w:r>
    </w:p>
    <w:p>
      <w:pPr>
        <w:pStyle w:val="Heading1"/>
      </w:pPr>
      <w:r>
        <w:t>L6 策略回测与最终交付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策略使用模型预测的未来收益率生成交易信号。若预测收益率大于阈值，则持有；否则空仓或降低仓位。交易成本按照 A 股规则设置：印花税 0.05%、佣金 0.025%、滑点 0.1%。样本外测试期为 2025-01-01 至 2026-05-31，与训练期不重叠，且超过 12 个月，满足题目要求。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样本外回测结果如下：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实测结果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总收益率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270.05%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年化收益率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170.68%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年化波动率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55.52%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Sharpe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2.0292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最大回撤 MDD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31.85%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Calmar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5.3590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胜率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30.82%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盈亏比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2.4507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换手率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39.75%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  <w:b w:val="0"/>
          <w:sz w:val="22"/>
        </w:rPr>
        <w:t>该结果说明策略胜率并不高，但盈亏比较高，主要依靠少数较大的盈利交易贡献收益。策略样本外收益较强，但最大回撤达到 31.85%，说明风险仍然较高，实盘应用中需要进一步加强仓位控制和止损机制。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稳健性检验中，对关键信号阈值和仓位方式进行扰动，Sharpe 大致位于 1.96 到 2.35 区间。说明策略对参数变化具有一定稳健性。波动率降权方案可以明显降低最大回撤，但也会牺牲年化收益率。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分市态表现方面，牛市总收益约 218.98%，Sharpe 为 2.7130；震荡市总收益仅 3.40%，Sharpe 为 0.3399；熊市样本天数较少，仅 19 天，虽然统计结果较好，但不能过度解释。整体看，策略更适合趋势行情，在震荡行情中表现明显变弱。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最终结论是：本项目在 ARIMA/VAR 传统时间序列模型基础上，引入 41 维监督学习特征矩阵，并将 ARIMA/VAR 残差作为 AI 输入特征，实现了“传统模型骨架 + AI 非线性增强”的量化建模框架。实测显示，LSTM 在方向准确率上略优于 ARIMA 和 VAR，集成模型在 MAE 上略优，但 DM 检验未显示统计显著优势。因此，本项目可以称为 AI 增强型量化系统，但不能夸大为 AI 显著战胜传统模型。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需要如实说明的不足包括：VECM 未完整输出协整向量与调整系数；日历效应只做了描述性统计；模型预测差异未通过 DM 显著性检验；样本外回测收益较高但回撤较大，震荡市表现较弱。后续可从 GARCH 波动率建模、更严格的市态识别、更多外部因子和更稳健的仓位风控继续改进。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sz w:val="18"/>
      </w:rPr>
      <w:t xml:space="preserve">第 </w:t>
    </w:r>
    <w:fldChar w:fldCharType="begin"/>
    <w:instrText xml:space="preserve">PAGE</w:instrText>
    <w:fldChar w:fldCharType="end"/>
    <w:r>
      <w:rPr>
        <w:rFonts w:ascii="Calibri" w:hAnsi="Calibri" w:eastAsia="Microsoft YaHei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增强型量化选股与回测系统考试答案</dc:title>
  <dc:subject>L1-L6 六道考试题实测答案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