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720"/>
        <w:jc w:val="center"/>
      </w:pPr>
      <w:r>
        <w:rPr>
          <w:rFonts w:ascii="Arial" w:cs="Arial" w:eastAsia="Arial" w:hAnsi="Arial"/>
          <w:b/>
          <w:bCs/>
          <w:i w:val="false"/>
          <w:iCs w:val="false"/>
          <w:color w:val="0B1F3A"/>
          <w:sz w:val="40"/>
          <w:szCs w:val="40"/>
        </w:rPr>
        <w:t xml:space="preserve">URBAN INEQUALITY IN VADODARA</w:t>
      </w:r>
    </w:p>
    <w:p>
      <w:pPr>
        <w:spacing w:after="140" w:before="0"/>
        <w:jc w:val="center"/>
      </w:pPr>
      <w:r>
        <w:rPr>
          <w:rFonts w:ascii="Arial" w:cs="Arial" w:eastAsia="Arial" w:hAnsi="Arial"/>
          <w:b w:val="false"/>
          <w:bCs w:val="false"/>
          <w:i/>
          <w:iCs/>
          <w:color w:val="2E6DA4"/>
          <w:sz w:val="26"/>
          <w:szCs w:val="26"/>
        </w:rPr>
        <w:t xml:space="preserve">Geo-Spatial Analysis of Opportunity, Risk &amp; Accessibility</w:t>
      </w:r>
    </w:p>
    <w:p>
      <w:pPr>
        <w:spacing w:after="80" w:before="0"/>
        <w:jc w:val="center"/>
      </w:pPr>
      <w:r>
        <w:rPr>
          <w:rFonts w:ascii="Arial" w:cs="Arial" w:eastAsia="Arial" w:hAnsi="Arial"/>
          <w:b w:val="false"/>
          <w:bCs w:val="false"/>
          <w:i w:val="false"/>
          <w:iCs w:val="false"/>
          <w:color w:val="5A6272"/>
          <w:sz w:val="22"/>
          <w:szCs w:val="22"/>
        </w:rPr>
        <w:t xml:space="preserve">M.Sc. Statistics — Definitive Technical Summary</w:t>
      </w:r>
    </w:p>
    <w:p>
      <w:pPr>
        <w:spacing w:after="60" w:before="0"/>
        <w:jc w:val="center"/>
      </w:pPr>
      <w:r>
        <w:rPr>
          <w:rFonts w:ascii="Arial" w:cs="Arial" w:eastAsia="Arial" w:hAnsi="Arial"/>
          <w:b w:val="false"/>
          <w:bCs w:val="false"/>
          <w:i w:val="false"/>
          <w:iCs w:val="false"/>
          <w:color w:val="5A6272"/>
          <w:sz w:val="21"/>
          <w:szCs w:val="21"/>
        </w:rPr>
        <w:t xml:space="preserve">Vadodara Municipal Corporation · 32 Wards · 2024–2026</w:t>
      </w:r>
    </w:p>
    <w:p>
      <w:pPr>
        <w:spacing w:after="480" w:before="0"/>
        <w:jc w:val="center"/>
      </w:pPr>
      <w:r>
        <w:rPr>
          <w:rFonts w:ascii="Arial" w:cs="Arial" w:eastAsia="Arial" w:hAnsi="Arial"/>
          <w:b w:val="false"/>
          <w:bCs w:val="false"/>
          <w:i/>
          <w:iCs/>
          <w:color w:val="2E6DA4"/>
          <w:sz w:val="20"/>
          <w:szCs w:val="20"/>
        </w:rPr>
        <w:t xml:space="preserve">github.com/threed2y/URBAN-INEQUALITY-IN-BARODA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1F3A" w:sz="8"/>
              <w:left w:val="none" w:color="FFFFFF" w:sz="0"/>
              <w:bottom w:val="none" w:color="FFFFFF" w:sz="0"/>
              <w:right w:val="none" w:color="FFFFFF" w:sz="0"/>
            </w:tcBorders>
          </w:tcPr>
          <w:p>
            <w:pPr>
              <w:spacing w:after="80" w:before="0"/>
            </w:pPr>
            <w:r>
              <w:rPr>
                <w:rFonts w:ascii="Arial" w:cs="Arial" w:eastAsia="Arial" w:hAnsi="Arial"/>
                <w:b w:val="false"/>
                <w:bCs w:val="false"/>
                <w:i w:val="false"/>
                <w:iCs w:val="false"/>
                <w:color w:val="1A1A1A"/>
                <w:sz w:val="22"/>
                <w:szCs w:val="22"/>
              </w:rPr>
              <w:t xml:space="preserve"/>
            </w:r>
          </w:p>
        </w:tc>
      </w:tr>
    </w:tbl>
    <w:p>
      <w:pPr>
        <w:spacing w:after="80" w:before="0"/>
      </w:pPr>
      <w:r>
        <w:rPr>
          <w:rFonts w:ascii="Arial" w:cs="Arial" w:eastAsia="Arial" w:hAnsi="Arial"/>
          <w:b w:val="false"/>
          <w:bCs w:val="false"/>
          <w:i w:val="false"/>
          <w:iCs w:val="false"/>
          <w:color w:val="1A1A1A"/>
          <w:sz w:val="22"/>
          <w:szCs w:val="22"/>
        </w:rPr>
        <w:t xml:space="preserve"/>
      </w:r>
    </w:p>
    <w:p>
      <w:pPr>
        <w:spacing w:after="0" w:before="0"/>
      </w:pPr>
      <w:r>
        <w:br w:type="page"/>
      </w:r>
    </w:p>
    <w:p>
      <w:pPr>
        <w:pStyle w:val="Heading1"/>
        <w:pBdr>
          <w:bottom w:val="single" w:color="2E6DA4" w:sz="4"/>
        </w:pBdr>
        <w:spacing w:after="180" w:before="400"/>
      </w:pPr>
      <w:r>
        <w:rPr>
          <w:rFonts w:ascii="Arial" w:cs="Arial" w:eastAsia="Arial" w:hAnsi="Arial"/>
          <w:b/>
          <w:bCs/>
          <w:i w:val="false"/>
          <w:iCs w:val="false"/>
          <w:color w:val="0B1F3A"/>
          <w:sz w:val="32"/>
          <w:szCs w:val="32"/>
        </w:rPr>
        <w:t xml:space="preserve">1. Project Overview</w:t>
      </w:r>
    </w:p>
    <w:p>
      <w:pPr>
        <w:spacing w:after="100" w:before="60" w:line="320"/>
      </w:pPr>
      <w:r>
        <w:rPr>
          <w:rFonts w:ascii="Arial" w:cs="Arial" w:eastAsia="Arial" w:hAnsi="Arial"/>
          <w:b w:val="false"/>
          <w:bCs w:val="false"/>
          <w:i w:val="false"/>
          <w:iCs w:val="false"/>
          <w:color w:val="1A1A1A"/>
          <w:sz w:val="22"/>
          <w:szCs w:val="22"/>
        </w:rPr>
        <w:t xml:space="preserve">This thesis constructs a ward-level Urban Opportunity Index (UOI) for Vadodara, India, combining four domains of spatial inequality — healthcare accessibility, educational access, public transit coverage, and flood exposure risk — into a single composite measure validated by Bayesian spatial modelling, SWMM hydrodynamic simulation, and Graph Convolutional Network–BYM2 hybrid inference.</w:t>
      </w:r>
    </w:p>
    <w:p>
      <w:pPr>
        <w:spacing w:after="80" w:before="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8D8E8" w:sz="1"/>
              <w:left w:val="single" w:color="C8D8E8" w:sz="1"/>
              <w:bottom w:val="single" w:color="C8D8E8" w:sz="1"/>
              <w:right w:val="single" w:color="C8D8E8" w:sz="1"/>
            </w:tcBorders>
            <w:shd w:fill="D6E8F5" w:val="clear"/>
            <w:tcMar>
              <w:top w:type="dxa" w:w="120"/>
              <w:left w:type="dxa" w:w="220"/>
              <w:bottom w:type="dxa" w:w="120"/>
              <w:right w:type="dxa" w:w="220"/>
            </w:tcMar>
          </w:tcPr>
          <w:p>
            <w:pPr>
              <w:spacing w:after="60" w:before="0"/>
            </w:pPr>
            <w:r>
              <w:rPr>
                <w:rFonts w:ascii="Arial" w:cs="Arial" w:eastAsia="Arial" w:hAnsi="Arial"/>
                <w:b/>
                <w:bCs/>
                <w:i w:val="false"/>
                <w:iCs w:val="false"/>
                <w:color w:val="0B1F3A"/>
                <w:sz w:val="21"/>
                <w:szCs w:val="21"/>
              </w:rPr>
              <w:t xml:space="preserve">Research question</w:t>
            </w:r>
          </w:p>
          <w:p>
            <w:pPr>
              <w:spacing w:line="300"/>
            </w:pPr>
            <w:r>
              <w:rPr>
                <w:rFonts w:ascii="Arial" w:cs="Arial" w:eastAsia="Arial" w:hAnsi="Arial"/>
                <w:b w:val="false"/>
                <w:bCs w:val="false"/>
                <w:i w:val="false"/>
                <w:iCs w:val="false"/>
                <w:color w:val="1A1A1A"/>
                <w:sz w:val="20"/>
                <w:szCs w:val="20"/>
              </w:rPr>
              <w:t xml:space="preserve">How does spatial inequality in urban opportunity manifest across Vadodara's 32 wards, and which neighbourhoods bear a compounded burden of poor accessibility and high flood risk?</w:t>
            </w:r>
          </w:p>
        </w:tc>
      </w:tr>
    </w:tbl>
    <w:p>
      <w:pPr>
        <w:spacing w:after="80" w:before="0"/>
      </w:pPr>
      <w:r>
        <w:rPr>
          <w:rFonts w:ascii="Arial" w:cs="Arial" w:eastAsia="Arial" w:hAnsi="Arial"/>
          <w:b w:val="false"/>
          <w:bCs w:val="false"/>
          <w:i w:val="false"/>
          <w:iCs w:val="false"/>
          <w:color w:val="1A1A1A"/>
          <w:sz w:val="22"/>
          <w:szCs w:val="22"/>
        </w:rPr>
        <w:t xml:space="preserve"/>
      </w:r>
    </w:p>
    <w:p>
      <w:pPr>
        <w:pStyle w:val="Heading2"/>
        <w:spacing w:after="130" w:before="300"/>
      </w:pPr>
      <w:r>
        <w:rPr>
          <w:rFonts w:ascii="Arial" w:cs="Arial" w:eastAsia="Arial" w:hAnsi="Arial"/>
          <w:b/>
          <w:bCs/>
          <w:i w:val="false"/>
          <w:iCs w:val="false"/>
          <w:color w:val="1A4A8A"/>
          <w:sz w:val="26"/>
          <w:szCs w:val="26"/>
        </w:rPr>
        <w:t xml:space="preserve">1.1 Scope and Objectives</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Construct and validate a ward-level Urban Opportunity Index (UOI) with four normalised components</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Quantify spatial autocorrelation via global Moran's I and LISA cluster maps</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Fit a BYM2 Bayesian hierarchical spatial model in PyMC 5 with proper ICAR priors</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Simulate a 4-hour cloudburst using the SWMM DYNWAVE engine and map flood-induced road failure</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Build a GCN + BYM2 hybrid model for graph-informed spatial inequality prediction</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Provide policy-actionable ward typologies — Opportunity × Flood Risk quadrant classification</w:t>
      </w:r>
    </w:p>
    <w:p>
      <w:pPr>
        <w:spacing w:after="80" w:before="0"/>
      </w:pPr>
      <w:r>
        <w:rPr>
          <w:rFonts w:ascii="Arial" w:cs="Arial" w:eastAsia="Arial" w:hAnsi="Arial"/>
          <w:b w:val="false"/>
          <w:bCs w:val="false"/>
          <w:i w:val="false"/>
          <w:iCs w:val="false"/>
          <w:color w:val="1A1A1A"/>
          <w:sz w:val="22"/>
          <w:szCs w:val="22"/>
        </w:rPr>
        <w:t xml:space="preserve"/>
      </w:r>
    </w:p>
    <w:p>
      <w:pPr>
        <w:pStyle w:val="Heading2"/>
        <w:spacing w:after="130" w:before="300"/>
      </w:pPr>
      <w:r>
        <w:rPr>
          <w:rFonts w:ascii="Arial" w:cs="Arial" w:eastAsia="Arial" w:hAnsi="Arial"/>
          <w:b/>
          <w:bCs/>
          <w:i w:val="false"/>
          <w:iCs w:val="false"/>
          <w:color w:val="1A4A8A"/>
          <w:sz w:val="26"/>
          <w:szCs w:val="26"/>
        </w:rPr>
        <w:t xml:space="preserve">1.2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2200"/>
        <w:gridCol w:w="2500"/>
        <w:gridCol w:w="1800"/>
        <w:gridCol w:w="2860"/>
      </w:tblGrid>
      <w:tr>
        <w:tc>
          <w:tcPr>
            <w:tcW w:type="dxa" w:w="2200"/>
            <w:tcBorders>
              <w:top w:val="single" w:color="C8D8E8" w:sz="1"/>
              <w:left w:val="single" w:color="C8D8E8" w:sz="1"/>
              <w:bottom w:val="single" w:color="C8D8E8" w:sz="1"/>
              <w:right w:val="single" w:color="C8D8E8" w:sz="1"/>
            </w:tcBorders>
            <w:shd w:fill="0B1F3A"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Source</w:t>
            </w:r>
          </w:p>
        </w:tc>
        <w:tc>
          <w:tcPr>
            <w:tcW w:type="dxa" w:w="2500"/>
            <w:tcBorders>
              <w:top w:val="single" w:color="C8D8E8" w:sz="1"/>
              <w:left w:val="single" w:color="C8D8E8" w:sz="1"/>
              <w:bottom w:val="single" w:color="C8D8E8" w:sz="1"/>
              <w:right w:val="single" w:color="C8D8E8" w:sz="1"/>
            </w:tcBorders>
            <w:shd w:fill="0B1F3A"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Data</w:t>
            </w:r>
          </w:p>
        </w:tc>
        <w:tc>
          <w:tcPr>
            <w:tcW w:type="dxa" w:w="1800"/>
            <w:tcBorders>
              <w:top w:val="single" w:color="C8D8E8" w:sz="1"/>
              <w:left w:val="single" w:color="C8D8E8" w:sz="1"/>
              <w:bottom w:val="single" w:color="C8D8E8" w:sz="1"/>
              <w:right w:val="single" w:color="C8D8E8" w:sz="1"/>
            </w:tcBorders>
            <w:shd w:fill="0B1F3A"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Resolution</w:t>
            </w:r>
          </w:p>
        </w:tc>
        <w:tc>
          <w:tcPr>
            <w:tcW w:type="dxa" w:w="2860"/>
            <w:tcBorders>
              <w:top w:val="single" w:color="C8D8E8" w:sz="1"/>
              <w:left w:val="single" w:color="C8D8E8" w:sz="1"/>
              <w:bottom w:val="single" w:color="C8D8E8" w:sz="1"/>
              <w:right w:val="single" w:color="C8D8E8" w:sz="1"/>
            </w:tcBorders>
            <w:shd w:fill="0B1F3A"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Access</w:t>
            </w:r>
          </w:p>
        </w:tc>
      </w:tr>
      <w:tr>
        <w:tc>
          <w:tcPr>
            <w:tcW w:type="dxa" w:w="2200"/>
            <w:tcBorders>
              <w:top w:val="single" w:color="C8D8E8" w:sz="1"/>
              <w:left w:val="single" w:color="C8D8E8" w:sz="1"/>
              <w:bottom w:val="single" w:color="C8D8E8" w:sz="1"/>
              <w:right w:val="single" w:color="C8D8E8" w:sz="1"/>
            </w:tcBorders>
            <w:shd w:fill="FFFFFF"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OpenStreetMap (OSMnx)</w:t>
            </w:r>
          </w:p>
        </w:tc>
        <w:tc>
          <w:tcPr>
            <w:tcW w:type="dxa" w:w="2500"/>
            <w:tcBorders>
              <w:top w:val="single" w:color="C8D8E8" w:sz="1"/>
              <w:left w:val="single" w:color="C8D8E8" w:sz="1"/>
              <w:bottom w:val="single" w:color="C8D8E8" w:sz="1"/>
              <w:right w:val="single" w:color="C8D8E8" w:sz="1"/>
            </w:tcBorders>
            <w:shd w:fill="FFFFFF"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Road network, hospitals, schools, bus stops</w:t>
            </w:r>
          </w:p>
        </w:tc>
        <w:tc>
          <w:tcPr>
            <w:tcW w:type="dxa" w:w="1800"/>
            <w:tcBorders>
              <w:top w:val="single" w:color="C8D8E8" w:sz="1"/>
              <w:left w:val="single" w:color="C8D8E8" w:sz="1"/>
              <w:bottom w:val="single" w:color="C8D8E8" w:sz="1"/>
              <w:right w:val="single" w:color="C8D8E8" w:sz="1"/>
            </w:tcBorders>
            <w:shd w:fill="FFFFFF"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Edge-level</w:t>
            </w:r>
          </w:p>
        </w:tc>
        <w:tc>
          <w:tcPr>
            <w:tcW w:type="dxa" w:w="2860"/>
            <w:tcBorders>
              <w:top w:val="single" w:color="C8D8E8" w:sz="1"/>
              <w:left w:val="single" w:color="C8D8E8" w:sz="1"/>
              <w:bottom w:val="single" w:color="C8D8E8" w:sz="1"/>
              <w:right w:val="single" w:color="C8D8E8" w:sz="1"/>
            </w:tcBorders>
            <w:shd w:fill="FFFFFF"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Free</w:t>
            </w:r>
          </w:p>
        </w:tc>
      </w:tr>
      <w:tr>
        <w:tc>
          <w:tcPr>
            <w:tcW w:type="dxa" w:w="2200"/>
            <w:tcBorders>
              <w:top w:val="single" w:color="C8D8E8" w:sz="1"/>
              <w:left w:val="single" w:color="C8D8E8" w:sz="1"/>
              <w:bottom w:val="single" w:color="C8D8E8" w:sz="1"/>
              <w:right w:val="single" w:color="C8D8E8" w:sz="1"/>
            </w:tcBorders>
            <w:shd w:fill="F4F6F9"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Open Vadodara Smart City Bus</w:t>
            </w:r>
          </w:p>
        </w:tc>
        <w:tc>
          <w:tcPr>
            <w:tcW w:type="dxa" w:w="2500"/>
            <w:tcBorders>
              <w:top w:val="single" w:color="C8D8E8" w:sz="1"/>
              <w:left w:val="single" w:color="C8D8E8" w:sz="1"/>
              <w:bottom w:val="single" w:color="C8D8E8" w:sz="1"/>
              <w:right w:val="single" w:color="C8D8E8" w:sz="1"/>
            </w:tcBorders>
            <w:shd w:fill="F4F6F9"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GTFS transit schedules and stop locations</w:t>
            </w:r>
          </w:p>
        </w:tc>
        <w:tc>
          <w:tcPr>
            <w:tcW w:type="dxa" w:w="1800"/>
            <w:tcBorders>
              <w:top w:val="single" w:color="C8D8E8" w:sz="1"/>
              <w:left w:val="single" w:color="C8D8E8" w:sz="1"/>
              <w:bottom w:val="single" w:color="C8D8E8" w:sz="1"/>
              <w:right w:val="single" w:color="C8D8E8" w:sz="1"/>
            </w:tcBorders>
            <w:shd w:fill="F4F6F9"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Stop-level</w:t>
            </w:r>
          </w:p>
        </w:tc>
        <w:tc>
          <w:tcPr>
            <w:tcW w:type="dxa" w:w="2860"/>
            <w:tcBorders>
              <w:top w:val="single" w:color="C8D8E8" w:sz="1"/>
              <w:left w:val="single" w:color="C8D8E8" w:sz="1"/>
              <w:bottom w:val="single" w:color="C8D8E8" w:sz="1"/>
              <w:right w:val="single" w:color="C8D8E8" w:sz="1"/>
            </w:tcBorders>
            <w:shd w:fill="F4F6F9"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Free</w:t>
            </w:r>
          </w:p>
        </w:tc>
      </w:tr>
      <w:tr>
        <w:tc>
          <w:tcPr>
            <w:tcW w:type="dxa" w:w="2200"/>
            <w:tcBorders>
              <w:top w:val="single" w:color="C8D8E8" w:sz="1"/>
              <w:left w:val="single" w:color="C8D8E8" w:sz="1"/>
              <w:bottom w:val="single" w:color="C8D8E8" w:sz="1"/>
              <w:right w:val="single" w:color="C8D8E8" w:sz="1"/>
            </w:tcBorders>
            <w:shd w:fill="FFFFFF"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SRTM 30m DEM</w:t>
            </w:r>
          </w:p>
        </w:tc>
        <w:tc>
          <w:tcPr>
            <w:tcW w:type="dxa" w:w="2500"/>
            <w:tcBorders>
              <w:top w:val="single" w:color="C8D8E8" w:sz="1"/>
              <w:left w:val="single" w:color="C8D8E8" w:sz="1"/>
              <w:bottom w:val="single" w:color="C8D8E8" w:sz="1"/>
              <w:right w:val="single" w:color="C8D8E8" w:sz="1"/>
            </w:tcBorders>
            <w:shd w:fill="FFFFFF"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Terrain elevation for SWMM hydraulics</w:t>
            </w:r>
          </w:p>
        </w:tc>
        <w:tc>
          <w:tcPr>
            <w:tcW w:type="dxa" w:w="1800"/>
            <w:tcBorders>
              <w:top w:val="single" w:color="C8D8E8" w:sz="1"/>
              <w:left w:val="single" w:color="C8D8E8" w:sz="1"/>
              <w:bottom w:val="single" w:color="C8D8E8" w:sz="1"/>
              <w:right w:val="single" w:color="C8D8E8" w:sz="1"/>
            </w:tcBorders>
            <w:shd w:fill="FFFFFF"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30m raster</w:t>
            </w:r>
          </w:p>
        </w:tc>
        <w:tc>
          <w:tcPr>
            <w:tcW w:type="dxa" w:w="2860"/>
            <w:tcBorders>
              <w:top w:val="single" w:color="C8D8E8" w:sz="1"/>
              <w:left w:val="single" w:color="C8D8E8" w:sz="1"/>
              <w:bottom w:val="single" w:color="C8D8E8" w:sz="1"/>
              <w:right w:val="single" w:color="C8D8E8" w:sz="1"/>
            </w:tcBorders>
            <w:shd w:fill="FFFFFF"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Free (NASA)</w:t>
            </w:r>
          </w:p>
        </w:tc>
      </w:tr>
      <w:tr>
        <w:tc>
          <w:tcPr>
            <w:tcW w:type="dxa" w:w="2200"/>
            <w:tcBorders>
              <w:top w:val="single" w:color="C8D8E8" w:sz="1"/>
              <w:left w:val="single" w:color="C8D8E8" w:sz="1"/>
              <w:bottom w:val="single" w:color="C8D8E8" w:sz="1"/>
              <w:right w:val="single" w:color="C8D8E8" w:sz="1"/>
            </w:tcBorders>
            <w:shd w:fill="F4F6F9"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VMC Ward Boundaries</w:t>
            </w:r>
          </w:p>
        </w:tc>
        <w:tc>
          <w:tcPr>
            <w:tcW w:type="dxa" w:w="2500"/>
            <w:tcBorders>
              <w:top w:val="single" w:color="C8D8E8" w:sz="1"/>
              <w:left w:val="single" w:color="C8D8E8" w:sz="1"/>
              <w:bottom w:val="single" w:color="C8D8E8" w:sz="1"/>
              <w:right w:val="single" w:color="C8D8E8" w:sz="1"/>
            </w:tcBorders>
            <w:shd w:fill="F4F6F9"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32 ward administrative polygons</w:t>
            </w:r>
          </w:p>
        </w:tc>
        <w:tc>
          <w:tcPr>
            <w:tcW w:type="dxa" w:w="1800"/>
            <w:tcBorders>
              <w:top w:val="single" w:color="C8D8E8" w:sz="1"/>
              <w:left w:val="single" w:color="C8D8E8" w:sz="1"/>
              <w:bottom w:val="single" w:color="C8D8E8" w:sz="1"/>
              <w:right w:val="single" w:color="C8D8E8" w:sz="1"/>
            </w:tcBorders>
            <w:shd w:fill="F4F6F9"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Ward-level</w:t>
            </w:r>
          </w:p>
        </w:tc>
        <w:tc>
          <w:tcPr>
            <w:tcW w:type="dxa" w:w="2860"/>
            <w:tcBorders>
              <w:top w:val="single" w:color="C8D8E8" w:sz="1"/>
              <w:left w:val="single" w:color="C8D8E8" w:sz="1"/>
              <w:bottom w:val="single" w:color="C8D8E8" w:sz="1"/>
              <w:right w:val="single" w:color="C8D8E8" w:sz="1"/>
            </w:tcBorders>
            <w:shd w:fill="F4F6F9"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Free</w:t>
            </w:r>
          </w:p>
        </w:tc>
      </w:tr>
      <w:tr>
        <w:tc>
          <w:tcPr>
            <w:tcW w:type="dxa" w:w="2200"/>
            <w:tcBorders>
              <w:top w:val="single" w:color="C8D8E8" w:sz="1"/>
              <w:left w:val="single" w:color="C8D8E8" w:sz="1"/>
              <w:bottom w:val="single" w:color="C8D8E8" w:sz="1"/>
              <w:right w:val="single" w:color="C8D8E8" w:sz="1"/>
            </w:tcBorders>
            <w:shd w:fill="FFFFFF"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OSM Overture / city2graph</w:t>
            </w:r>
          </w:p>
        </w:tc>
        <w:tc>
          <w:tcPr>
            <w:tcW w:type="dxa" w:w="2500"/>
            <w:tcBorders>
              <w:top w:val="single" w:color="C8D8E8" w:sz="1"/>
              <w:left w:val="single" w:color="C8D8E8" w:sz="1"/>
              <w:bottom w:val="single" w:color="C8D8E8" w:sz="1"/>
              <w:right w:val="single" w:color="C8D8E8" w:sz="1"/>
            </w:tcBorders>
            <w:shd w:fill="FFFFFF"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Heterogeneous spatial graph construction</w:t>
            </w:r>
          </w:p>
        </w:tc>
        <w:tc>
          <w:tcPr>
            <w:tcW w:type="dxa" w:w="1800"/>
            <w:tcBorders>
              <w:top w:val="single" w:color="C8D8E8" w:sz="1"/>
              <w:left w:val="single" w:color="C8D8E8" w:sz="1"/>
              <w:bottom w:val="single" w:color="C8D8E8" w:sz="1"/>
              <w:right w:val="single" w:color="C8D8E8" w:sz="1"/>
            </w:tcBorders>
            <w:shd w:fill="FFFFFF"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Node/edge</w:t>
            </w:r>
          </w:p>
        </w:tc>
        <w:tc>
          <w:tcPr>
            <w:tcW w:type="dxa" w:w="2860"/>
            <w:tcBorders>
              <w:top w:val="single" w:color="C8D8E8" w:sz="1"/>
              <w:left w:val="single" w:color="C8D8E8" w:sz="1"/>
              <w:bottom w:val="single" w:color="C8D8E8" w:sz="1"/>
              <w:right w:val="single" w:color="C8D8E8" w:sz="1"/>
            </w:tcBorders>
            <w:shd w:fill="FFFFFF"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Free</w:t>
            </w:r>
          </w:p>
        </w:tc>
      </w:tr>
    </w:tbl>
    <w:p>
      <w:pPr>
        <w:spacing w:after="80" w:before="0"/>
      </w:pPr>
      <w:r>
        <w:rPr>
          <w:rFonts w:ascii="Arial" w:cs="Arial" w:eastAsia="Arial" w:hAnsi="Arial"/>
          <w:b w:val="false"/>
          <w:bCs w:val="false"/>
          <w:i w:val="false"/>
          <w:iCs w:val="false"/>
          <w:color w:val="1A1A1A"/>
          <w:sz w:val="22"/>
          <w:szCs w:val="22"/>
        </w:rPr>
        <w:t xml:space="preserve"/>
      </w:r>
    </w:p>
    <w:p>
      <w:pPr>
        <w:spacing w:after="0" w:before="0"/>
      </w:pPr>
      <w:r>
        <w:br w:type="page"/>
      </w:r>
    </w:p>
    <w:p>
      <w:pPr>
        <w:pStyle w:val="Heading1"/>
        <w:pBdr>
          <w:bottom w:val="single" w:color="2E6DA4" w:sz="4"/>
        </w:pBdr>
        <w:spacing w:after="180" w:before="400"/>
      </w:pPr>
      <w:r>
        <w:rPr>
          <w:rFonts w:ascii="Arial" w:cs="Arial" w:eastAsia="Arial" w:hAnsi="Arial"/>
          <w:b/>
          <w:bCs/>
          <w:i w:val="false"/>
          <w:iCs w:val="false"/>
          <w:color w:val="0B1F3A"/>
          <w:sz w:val="32"/>
          <w:szCs w:val="32"/>
        </w:rPr>
        <w:t xml:space="preserve">2. Urban Opportunity Index — Construction</w:t>
      </w:r>
    </w:p>
    <w:p>
      <w:pPr>
        <w:spacing w:after="100" w:before="60" w:line="320"/>
      </w:pPr>
      <w:r>
        <w:rPr>
          <w:rFonts w:ascii="Arial" w:cs="Arial" w:eastAsia="Arial" w:hAnsi="Arial"/>
          <w:b w:val="false"/>
          <w:bCs w:val="false"/>
          <w:i w:val="false"/>
          <w:iCs w:val="false"/>
          <w:color w:val="1A1A1A"/>
          <w:sz w:val="22"/>
          <w:szCs w:val="22"/>
        </w:rPr>
        <w:t xml:space="preserve">The UOI is a min-max normalised composite on the scale 0–100 (higher = better), built from four independently computed sub-scores. The baseline weighting reflects the policy priorities identified in the Vadodara Smart City Mission.</w:t>
      </w:r>
    </w:p>
    <w:p>
      <w:pPr>
        <w:spacing w:after="80" w:before="0"/>
      </w:pPr>
      <w:r>
        <w:rPr>
          <w:rFonts w:ascii="Arial" w:cs="Arial" w:eastAsia="Arial" w:hAnsi="Arial"/>
          <w:b w:val="false"/>
          <w:bCs w:val="false"/>
          <w:i w:val="false"/>
          <w:iCs w:val="false"/>
          <w:color w:val="1A1A1A"/>
          <w:sz w:val="22"/>
          <w:szCs w:val="22"/>
        </w:rPr>
        <w:t xml:space="preserve"/>
      </w:r>
    </w:p>
    <w:p>
      <w:pPr>
        <w:pStyle w:val="Heading2"/>
        <w:spacing w:after="130" w:before="300"/>
      </w:pPr>
      <w:r>
        <w:rPr>
          <w:rFonts w:ascii="Arial" w:cs="Arial" w:eastAsia="Arial" w:hAnsi="Arial"/>
          <w:b/>
          <w:bCs/>
          <w:i w:val="false"/>
          <w:iCs w:val="false"/>
          <w:color w:val="1A4A8A"/>
          <w:sz w:val="26"/>
          <w:szCs w:val="26"/>
        </w:rPr>
        <w:t xml:space="preserve">2.1 Component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500"/>
        <w:gridCol w:w="1000"/>
        <w:gridCol w:w="3000"/>
        <w:gridCol w:w="2200"/>
        <w:gridCol w:w="1660"/>
      </w:tblGrid>
      <w:tr>
        <w:tc>
          <w:tcPr>
            <w:tcW w:type="dxa" w:w="1500"/>
            <w:tcBorders>
              <w:top w:val="single" w:color="C8D8E8" w:sz="1"/>
              <w:left w:val="single" w:color="C8D8E8" w:sz="1"/>
              <w:bottom w:val="single" w:color="C8D8E8" w:sz="1"/>
              <w:right w:val="single" w:color="C8D8E8" w:sz="1"/>
            </w:tcBorders>
            <w:shd w:fill="0B1F3A"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Component</w:t>
            </w:r>
          </w:p>
        </w:tc>
        <w:tc>
          <w:tcPr>
            <w:tcW w:type="dxa" w:w="1000"/>
            <w:tcBorders>
              <w:top w:val="single" w:color="C8D8E8" w:sz="1"/>
              <w:left w:val="single" w:color="C8D8E8" w:sz="1"/>
              <w:bottom w:val="single" w:color="C8D8E8" w:sz="1"/>
              <w:right w:val="single" w:color="C8D8E8" w:sz="1"/>
            </w:tcBorders>
            <w:shd w:fill="0B1F3A"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Weight</w:t>
            </w:r>
          </w:p>
        </w:tc>
        <w:tc>
          <w:tcPr>
            <w:tcW w:type="dxa" w:w="3000"/>
            <w:tcBorders>
              <w:top w:val="single" w:color="C8D8E8" w:sz="1"/>
              <w:left w:val="single" w:color="C8D8E8" w:sz="1"/>
              <w:bottom w:val="single" w:color="C8D8E8" w:sz="1"/>
              <w:right w:val="single" w:color="C8D8E8" w:sz="1"/>
            </w:tcBorders>
            <w:shd w:fill="0B1F3A"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Metric</w:t>
            </w:r>
          </w:p>
        </w:tc>
        <w:tc>
          <w:tcPr>
            <w:tcW w:type="dxa" w:w="2200"/>
            <w:tcBorders>
              <w:top w:val="single" w:color="C8D8E8" w:sz="1"/>
              <w:left w:val="single" w:color="C8D8E8" w:sz="1"/>
              <w:bottom w:val="single" w:color="C8D8E8" w:sz="1"/>
              <w:right w:val="single" w:color="C8D8E8" w:sz="1"/>
            </w:tcBorders>
            <w:shd w:fill="0B1F3A"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Script</w:t>
            </w:r>
          </w:p>
        </w:tc>
        <w:tc>
          <w:tcPr>
            <w:tcW w:type="dxa" w:w="1660"/>
            <w:tcBorders>
              <w:top w:val="single" w:color="C8D8E8" w:sz="1"/>
              <w:left w:val="single" w:color="C8D8E8" w:sz="1"/>
              <w:bottom w:val="single" w:color="C8D8E8" w:sz="1"/>
              <w:right w:val="single" w:color="C8D8E8" w:sz="1"/>
            </w:tcBorders>
            <w:shd w:fill="0B1F3A"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Direction</w:t>
            </w:r>
          </w:p>
        </w:tc>
      </w:tr>
      <w:tr>
        <w:tc>
          <w:tcPr>
            <w:tcW w:type="dxa" w:w="1500"/>
            <w:tcBorders>
              <w:top w:val="single" w:color="C8D8E8" w:sz="1"/>
              <w:left w:val="single" w:color="C8D8E8" w:sz="1"/>
              <w:bottom w:val="single" w:color="C8D8E8" w:sz="1"/>
              <w:right w:val="single" w:color="C8D8E8" w:sz="1"/>
            </w:tcBorders>
            <w:shd w:fill="FFFFFF"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Healthcare (H)</w:t>
            </w:r>
          </w:p>
        </w:tc>
        <w:tc>
          <w:tcPr>
            <w:tcW w:type="dxa" w:w="1000"/>
            <w:tcBorders>
              <w:top w:val="single" w:color="C8D8E8" w:sz="1"/>
              <w:left w:val="single" w:color="C8D8E8" w:sz="1"/>
              <w:bottom w:val="single" w:color="C8D8E8" w:sz="1"/>
              <w:right w:val="single" w:color="C8D8E8" w:sz="1"/>
            </w:tcBorders>
            <w:shd w:fill="FFFFFF"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30%</w:t>
            </w:r>
          </w:p>
        </w:tc>
        <w:tc>
          <w:tcPr>
            <w:tcW w:type="dxa" w:w="3000"/>
            <w:tcBorders>
              <w:top w:val="single" w:color="C8D8E8" w:sz="1"/>
              <w:left w:val="single" w:color="C8D8E8" w:sz="1"/>
              <w:bottom w:val="single" w:color="C8D8E8" w:sz="1"/>
              <w:right w:val="single" w:color="C8D8E8" w:sz="1"/>
            </w:tcBorders>
            <w:shd w:fill="FFFFFF"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Drive-time to nearest hospital / clinic (OSMnx, network isochrone)</w:t>
            </w:r>
          </w:p>
        </w:tc>
        <w:tc>
          <w:tcPr>
            <w:tcW w:type="dxa" w:w="2200"/>
            <w:tcBorders>
              <w:top w:val="single" w:color="C8D8E8" w:sz="1"/>
              <w:left w:val="single" w:color="C8D8E8" w:sz="1"/>
              <w:bottom w:val="single" w:color="C8D8E8" w:sz="1"/>
              <w:right w:val="single" w:color="C8D8E8" w:sz="1"/>
            </w:tcBorders>
            <w:shd w:fill="FFFFFF"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03_accessibility_engine.py</w:t>
            </w:r>
          </w:p>
        </w:tc>
        <w:tc>
          <w:tcPr>
            <w:tcW w:type="dxa" w:w="1660"/>
            <w:tcBorders>
              <w:top w:val="single" w:color="C8D8E8" w:sz="1"/>
              <w:left w:val="single" w:color="C8D8E8" w:sz="1"/>
              <w:bottom w:val="single" w:color="C8D8E8" w:sz="1"/>
              <w:right w:val="single" w:color="C8D8E8" w:sz="1"/>
            </w:tcBorders>
            <w:shd w:fill="FFFFFF"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Higher access = higher score</w:t>
            </w:r>
          </w:p>
        </w:tc>
      </w:tr>
      <w:tr>
        <w:tc>
          <w:tcPr>
            <w:tcW w:type="dxa" w:w="1500"/>
            <w:tcBorders>
              <w:top w:val="single" w:color="C8D8E8" w:sz="1"/>
              <w:left w:val="single" w:color="C8D8E8" w:sz="1"/>
              <w:bottom w:val="single" w:color="C8D8E8" w:sz="1"/>
              <w:right w:val="single" w:color="C8D8E8" w:sz="1"/>
            </w:tcBorders>
            <w:shd w:fill="F4F6F9"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Education (E)</w:t>
            </w:r>
          </w:p>
        </w:tc>
        <w:tc>
          <w:tcPr>
            <w:tcW w:type="dxa" w:w="1000"/>
            <w:tcBorders>
              <w:top w:val="single" w:color="C8D8E8" w:sz="1"/>
              <w:left w:val="single" w:color="C8D8E8" w:sz="1"/>
              <w:bottom w:val="single" w:color="C8D8E8" w:sz="1"/>
              <w:right w:val="single" w:color="C8D8E8" w:sz="1"/>
            </w:tcBorders>
            <w:shd w:fill="F4F6F9"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30%</w:t>
            </w:r>
          </w:p>
        </w:tc>
        <w:tc>
          <w:tcPr>
            <w:tcW w:type="dxa" w:w="3000"/>
            <w:tcBorders>
              <w:top w:val="single" w:color="C8D8E8" w:sz="1"/>
              <w:left w:val="single" w:color="C8D8E8" w:sz="1"/>
              <w:bottom w:val="single" w:color="C8D8E8" w:sz="1"/>
              <w:right w:val="single" w:color="C8D8E8" w:sz="1"/>
            </w:tcBorders>
            <w:shd w:fill="F4F6F9"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Walk-time to nearest school / college (OSMnx)</w:t>
            </w:r>
          </w:p>
        </w:tc>
        <w:tc>
          <w:tcPr>
            <w:tcW w:type="dxa" w:w="2200"/>
            <w:tcBorders>
              <w:top w:val="single" w:color="C8D8E8" w:sz="1"/>
              <w:left w:val="single" w:color="C8D8E8" w:sz="1"/>
              <w:bottom w:val="single" w:color="C8D8E8" w:sz="1"/>
              <w:right w:val="single" w:color="C8D8E8" w:sz="1"/>
            </w:tcBorders>
            <w:shd w:fill="F4F6F9"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03_accessibility_engine.py</w:t>
            </w:r>
          </w:p>
        </w:tc>
        <w:tc>
          <w:tcPr>
            <w:tcW w:type="dxa" w:w="1660"/>
            <w:tcBorders>
              <w:top w:val="single" w:color="C8D8E8" w:sz="1"/>
              <w:left w:val="single" w:color="C8D8E8" w:sz="1"/>
              <w:bottom w:val="single" w:color="C8D8E8" w:sz="1"/>
              <w:right w:val="single" w:color="C8D8E8" w:sz="1"/>
            </w:tcBorders>
            <w:shd w:fill="F4F6F9"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Higher access = higher score</w:t>
            </w:r>
          </w:p>
        </w:tc>
      </w:tr>
      <w:tr>
        <w:tc>
          <w:tcPr>
            <w:tcW w:type="dxa" w:w="1500"/>
            <w:tcBorders>
              <w:top w:val="single" w:color="C8D8E8" w:sz="1"/>
              <w:left w:val="single" w:color="C8D8E8" w:sz="1"/>
              <w:bottom w:val="single" w:color="C8D8E8" w:sz="1"/>
              <w:right w:val="single" w:color="C8D8E8" w:sz="1"/>
            </w:tcBorders>
            <w:shd w:fill="FFFFFF"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Transit (T)</w:t>
            </w:r>
          </w:p>
        </w:tc>
        <w:tc>
          <w:tcPr>
            <w:tcW w:type="dxa" w:w="1000"/>
            <w:tcBorders>
              <w:top w:val="single" w:color="C8D8E8" w:sz="1"/>
              <w:left w:val="single" w:color="C8D8E8" w:sz="1"/>
              <w:bottom w:val="single" w:color="C8D8E8" w:sz="1"/>
              <w:right w:val="single" w:color="C8D8E8" w:sz="1"/>
            </w:tcBorders>
            <w:shd w:fill="FFFFFF"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20%</w:t>
            </w:r>
          </w:p>
        </w:tc>
        <w:tc>
          <w:tcPr>
            <w:tcW w:type="dxa" w:w="3000"/>
            <w:tcBorders>
              <w:top w:val="single" w:color="C8D8E8" w:sz="1"/>
              <w:left w:val="single" w:color="C8D8E8" w:sz="1"/>
              <w:bottom w:val="single" w:color="C8D8E8" w:sz="1"/>
              <w:right w:val="single" w:color="C8D8E8" w:sz="1"/>
            </w:tcBorders>
            <w:shd w:fill="FFFFFF"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Bus stop density + route coverage (GTFS via city2graph)</w:t>
            </w:r>
          </w:p>
        </w:tc>
        <w:tc>
          <w:tcPr>
            <w:tcW w:type="dxa" w:w="2200"/>
            <w:tcBorders>
              <w:top w:val="single" w:color="C8D8E8" w:sz="1"/>
              <w:left w:val="single" w:color="C8D8E8" w:sz="1"/>
              <w:bottom w:val="single" w:color="C8D8E8" w:sz="1"/>
              <w:right w:val="single" w:color="C8D8E8" w:sz="1"/>
            </w:tcBorders>
            <w:shd w:fill="FFFFFF"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03b_transit_accessibility.py</w:t>
            </w:r>
          </w:p>
        </w:tc>
        <w:tc>
          <w:tcPr>
            <w:tcW w:type="dxa" w:w="1660"/>
            <w:tcBorders>
              <w:top w:val="single" w:color="C8D8E8" w:sz="1"/>
              <w:left w:val="single" w:color="C8D8E8" w:sz="1"/>
              <w:bottom w:val="single" w:color="C8D8E8" w:sz="1"/>
              <w:right w:val="single" w:color="C8D8E8" w:sz="1"/>
            </w:tcBorders>
            <w:shd w:fill="FFFFFF"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Higher density = higher score</w:t>
            </w:r>
          </w:p>
        </w:tc>
      </w:tr>
      <w:tr>
        <w:tc>
          <w:tcPr>
            <w:tcW w:type="dxa" w:w="1500"/>
            <w:tcBorders>
              <w:top w:val="single" w:color="C8D8E8" w:sz="1"/>
              <w:left w:val="single" w:color="C8D8E8" w:sz="1"/>
              <w:bottom w:val="single" w:color="C8D8E8" w:sz="1"/>
              <w:right w:val="single" w:color="C8D8E8" w:sz="1"/>
            </w:tcBorders>
            <w:shd w:fill="F4F6F9"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Flood Risk (F)</w:t>
            </w:r>
          </w:p>
        </w:tc>
        <w:tc>
          <w:tcPr>
            <w:tcW w:type="dxa" w:w="1000"/>
            <w:tcBorders>
              <w:top w:val="single" w:color="C8D8E8" w:sz="1"/>
              <w:left w:val="single" w:color="C8D8E8" w:sz="1"/>
              <w:bottom w:val="single" w:color="C8D8E8" w:sz="1"/>
              <w:right w:val="single" w:color="C8D8E8" w:sz="1"/>
            </w:tcBorders>
            <w:shd w:fill="F4F6F9"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20%</w:t>
            </w:r>
          </w:p>
        </w:tc>
        <w:tc>
          <w:tcPr>
            <w:tcW w:type="dxa" w:w="3000"/>
            <w:tcBorders>
              <w:top w:val="single" w:color="C8D8E8" w:sz="1"/>
              <w:left w:val="single" w:color="C8D8E8" w:sz="1"/>
              <w:bottom w:val="single" w:color="C8D8E8" w:sz="1"/>
              <w:right w:val="single" w:color="C8D8E8" w:sz="1"/>
            </w:tcBorders>
            <w:shd w:fill="F4F6F9"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 ward area in flood exposure zone (SWMM post-storm)</w:t>
            </w:r>
          </w:p>
        </w:tc>
        <w:tc>
          <w:tcPr>
            <w:tcW w:type="dxa" w:w="2200"/>
            <w:tcBorders>
              <w:top w:val="single" w:color="C8D8E8" w:sz="1"/>
              <w:left w:val="single" w:color="C8D8E8" w:sz="1"/>
              <w:bottom w:val="single" w:color="C8D8E8" w:sz="1"/>
              <w:right w:val="single" w:color="C8D8E8" w:sz="1"/>
            </w:tcBorders>
            <w:shd w:fill="F4F6F9"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04_risk_assessment.py</w:t>
            </w:r>
          </w:p>
        </w:tc>
        <w:tc>
          <w:tcPr>
            <w:tcW w:type="dxa" w:w="1660"/>
            <w:tcBorders>
              <w:top w:val="single" w:color="C8D8E8" w:sz="1"/>
              <w:left w:val="single" w:color="C8D8E8" w:sz="1"/>
              <w:bottom w:val="single" w:color="C8D8E8" w:sz="1"/>
              <w:right w:val="single" w:color="C8D8E8" w:sz="1"/>
            </w:tcBorders>
            <w:shd w:fill="F4F6F9"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Lower exposure = higher score</w:t>
            </w:r>
          </w:p>
        </w:tc>
      </w:tr>
    </w:tbl>
    <w:p>
      <w:pPr>
        <w:spacing w:after="80" w:before="0"/>
      </w:pPr>
      <w:r>
        <w:rPr>
          <w:rFonts w:ascii="Arial" w:cs="Arial" w:eastAsia="Arial" w:hAnsi="Arial"/>
          <w:b w:val="false"/>
          <w:bCs w:val="false"/>
          <w:i w:val="false"/>
          <w:iCs w:val="false"/>
          <w:color w:val="1A1A1A"/>
          <w:sz w:val="22"/>
          <w:szCs w:val="22"/>
        </w:rPr>
        <w:t xml:space="preserve"/>
      </w:r>
    </w:p>
    <w:p>
      <w:pPr>
        <w:pStyle w:val="Heading2"/>
        <w:spacing w:after="130" w:before="300"/>
      </w:pPr>
      <w:r>
        <w:rPr>
          <w:rFonts w:ascii="Arial" w:cs="Arial" w:eastAsia="Arial" w:hAnsi="Arial"/>
          <w:b/>
          <w:bCs/>
          <w:i w:val="false"/>
          <w:iCs w:val="false"/>
          <w:color w:val="1A4A8A"/>
          <w:sz w:val="26"/>
          <w:szCs w:val="26"/>
        </w:rPr>
        <w:t xml:space="preserve">2.2 UOI Formula</w:t>
      </w:r>
    </w:p>
    <w:p>
      <w:pPr>
        <w:spacing w:after="100" w:before="60" w:line="320"/>
      </w:pPr>
      <w:r>
        <w:rPr>
          <w:rFonts w:ascii="Arial" w:cs="Arial" w:eastAsia="Arial" w:hAnsi="Arial"/>
          <w:b w:val="false"/>
          <w:bCs w:val="false"/>
          <w:i w:val="false"/>
          <w:iCs w:val="false"/>
          <w:color w:val="1A1A1A"/>
          <w:sz w:val="22"/>
          <w:szCs w:val="22"/>
        </w:rPr>
        <w:t xml:space="preserve">Each component xi is min-max normalised to [0,1] across all 32 wards. The flood risk component is inverted (1 − F̂) so that high flood exposure reduces the score.</w:t>
      </w:r>
    </w:p>
    <w:p>
      <w:pPr>
        <w:spacing w:after="140" w:before="140"/>
        <w:ind w:left="720"/>
        <w:jc w:val="center"/>
      </w:pPr>
      <w:r>
        <w:rPr>
          <w:rFonts w:ascii="Courier New" w:cs="Courier New" w:eastAsia="Courier New" w:hAnsi="Courier New"/>
          <w:color w:val="0B1F3A"/>
          <w:sz w:val="22"/>
          <w:szCs w:val="22"/>
        </w:rPr>
        <w:t xml:space="preserve">UOI_i = 0.30·Ĥ_i + 0.30·Ê_i + 0.20·T̂_i + 0.20·(1 − F̂_i)</w:t>
      </w:r>
    </w:p>
    <w:p>
      <w:pPr>
        <w:spacing w:after="100" w:before="60" w:line="320"/>
      </w:pPr>
      <w:r>
        <w:rPr>
          <w:rFonts w:ascii="Arial" w:cs="Arial" w:eastAsia="Arial" w:hAnsi="Arial"/>
          <w:b w:val="false"/>
          <w:bCs w:val="false"/>
          <w:i w:val="false"/>
          <w:iCs w:val="false"/>
          <w:color w:val="1A1A1A"/>
          <w:sz w:val="22"/>
          <w:szCs w:val="22"/>
        </w:rPr>
        <w:t xml:space="preserve">The resulting composite score is rescaled to 0–100 for interpretability. Kolm–Pollak EDE adjustment is applied with aversion parameter κ swept from 0.1 to 2.0 to test inequality-adjusted rankings.</w:t>
      </w:r>
    </w:p>
    <w:p>
      <w:pPr>
        <w:spacing w:after="80" w:before="0"/>
      </w:pPr>
      <w:r>
        <w:rPr>
          <w:rFonts w:ascii="Arial" w:cs="Arial" w:eastAsia="Arial" w:hAnsi="Arial"/>
          <w:b w:val="false"/>
          <w:bCs w:val="false"/>
          <w:i w:val="false"/>
          <w:iCs w:val="false"/>
          <w:color w:val="1A1A1A"/>
          <w:sz w:val="22"/>
          <w:szCs w:val="22"/>
        </w:rPr>
        <w:t xml:space="preserve"/>
      </w:r>
    </w:p>
    <w:p>
      <w:pPr>
        <w:pStyle w:val="Heading2"/>
        <w:spacing w:after="130" w:before="300"/>
      </w:pPr>
      <w:r>
        <w:rPr>
          <w:rFonts w:ascii="Arial" w:cs="Arial" w:eastAsia="Arial" w:hAnsi="Arial"/>
          <w:b/>
          <w:bCs/>
          <w:i w:val="false"/>
          <w:iCs w:val="false"/>
          <w:color w:val="1A4A8A"/>
          <w:sz w:val="26"/>
          <w:szCs w:val="26"/>
        </w:rPr>
        <w:t xml:space="preserve">2.3 Sensitivity Analysis Results</w:t>
      </w:r>
    </w:p>
    <w:p>
      <w:pPr>
        <w:spacing w:after="100" w:before="60" w:line="320"/>
      </w:pPr>
      <w:r>
        <w:rPr>
          <w:rFonts w:ascii="Arial" w:cs="Arial" w:eastAsia="Arial" w:hAnsi="Arial"/>
          <w:b w:val="false"/>
          <w:bCs w:val="false"/>
          <w:i w:val="false"/>
          <w:iCs w:val="false"/>
          <w:color w:val="1A1A1A"/>
          <w:sz w:val="22"/>
          <w:szCs w:val="22"/>
        </w:rPr>
        <w:t xml:space="preserve">A six-step sensitivity protocol was applied: OAT (±5pp weight perturbation), Monte Carlo with Dirichlet draws (N=10,000), Sobol' first-order indices, Kolm–Pollak κ-sweep, and spatial CI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2000"/>
        <w:gridCol w:w="2000"/>
        <w:gridCol w:w="2000"/>
        <w:gridCol w:w="2000"/>
        <w:gridCol w:w="1360"/>
      </w:tblGrid>
      <w:tr>
        <w:tc>
          <w:tcPr>
            <w:tcW w:type="dxa" w:w="2000"/>
            <w:tcBorders>
              <w:top w:val="single" w:color="C8D8E8" w:sz="1"/>
              <w:left w:val="single" w:color="C8D8E8" w:sz="1"/>
              <w:bottom w:val="single" w:color="C8D8E8" w:sz="1"/>
              <w:right w:val="single" w:color="C8D8E8" w:sz="1"/>
            </w:tcBorders>
            <w:shd w:fill="0B1F3A"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Component</w:t>
            </w:r>
          </w:p>
        </w:tc>
        <w:tc>
          <w:tcPr>
            <w:tcW w:type="dxa" w:w="2000"/>
            <w:tcBorders>
              <w:top w:val="single" w:color="C8D8E8" w:sz="1"/>
              <w:left w:val="single" w:color="C8D8E8" w:sz="1"/>
              <w:bottom w:val="single" w:color="C8D8E8" w:sz="1"/>
              <w:right w:val="single" w:color="C8D8E8" w:sz="1"/>
            </w:tcBorders>
            <w:shd w:fill="0B1F3A"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OAT Mean Rank Shift</w:t>
            </w:r>
          </w:p>
        </w:tc>
        <w:tc>
          <w:tcPr>
            <w:tcW w:type="dxa" w:w="2000"/>
            <w:tcBorders>
              <w:top w:val="single" w:color="C8D8E8" w:sz="1"/>
              <w:left w:val="single" w:color="C8D8E8" w:sz="1"/>
              <w:bottom w:val="single" w:color="C8D8E8" w:sz="1"/>
              <w:right w:val="single" w:color="C8D8E8" w:sz="1"/>
            </w:tcBorders>
            <w:shd w:fill="0B1F3A"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MC 95% CI Width (W0)</w:t>
            </w:r>
          </w:p>
        </w:tc>
        <w:tc>
          <w:tcPr>
            <w:tcW w:type="dxa" w:w="2000"/>
            <w:tcBorders>
              <w:top w:val="single" w:color="C8D8E8" w:sz="1"/>
              <w:left w:val="single" w:color="C8D8E8" w:sz="1"/>
              <w:bottom w:val="single" w:color="C8D8E8" w:sz="1"/>
              <w:right w:val="single" w:color="C8D8E8" w:sz="1"/>
            </w:tcBorders>
            <w:shd w:fill="0B1F3A"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Sobol' S₁</w:t>
            </w:r>
          </w:p>
        </w:tc>
        <w:tc>
          <w:tcPr>
            <w:tcW w:type="dxa" w:w="1360"/>
            <w:tcBorders>
              <w:top w:val="single" w:color="C8D8E8" w:sz="1"/>
              <w:left w:val="single" w:color="C8D8E8" w:sz="1"/>
              <w:bottom w:val="single" w:color="C8D8E8" w:sz="1"/>
              <w:right w:val="single" w:color="C8D8E8" w:sz="1"/>
            </w:tcBorders>
            <w:shd w:fill="0B1F3A"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Rank Stability ρ</w:t>
            </w:r>
          </w:p>
        </w:tc>
      </w:tr>
      <w:tr>
        <w:tc>
          <w:tcPr>
            <w:tcW w:type="dxa" w:w="2000"/>
            <w:tcBorders>
              <w:top w:val="single" w:color="C8D8E8" w:sz="1"/>
              <w:left w:val="single" w:color="C8D8E8" w:sz="1"/>
              <w:bottom w:val="single" w:color="C8D8E8" w:sz="1"/>
              <w:right w:val="single" w:color="C8D8E8" w:sz="1"/>
            </w:tcBorders>
            <w:shd w:fill="FFFFFF"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Healthcare</w:t>
            </w:r>
          </w:p>
        </w:tc>
        <w:tc>
          <w:tcPr>
            <w:tcW w:type="dxa" w:w="2000"/>
            <w:tcBorders>
              <w:top w:val="single" w:color="C8D8E8" w:sz="1"/>
              <w:left w:val="single" w:color="C8D8E8" w:sz="1"/>
              <w:bottom w:val="single" w:color="C8D8E8" w:sz="1"/>
              <w:right w:val="single" w:color="C8D8E8" w:sz="1"/>
            </w:tcBorders>
            <w:shd w:fill="FFFFFF"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±1.44</w:t>
            </w:r>
          </w:p>
        </w:tc>
        <w:tc>
          <w:tcPr>
            <w:tcW w:type="dxa" w:w="2000"/>
            <w:tcBorders>
              <w:top w:val="single" w:color="C8D8E8" w:sz="1"/>
              <w:left w:val="single" w:color="C8D8E8" w:sz="1"/>
              <w:bottom w:val="single" w:color="C8D8E8" w:sz="1"/>
              <w:right w:val="single" w:color="C8D8E8" w:sz="1"/>
            </w:tcBorders>
            <w:shd w:fill="FFFFFF"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±17.5</w:t>
            </w:r>
          </w:p>
        </w:tc>
        <w:tc>
          <w:tcPr>
            <w:tcW w:type="dxa" w:w="2000"/>
            <w:tcBorders>
              <w:top w:val="single" w:color="C8D8E8" w:sz="1"/>
              <w:left w:val="single" w:color="C8D8E8" w:sz="1"/>
              <w:bottom w:val="single" w:color="C8D8E8" w:sz="1"/>
              <w:right w:val="single" w:color="C8D8E8" w:sz="1"/>
            </w:tcBorders>
            <w:shd w:fill="FFFFFF"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0.34</w:t>
            </w:r>
          </w:p>
        </w:tc>
        <w:tc>
          <w:tcPr>
            <w:tcW w:type="dxa" w:w="1360"/>
            <w:tcBorders>
              <w:top w:val="single" w:color="C8D8E8" w:sz="1"/>
              <w:left w:val="single" w:color="C8D8E8" w:sz="1"/>
              <w:bottom w:val="single" w:color="C8D8E8" w:sz="1"/>
              <w:right w:val="single" w:color="C8D8E8" w:sz="1"/>
            </w:tcBorders>
            <w:shd w:fill="FFFFFF"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0.977</w:t>
            </w:r>
          </w:p>
        </w:tc>
      </w:tr>
      <w:tr>
        <w:tc>
          <w:tcPr>
            <w:tcW w:type="dxa" w:w="2000"/>
            <w:tcBorders>
              <w:top w:val="single" w:color="C8D8E8" w:sz="1"/>
              <w:left w:val="single" w:color="C8D8E8" w:sz="1"/>
              <w:bottom w:val="single" w:color="C8D8E8" w:sz="1"/>
              <w:right w:val="single" w:color="C8D8E8" w:sz="1"/>
            </w:tcBorders>
            <w:shd w:fill="F4F6F9"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Education</w:t>
            </w:r>
          </w:p>
        </w:tc>
        <w:tc>
          <w:tcPr>
            <w:tcW w:type="dxa" w:w="2000"/>
            <w:tcBorders>
              <w:top w:val="single" w:color="C8D8E8" w:sz="1"/>
              <w:left w:val="single" w:color="C8D8E8" w:sz="1"/>
              <w:bottom w:val="single" w:color="C8D8E8" w:sz="1"/>
              <w:right w:val="single" w:color="C8D8E8" w:sz="1"/>
            </w:tcBorders>
            <w:shd w:fill="F4F6F9"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±1.41</w:t>
            </w:r>
          </w:p>
        </w:tc>
        <w:tc>
          <w:tcPr>
            <w:tcW w:type="dxa" w:w="2000"/>
            <w:tcBorders>
              <w:top w:val="single" w:color="C8D8E8" w:sz="1"/>
              <w:left w:val="single" w:color="C8D8E8" w:sz="1"/>
              <w:bottom w:val="single" w:color="C8D8E8" w:sz="1"/>
              <w:right w:val="single" w:color="C8D8E8" w:sz="1"/>
            </w:tcBorders>
            <w:shd w:fill="F4F6F9"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±16.8</w:t>
            </w:r>
          </w:p>
        </w:tc>
        <w:tc>
          <w:tcPr>
            <w:tcW w:type="dxa" w:w="2000"/>
            <w:tcBorders>
              <w:top w:val="single" w:color="C8D8E8" w:sz="1"/>
              <w:left w:val="single" w:color="C8D8E8" w:sz="1"/>
              <w:bottom w:val="single" w:color="C8D8E8" w:sz="1"/>
              <w:right w:val="single" w:color="C8D8E8" w:sz="1"/>
            </w:tcBorders>
            <w:shd w:fill="F4F6F9"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0.32</w:t>
            </w:r>
          </w:p>
        </w:tc>
        <w:tc>
          <w:tcPr>
            <w:tcW w:type="dxa" w:w="1360"/>
            <w:tcBorders>
              <w:top w:val="single" w:color="C8D8E8" w:sz="1"/>
              <w:left w:val="single" w:color="C8D8E8" w:sz="1"/>
              <w:bottom w:val="single" w:color="C8D8E8" w:sz="1"/>
              <w:right w:val="single" w:color="C8D8E8" w:sz="1"/>
            </w:tcBorders>
            <w:shd w:fill="F4F6F9"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0.974</w:t>
            </w:r>
          </w:p>
        </w:tc>
      </w:tr>
      <w:tr>
        <w:tc>
          <w:tcPr>
            <w:tcW w:type="dxa" w:w="2000"/>
            <w:tcBorders>
              <w:top w:val="single" w:color="C8D8E8" w:sz="1"/>
              <w:left w:val="single" w:color="C8D8E8" w:sz="1"/>
              <w:bottom w:val="single" w:color="C8D8E8" w:sz="1"/>
              <w:right w:val="single" w:color="C8D8E8" w:sz="1"/>
            </w:tcBorders>
            <w:shd w:fill="FFFFFF"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Transit</w:t>
            </w:r>
          </w:p>
        </w:tc>
        <w:tc>
          <w:tcPr>
            <w:tcW w:type="dxa" w:w="2000"/>
            <w:tcBorders>
              <w:top w:val="single" w:color="C8D8E8" w:sz="1"/>
              <w:left w:val="single" w:color="C8D8E8" w:sz="1"/>
              <w:bottom w:val="single" w:color="C8D8E8" w:sz="1"/>
              <w:right w:val="single" w:color="C8D8E8" w:sz="1"/>
            </w:tcBorders>
            <w:shd w:fill="FFFFFF"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±1.16</w:t>
            </w:r>
          </w:p>
        </w:tc>
        <w:tc>
          <w:tcPr>
            <w:tcW w:type="dxa" w:w="2000"/>
            <w:tcBorders>
              <w:top w:val="single" w:color="C8D8E8" w:sz="1"/>
              <w:left w:val="single" w:color="C8D8E8" w:sz="1"/>
              <w:bottom w:val="single" w:color="C8D8E8" w:sz="1"/>
              <w:right w:val="single" w:color="C8D8E8" w:sz="1"/>
            </w:tcBorders>
            <w:shd w:fill="FFFFFF"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±12.4</w:t>
            </w:r>
          </w:p>
        </w:tc>
        <w:tc>
          <w:tcPr>
            <w:tcW w:type="dxa" w:w="2000"/>
            <w:tcBorders>
              <w:top w:val="single" w:color="C8D8E8" w:sz="1"/>
              <w:left w:val="single" w:color="C8D8E8" w:sz="1"/>
              <w:bottom w:val="single" w:color="C8D8E8" w:sz="1"/>
              <w:right w:val="single" w:color="C8D8E8" w:sz="1"/>
            </w:tcBorders>
            <w:shd w:fill="FFFFFF"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0.19</w:t>
            </w:r>
          </w:p>
        </w:tc>
        <w:tc>
          <w:tcPr>
            <w:tcW w:type="dxa" w:w="1360"/>
            <w:tcBorders>
              <w:top w:val="single" w:color="C8D8E8" w:sz="1"/>
              <w:left w:val="single" w:color="C8D8E8" w:sz="1"/>
              <w:bottom w:val="single" w:color="C8D8E8" w:sz="1"/>
              <w:right w:val="single" w:color="C8D8E8" w:sz="1"/>
            </w:tcBorders>
            <w:shd w:fill="FFFFFF"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0.981</w:t>
            </w:r>
          </w:p>
        </w:tc>
      </w:tr>
      <w:tr>
        <w:tc>
          <w:tcPr>
            <w:tcW w:type="dxa" w:w="2000"/>
            <w:tcBorders>
              <w:top w:val="single" w:color="C8D8E8" w:sz="1"/>
              <w:left w:val="single" w:color="C8D8E8" w:sz="1"/>
              <w:bottom w:val="single" w:color="C8D8E8" w:sz="1"/>
              <w:right w:val="single" w:color="C8D8E8" w:sz="1"/>
            </w:tcBorders>
            <w:shd w:fill="F4F6F9"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Flood Risk</w:t>
            </w:r>
          </w:p>
        </w:tc>
        <w:tc>
          <w:tcPr>
            <w:tcW w:type="dxa" w:w="2000"/>
            <w:tcBorders>
              <w:top w:val="single" w:color="C8D8E8" w:sz="1"/>
              <w:left w:val="single" w:color="C8D8E8" w:sz="1"/>
              <w:bottom w:val="single" w:color="C8D8E8" w:sz="1"/>
              <w:right w:val="single" w:color="C8D8E8" w:sz="1"/>
            </w:tcBorders>
            <w:shd w:fill="F4F6F9"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±1.31</w:t>
            </w:r>
          </w:p>
        </w:tc>
        <w:tc>
          <w:tcPr>
            <w:tcW w:type="dxa" w:w="2000"/>
            <w:tcBorders>
              <w:top w:val="single" w:color="C8D8E8" w:sz="1"/>
              <w:left w:val="single" w:color="C8D8E8" w:sz="1"/>
              <w:bottom w:val="single" w:color="C8D8E8" w:sz="1"/>
              <w:right w:val="single" w:color="C8D8E8" w:sz="1"/>
            </w:tcBorders>
            <w:shd w:fill="F4F6F9"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±14.2</w:t>
            </w:r>
          </w:p>
        </w:tc>
        <w:tc>
          <w:tcPr>
            <w:tcW w:type="dxa" w:w="2000"/>
            <w:tcBorders>
              <w:top w:val="single" w:color="C8D8E8" w:sz="1"/>
              <w:left w:val="single" w:color="C8D8E8" w:sz="1"/>
              <w:bottom w:val="single" w:color="C8D8E8" w:sz="1"/>
              <w:right w:val="single" w:color="C8D8E8" w:sz="1"/>
            </w:tcBorders>
            <w:shd w:fill="F4F6F9"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0.27</w:t>
            </w:r>
          </w:p>
        </w:tc>
        <w:tc>
          <w:tcPr>
            <w:tcW w:type="dxa" w:w="1360"/>
            <w:tcBorders>
              <w:top w:val="single" w:color="C8D8E8" w:sz="1"/>
              <w:left w:val="single" w:color="C8D8E8" w:sz="1"/>
              <w:bottom w:val="single" w:color="C8D8E8" w:sz="1"/>
              <w:right w:val="single" w:color="C8D8E8" w:sz="1"/>
            </w:tcBorders>
            <w:shd w:fill="F4F6F9"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0.979</w:t>
            </w:r>
          </w:p>
        </w:tc>
      </w:tr>
    </w:tbl>
    <w:p>
      <w:pPr>
        <w:spacing w:after="80" w:before="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8D8E8" w:sz="1"/>
              <w:left w:val="single" w:color="C8D8E8" w:sz="1"/>
              <w:bottom w:val="single" w:color="C8D8E8" w:sz="1"/>
              <w:right w:val="single" w:color="C8D8E8" w:sz="1"/>
            </w:tcBorders>
            <w:shd w:fill="D6E8F5" w:val="clear"/>
            <w:tcMar>
              <w:top w:type="dxa" w:w="120"/>
              <w:left w:type="dxa" w:w="220"/>
              <w:bottom w:type="dxa" w:w="120"/>
              <w:right w:type="dxa" w:w="220"/>
            </w:tcMar>
          </w:tcPr>
          <w:p>
            <w:pPr>
              <w:spacing w:after="60" w:before="0"/>
            </w:pPr>
            <w:r>
              <w:rPr>
                <w:rFonts w:ascii="Arial" w:cs="Arial" w:eastAsia="Arial" w:hAnsi="Arial"/>
                <w:b/>
                <w:bCs/>
                <w:i w:val="false"/>
                <w:iCs w:val="false"/>
                <w:color w:val="0B1F3A"/>
                <w:sz w:val="21"/>
                <w:szCs w:val="21"/>
              </w:rPr>
              <w:t xml:space="preserve">Key sensitivity finding</w:t>
            </w:r>
          </w:p>
          <w:p>
            <w:pPr>
              <w:spacing w:line="300"/>
            </w:pPr>
            <w:r>
              <w:rPr>
                <w:rFonts w:ascii="Arial" w:cs="Arial" w:eastAsia="Arial" w:hAnsi="Arial"/>
                <w:b w:val="false"/>
                <w:bCs w:val="false"/>
                <w:i w:val="false"/>
                <w:iCs w:val="false"/>
                <w:color w:val="1A1A1A"/>
                <w:sz w:val="20"/>
                <w:szCs w:val="20"/>
              </w:rPr>
              <w:t xml:space="preserve">Healthcare and Education are the highest-sensitivity components (mean rank shift ~1.4). 9/32 wards achieve classification robustness (≥80% quintile agreement across all MC draws). The EDE Spearman ρ remains ≥0.99 across the full κ range — the inequality-adjusted ranking is stable.</w:t>
            </w:r>
          </w:p>
        </w:tc>
      </w:tr>
    </w:tbl>
    <w:p>
      <w:pPr>
        <w:spacing w:after="80" w:before="0"/>
      </w:pPr>
      <w:r>
        <w:rPr>
          <w:rFonts w:ascii="Arial" w:cs="Arial" w:eastAsia="Arial" w:hAnsi="Arial"/>
          <w:b w:val="false"/>
          <w:bCs w:val="false"/>
          <w:i w:val="false"/>
          <w:iCs w:val="false"/>
          <w:color w:val="1A1A1A"/>
          <w:sz w:val="22"/>
          <w:szCs w:val="22"/>
        </w:rPr>
        <w:t xml:space="preserve"/>
      </w:r>
    </w:p>
    <w:p>
      <w:pPr>
        <w:spacing w:after="0" w:before="0"/>
      </w:pPr>
      <w:r>
        <w:br w:type="page"/>
      </w:r>
    </w:p>
    <w:p>
      <w:pPr>
        <w:pStyle w:val="Heading1"/>
        <w:pBdr>
          <w:bottom w:val="single" w:color="2E6DA4" w:sz="4"/>
        </w:pBdr>
        <w:spacing w:after="180" w:before="400"/>
      </w:pPr>
      <w:r>
        <w:rPr>
          <w:rFonts w:ascii="Arial" w:cs="Arial" w:eastAsia="Arial" w:hAnsi="Arial"/>
          <w:b/>
          <w:bCs/>
          <w:i w:val="false"/>
          <w:iCs w:val="false"/>
          <w:color w:val="0B1F3A"/>
          <w:sz w:val="32"/>
          <w:szCs w:val="32"/>
        </w:rPr>
        <w:t xml:space="preserve">3. Spatial Statistics</w:t>
      </w:r>
    </w:p>
    <w:p>
      <w:pPr>
        <w:pStyle w:val="Heading2"/>
        <w:spacing w:after="130" w:before="300"/>
      </w:pPr>
      <w:r>
        <w:rPr>
          <w:rFonts w:ascii="Arial" w:cs="Arial" w:eastAsia="Arial" w:hAnsi="Arial"/>
          <w:b/>
          <w:bCs/>
          <w:i w:val="false"/>
          <w:iCs w:val="false"/>
          <w:color w:val="1A4A8A"/>
          <w:sz w:val="26"/>
          <w:szCs w:val="26"/>
        </w:rPr>
        <w:t xml:space="preserve">3.1 Moran's I and LISA</w:t>
      </w:r>
    </w:p>
    <w:p>
      <w:pPr>
        <w:spacing w:after="100" w:before="60" w:line="320"/>
      </w:pPr>
      <w:r>
        <w:rPr>
          <w:rFonts w:ascii="Arial" w:cs="Arial" w:eastAsia="Arial" w:hAnsi="Arial"/>
          <w:b w:val="false"/>
          <w:bCs w:val="false"/>
          <w:i w:val="false"/>
          <w:iCs w:val="false"/>
          <w:color w:val="1A1A1A"/>
          <w:sz w:val="22"/>
          <w:szCs w:val="22"/>
        </w:rPr>
        <w:t xml:space="preserve">Global Moran's I tests for spatial autocorrelation in UOI under the Queen contiguity weight matrix (built by city2graph.contiguity_graph). A significant positive Moran's I indicates that high-opportunity wards cluster together — a necessary condition justifying the BYM2 spatial random effect.</w:t>
      </w:r>
    </w:p>
    <w:p>
      <w:pPr>
        <w:spacing w:after="140" w:before="140"/>
        <w:ind w:left="720"/>
        <w:jc w:val="center"/>
      </w:pPr>
      <w:r>
        <w:rPr>
          <w:rFonts w:ascii="Courier New" w:cs="Courier New" w:eastAsia="Courier New" w:hAnsi="Courier New"/>
          <w:color w:val="0B1F3A"/>
          <w:sz w:val="22"/>
          <w:szCs w:val="22"/>
        </w:rPr>
        <w:t xml:space="preserve">I = (n / S₀) · (Σᵢ Σⱼ wᵢⱼ (xᵢ − x̄)(xⱼ − x̄)) / (Σᵢ (xᵢ − x̄)²)</w:t>
      </w:r>
    </w:p>
    <w:p>
      <w:pPr>
        <w:spacing w:after="100" w:before="60" w:line="320"/>
      </w:pPr>
      <w:r>
        <w:rPr>
          <w:rFonts w:ascii="Arial" w:cs="Arial" w:eastAsia="Arial" w:hAnsi="Arial"/>
          <w:b w:val="false"/>
          <w:bCs w:val="false"/>
          <w:i w:val="false"/>
          <w:iCs w:val="false"/>
          <w:color w:val="1A1A1A"/>
          <w:sz w:val="22"/>
          <w:szCs w:val="22"/>
        </w:rPr>
        <w:t xml:space="preserve">LISA decomposition (Anselin 1995) identifies four ward typologies: High-High (spatial clusters of opportunity), Low-Low (deprivation clusters), High-Low and Low-High (spatial outliers). This map directly informs the intervention priority ranking.</w:t>
      </w:r>
    </w:p>
    <w:p>
      <w:pPr>
        <w:spacing w:after="80" w:before="0"/>
      </w:pPr>
      <w:r>
        <w:rPr>
          <w:rFonts w:ascii="Arial" w:cs="Arial" w:eastAsia="Arial" w:hAnsi="Arial"/>
          <w:b w:val="false"/>
          <w:bCs w:val="false"/>
          <w:i w:val="false"/>
          <w:iCs w:val="false"/>
          <w:color w:val="1A1A1A"/>
          <w:sz w:val="22"/>
          <w:szCs w:val="22"/>
        </w:rPr>
        <w:t xml:space="preserve"/>
      </w:r>
    </w:p>
    <w:p>
      <w:pPr>
        <w:pStyle w:val="Heading2"/>
        <w:spacing w:after="130" w:before="300"/>
      </w:pPr>
      <w:r>
        <w:rPr>
          <w:rFonts w:ascii="Arial" w:cs="Arial" w:eastAsia="Arial" w:hAnsi="Arial"/>
          <w:b/>
          <w:bCs/>
          <w:i w:val="false"/>
          <w:iCs w:val="false"/>
          <w:color w:val="1A4A8A"/>
          <w:sz w:val="26"/>
          <w:szCs w:val="26"/>
        </w:rPr>
        <w:t xml:space="preserve">3.2 Spatial Regression Model Hierarchy</w:t>
      </w:r>
    </w:p>
    <w:p>
      <w:pPr>
        <w:spacing w:after="100" w:before="60" w:line="320"/>
      </w:pPr>
      <w:r>
        <w:rPr>
          <w:rFonts w:ascii="Arial" w:cs="Arial" w:eastAsia="Arial" w:hAnsi="Arial"/>
          <w:b w:val="false"/>
          <w:bCs w:val="false"/>
          <w:i w:val="false"/>
          <w:iCs w:val="false"/>
          <w:color w:val="1A1A1A"/>
          <w:sz w:val="22"/>
          <w:szCs w:val="22"/>
        </w:rPr>
        <w:t xml:space="preserve">Following Anselin (1988), the Lagrange Multiplier tests on OLS residuals determine whether a Spatial Lag Model (SLM) or Spatial Error Model (SEM) is appropriate before escalating to BYM2.</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1800"/>
        <w:gridCol w:w="1200"/>
        <w:gridCol w:w="5160"/>
      </w:tblGrid>
      <w:tr>
        <w:tc>
          <w:tcPr>
            <w:tcW w:type="dxa" w:w="1200"/>
            <w:tcBorders>
              <w:top w:val="single" w:color="C8D8E8" w:sz="1"/>
              <w:left w:val="single" w:color="C8D8E8" w:sz="1"/>
              <w:bottom w:val="single" w:color="C8D8E8" w:sz="1"/>
              <w:right w:val="single" w:color="C8D8E8" w:sz="1"/>
            </w:tcBorders>
            <w:shd w:fill="0B1F3A"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Model</w:t>
            </w:r>
          </w:p>
        </w:tc>
        <w:tc>
          <w:tcPr>
            <w:tcW w:type="dxa" w:w="1800"/>
            <w:tcBorders>
              <w:top w:val="single" w:color="C8D8E8" w:sz="1"/>
              <w:left w:val="single" w:color="C8D8E8" w:sz="1"/>
              <w:bottom w:val="single" w:color="C8D8E8" w:sz="1"/>
              <w:right w:val="single" w:color="C8D8E8" w:sz="1"/>
            </w:tcBorders>
            <w:shd w:fill="0B1F3A"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When to use</w:t>
            </w:r>
          </w:p>
        </w:tc>
        <w:tc>
          <w:tcPr>
            <w:tcW w:type="dxa" w:w="1200"/>
            <w:tcBorders>
              <w:top w:val="single" w:color="C8D8E8" w:sz="1"/>
              <w:left w:val="single" w:color="C8D8E8" w:sz="1"/>
              <w:bottom w:val="single" w:color="C8D8E8" w:sz="1"/>
              <w:right w:val="single" w:color="C8D8E8" w:sz="1"/>
            </w:tcBorders>
            <w:shd w:fill="0B1F3A"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Coefficient</w:t>
            </w:r>
          </w:p>
        </w:tc>
        <w:tc>
          <w:tcPr>
            <w:tcW w:type="dxa" w:w="5160"/>
            <w:tcBorders>
              <w:top w:val="single" w:color="C8D8E8" w:sz="1"/>
              <w:left w:val="single" w:color="C8D8E8" w:sz="1"/>
              <w:bottom w:val="single" w:color="C8D8E8" w:sz="1"/>
              <w:right w:val="single" w:color="C8D8E8" w:sz="1"/>
            </w:tcBorders>
            <w:shd w:fill="0B1F3A"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Interpretation</w:t>
            </w:r>
          </w:p>
        </w:tc>
      </w:tr>
      <w:tr>
        <w:tc>
          <w:tcPr>
            <w:tcW w:type="dxa" w:w="1200"/>
            <w:tcBorders>
              <w:top w:val="single" w:color="C8D8E8" w:sz="1"/>
              <w:left w:val="single" w:color="C8D8E8" w:sz="1"/>
              <w:bottom w:val="single" w:color="C8D8E8" w:sz="1"/>
              <w:right w:val="single" w:color="C8D8E8" w:sz="1"/>
            </w:tcBorders>
            <w:shd w:fill="FFFFFF"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OLS</w:t>
            </w:r>
          </w:p>
        </w:tc>
        <w:tc>
          <w:tcPr>
            <w:tcW w:type="dxa" w:w="1800"/>
            <w:tcBorders>
              <w:top w:val="single" w:color="C8D8E8" w:sz="1"/>
              <w:left w:val="single" w:color="C8D8E8" w:sz="1"/>
              <w:bottom w:val="single" w:color="C8D8E8" w:sz="1"/>
              <w:right w:val="single" w:color="C8D8E8" w:sz="1"/>
            </w:tcBorders>
            <w:shd w:fill="FFFFFF"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Baseline; LM tests non-significant</w:t>
            </w:r>
          </w:p>
        </w:tc>
        <w:tc>
          <w:tcPr>
            <w:tcW w:type="dxa" w:w="1200"/>
            <w:tcBorders>
              <w:top w:val="single" w:color="C8D8E8" w:sz="1"/>
              <w:left w:val="single" w:color="C8D8E8" w:sz="1"/>
              <w:bottom w:val="single" w:color="C8D8E8" w:sz="1"/>
              <w:right w:val="single" w:color="C8D8E8" w:sz="1"/>
            </w:tcBorders>
            <w:shd w:fill="FFFFFF"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β</w:t>
            </w:r>
          </w:p>
        </w:tc>
        <w:tc>
          <w:tcPr>
            <w:tcW w:type="dxa" w:w="5160"/>
            <w:tcBorders>
              <w:top w:val="single" w:color="C8D8E8" w:sz="1"/>
              <w:left w:val="single" w:color="C8D8E8" w:sz="1"/>
              <w:bottom w:val="single" w:color="C8D8E8" w:sz="1"/>
              <w:right w:val="single" w:color="C8D8E8" w:sz="1"/>
            </w:tcBorders>
            <w:shd w:fill="FFFFFF"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Global covariate effect (biased if spatial autocorrelation exists)</w:t>
            </w:r>
          </w:p>
        </w:tc>
      </w:tr>
      <w:tr>
        <w:tc>
          <w:tcPr>
            <w:tcW w:type="dxa" w:w="1200"/>
            <w:tcBorders>
              <w:top w:val="single" w:color="C8D8E8" w:sz="1"/>
              <w:left w:val="single" w:color="C8D8E8" w:sz="1"/>
              <w:bottom w:val="single" w:color="C8D8E8" w:sz="1"/>
              <w:right w:val="single" w:color="C8D8E8" w:sz="1"/>
            </w:tcBorders>
            <w:shd w:fill="F4F6F9"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SLM (SAR)</w:t>
            </w:r>
          </w:p>
        </w:tc>
        <w:tc>
          <w:tcPr>
            <w:tcW w:type="dxa" w:w="1800"/>
            <w:tcBorders>
              <w:top w:val="single" w:color="C8D8E8" w:sz="1"/>
              <w:left w:val="single" w:color="C8D8E8" w:sz="1"/>
              <w:bottom w:val="single" w:color="C8D8E8" w:sz="1"/>
              <w:right w:val="single" w:color="C8D8E8" w:sz="1"/>
            </w:tcBorders>
            <w:shd w:fill="F4F6F9"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LM-Lag significant, RLM-Lag &gt; RLM-Error</w:t>
            </w:r>
          </w:p>
        </w:tc>
        <w:tc>
          <w:tcPr>
            <w:tcW w:type="dxa" w:w="1200"/>
            <w:tcBorders>
              <w:top w:val="single" w:color="C8D8E8" w:sz="1"/>
              <w:left w:val="single" w:color="C8D8E8" w:sz="1"/>
              <w:bottom w:val="single" w:color="C8D8E8" w:sz="1"/>
              <w:right w:val="single" w:color="C8D8E8" w:sz="1"/>
            </w:tcBorders>
            <w:shd w:fill="F4F6F9"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ρ</w:t>
            </w:r>
          </w:p>
        </w:tc>
        <w:tc>
          <w:tcPr>
            <w:tcW w:type="dxa" w:w="5160"/>
            <w:tcBorders>
              <w:top w:val="single" w:color="C8D8E8" w:sz="1"/>
              <w:left w:val="single" w:color="C8D8E8" w:sz="1"/>
              <w:bottom w:val="single" w:color="C8D8E8" w:sz="1"/>
              <w:right w:val="single" w:color="C8D8E8" w:sz="1"/>
            </w:tcBorders>
            <w:shd w:fill="F4F6F9"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Neighbouring ward UOI influences local UOI — spillover effect</w:t>
            </w:r>
          </w:p>
        </w:tc>
      </w:tr>
      <w:tr>
        <w:tc>
          <w:tcPr>
            <w:tcW w:type="dxa" w:w="1200"/>
            <w:tcBorders>
              <w:top w:val="single" w:color="C8D8E8" w:sz="1"/>
              <w:left w:val="single" w:color="C8D8E8" w:sz="1"/>
              <w:bottom w:val="single" w:color="C8D8E8" w:sz="1"/>
              <w:right w:val="single" w:color="C8D8E8" w:sz="1"/>
            </w:tcBorders>
            <w:shd w:fill="FFFFFF"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SEM</w:t>
            </w:r>
          </w:p>
        </w:tc>
        <w:tc>
          <w:tcPr>
            <w:tcW w:type="dxa" w:w="1800"/>
            <w:tcBorders>
              <w:top w:val="single" w:color="C8D8E8" w:sz="1"/>
              <w:left w:val="single" w:color="C8D8E8" w:sz="1"/>
              <w:bottom w:val="single" w:color="C8D8E8" w:sz="1"/>
              <w:right w:val="single" w:color="C8D8E8" w:sz="1"/>
            </w:tcBorders>
            <w:shd w:fill="FFFFFF"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LM-Error significant, RLM-Error &gt; RLM-Lag</w:t>
            </w:r>
          </w:p>
        </w:tc>
        <w:tc>
          <w:tcPr>
            <w:tcW w:type="dxa" w:w="1200"/>
            <w:tcBorders>
              <w:top w:val="single" w:color="C8D8E8" w:sz="1"/>
              <w:left w:val="single" w:color="C8D8E8" w:sz="1"/>
              <w:bottom w:val="single" w:color="C8D8E8" w:sz="1"/>
              <w:right w:val="single" w:color="C8D8E8" w:sz="1"/>
            </w:tcBorders>
            <w:shd w:fill="FFFFFF"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λ</w:t>
            </w:r>
          </w:p>
        </w:tc>
        <w:tc>
          <w:tcPr>
            <w:tcW w:type="dxa" w:w="5160"/>
            <w:tcBorders>
              <w:top w:val="single" w:color="C8D8E8" w:sz="1"/>
              <w:left w:val="single" w:color="C8D8E8" w:sz="1"/>
              <w:bottom w:val="single" w:color="C8D8E8" w:sz="1"/>
              <w:right w:val="single" w:color="C8D8E8" w:sz="1"/>
            </w:tcBorders>
            <w:shd w:fill="FFFFFF"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Residual spatial clustering from unmeasured confounders</w:t>
            </w:r>
          </w:p>
        </w:tc>
      </w:tr>
      <w:tr>
        <w:tc>
          <w:tcPr>
            <w:tcW w:type="dxa" w:w="1200"/>
            <w:tcBorders>
              <w:top w:val="single" w:color="C8D8E8" w:sz="1"/>
              <w:left w:val="single" w:color="C8D8E8" w:sz="1"/>
              <w:bottom w:val="single" w:color="C8D8E8" w:sz="1"/>
              <w:right w:val="single" w:color="C8D8E8" w:sz="1"/>
            </w:tcBorders>
            <w:shd w:fill="F4F6F9"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GWR</w:t>
            </w:r>
          </w:p>
        </w:tc>
        <w:tc>
          <w:tcPr>
            <w:tcW w:type="dxa" w:w="1800"/>
            <w:tcBorders>
              <w:top w:val="single" w:color="C8D8E8" w:sz="1"/>
              <w:left w:val="single" w:color="C8D8E8" w:sz="1"/>
              <w:bottom w:val="single" w:color="C8D8E8" w:sz="1"/>
              <w:right w:val="single" w:color="C8D8E8" w:sz="1"/>
            </w:tcBorders>
            <w:shd w:fill="F4F6F9"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After global model; spatially varying β</w:t>
            </w:r>
          </w:p>
        </w:tc>
        <w:tc>
          <w:tcPr>
            <w:tcW w:type="dxa" w:w="1200"/>
            <w:tcBorders>
              <w:top w:val="single" w:color="C8D8E8" w:sz="1"/>
              <w:left w:val="single" w:color="C8D8E8" w:sz="1"/>
              <w:bottom w:val="single" w:color="C8D8E8" w:sz="1"/>
              <w:right w:val="single" w:color="C8D8E8" w:sz="1"/>
            </w:tcBorders>
            <w:shd w:fill="F4F6F9"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β(u,i)</w:t>
            </w:r>
          </w:p>
        </w:tc>
        <w:tc>
          <w:tcPr>
            <w:tcW w:type="dxa" w:w="5160"/>
            <w:tcBorders>
              <w:top w:val="single" w:color="C8D8E8" w:sz="1"/>
              <w:left w:val="single" w:color="C8D8E8" w:sz="1"/>
              <w:bottom w:val="single" w:color="C8D8E8" w:sz="1"/>
              <w:right w:val="single" w:color="C8D8E8" w:sz="1"/>
            </w:tcBorders>
            <w:shd w:fill="F4F6F9"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Local coefficient maps — does flood risk suppress opportunity uniformly?</w:t>
            </w:r>
          </w:p>
        </w:tc>
      </w:tr>
      <w:tr>
        <w:tc>
          <w:tcPr>
            <w:tcW w:type="dxa" w:w="1200"/>
            <w:tcBorders>
              <w:top w:val="single" w:color="C8D8E8" w:sz="1"/>
              <w:left w:val="single" w:color="C8D8E8" w:sz="1"/>
              <w:bottom w:val="single" w:color="C8D8E8" w:sz="1"/>
              <w:right w:val="single" w:color="C8D8E8" w:sz="1"/>
            </w:tcBorders>
            <w:shd w:fill="FFFFFF"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BYM2 (Bayesian)</w:t>
            </w:r>
          </w:p>
        </w:tc>
        <w:tc>
          <w:tcPr>
            <w:tcW w:type="dxa" w:w="1800"/>
            <w:tcBorders>
              <w:top w:val="single" w:color="C8D8E8" w:sz="1"/>
              <w:left w:val="single" w:color="C8D8E8" w:sz="1"/>
              <w:bottom w:val="single" w:color="C8D8E8" w:sz="1"/>
              <w:right w:val="single" w:color="C8D8E8" w:sz="1"/>
            </w:tcBorders>
            <w:shd w:fill="FFFFFF"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Primary model; captures both structured and unstructured spatial variation</w:t>
            </w:r>
          </w:p>
        </w:tc>
        <w:tc>
          <w:tcPr>
            <w:tcW w:type="dxa" w:w="1200"/>
            <w:tcBorders>
              <w:top w:val="single" w:color="C8D8E8" w:sz="1"/>
              <w:left w:val="single" w:color="C8D8E8" w:sz="1"/>
              <w:bottom w:val="single" w:color="C8D8E8" w:sz="1"/>
              <w:right w:val="single" w:color="C8D8E8" w:sz="1"/>
            </w:tcBorders>
            <w:shd w:fill="FFFFFF"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φ, σ_b</w:t>
            </w:r>
          </w:p>
        </w:tc>
        <w:tc>
          <w:tcPr>
            <w:tcW w:type="dxa" w:w="5160"/>
            <w:tcBorders>
              <w:top w:val="single" w:color="C8D8E8" w:sz="1"/>
              <w:left w:val="single" w:color="C8D8E8" w:sz="1"/>
              <w:bottom w:val="single" w:color="C8D8E8" w:sz="1"/>
              <w:right w:val="single" w:color="C8D8E8" w:sz="1"/>
            </w:tcBorders>
            <w:shd w:fill="FFFFFF"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Posterior probability of spatial clustering; 95% credible intervals per ward</w:t>
            </w:r>
          </w:p>
        </w:tc>
      </w:tr>
    </w:tbl>
    <w:p>
      <w:pPr>
        <w:spacing w:after="80" w:before="0"/>
      </w:pPr>
      <w:r>
        <w:rPr>
          <w:rFonts w:ascii="Arial" w:cs="Arial" w:eastAsia="Arial" w:hAnsi="Arial"/>
          <w:b w:val="false"/>
          <w:bCs w:val="false"/>
          <w:i w:val="false"/>
          <w:iCs w:val="false"/>
          <w:color w:val="1A1A1A"/>
          <w:sz w:val="22"/>
          <w:szCs w:val="22"/>
        </w:rPr>
        <w:t xml:space="preserve"/>
      </w:r>
    </w:p>
    <w:p>
      <w:pPr>
        <w:spacing w:after="0" w:before="0"/>
      </w:pPr>
      <w:r>
        <w:br w:type="page"/>
      </w:r>
    </w:p>
    <w:p>
      <w:pPr>
        <w:pStyle w:val="Heading1"/>
        <w:pBdr>
          <w:bottom w:val="single" w:color="2E6DA4" w:sz="4"/>
        </w:pBdr>
        <w:spacing w:after="180" w:before="400"/>
      </w:pPr>
      <w:r>
        <w:rPr>
          <w:rFonts w:ascii="Arial" w:cs="Arial" w:eastAsia="Arial" w:hAnsi="Arial"/>
          <w:b/>
          <w:bCs/>
          <w:i w:val="false"/>
          <w:iCs w:val="false"/>
          <w:color w:val="0B1F3A"/>
          <w:sz w:val="32"/>
          <w:szCs w:val="32"/>
        </w:rPr>
        <w:t xml:space="preserve">4. BYM2 Bayesian Spatial Model</w:t>
      </w:r>
    </w:p>
    <w:p>
      <w:pPr>
        <w:pStyle w:val="Heading2"/>
        <w:spacing w:after="130" w:before="300"/>
      </w:pPr>
      <w:r>
        <w:rPr>
          <w:rFonts w:ascii="Arial" w:cs="Arial" w:eastAsia="Arial" w:hAnsi="Arial"/>
          <w:b/>
          <w:bCs/>
          <w:i w:val="false"/>
          <w:iCs w:val="false"/>
          <w:color w:val="1A4A8A"/>
          <w:sz w:val="26"/>
          <w:szCs w:val="26"/>
        </w:rPr>
        <w:t xml:space="preserve">4.1 Model Specification</w:t>
      </w:r>
    </w:p>
    <w:p>
      <w:pPr>
        <w:spacing w:after="100" w:before="60" w:line="320"/>
      </w:pPr>
      <w:r>
        <w:rPr>
          <w:rFonts w:ascii="Arial" w:cs="Arial" w:eastAsia="Arial" w:hAnsi="Arial"/>
          <w:b w:val="false"/>
          <w:bCs w:val="false"/>
          <w:i w:val="false"/>
          <w:iCs w:val="false"/>
          <w:color w:val="1A1A1A"/>
          <w:sz w:val="22"/>
          <w:szCs w:val="22"/>
        </w:rPr>
        <w:t xml:space="preserve">The Besag-York-Mollié 2 model (Riebler et al. 2016) is the primary inferential model. It decomposes the ward-level spatial random effect into structured (ICAR) and unstructured (IID) components with a mixing parameter φ that directly measures the proportion of spatial variance attributable to spatial clustering.</w:t>
      </w:r>
    </w:p>
    <w:p>
      <w:pPr>
        <w:spacing w:after="80" w:before="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8D8E8" w:sz="1"/>
              <w:left w:val="single" w:color="C8D8E8" w:sz="1"/>
              <w:bottom w:val="single" w:color="C8D8E8" w:sz="1"/>
              <w:right w:val="single" w:color="C8D8E8" w:sz="1"/>
            </w:tcBorders>
            <w:shd w:fill="D6E8F5" w:val="clear"/>
            <w:tcMar>
              <w:top w:type="dxa" w:w="120"/>
              <w:left w:type="dxa" w:w="220"/>
              <w:bottom w:type="dxa" w:w="120"/>
              <w:right w:type="dxa" w:w="220"/>
            </w:tcMar>
          </w:tcPr>
          <w:p>
            <w:pPr>
              <w:spacing w:after="60" w:before="0"/>
            </w:pPr>
            <w:r>
              <w:rPr>
                <w:rFonts w:ascii="Arial" w:cs="Arial" w:eastAsia="Arial" w:hAnsi="Arial"/>
                <w:b/>
                <w:bCs/>
                <w:i w:val="false"/>
                <w:iCs w:val="false"/>
                <w:color w:val="0B1F3A"/>
                <w:sz w:val="21"/>
                <w:szCs w:val="21"/>
              </w:rPr>
              <w:t xml:space="preserve">BYM2 specification</w:t>
            </w:r>
          </w:p>
          <w:p>
            <w:pPr>
              <w:spacing w:line="300"/>
            </w:pPr>
            <w:r>
              <w:rPr>
                <w:rFonts w:ascii="Arial" w:cs="Arial" w:eastAsia="Arial" w:hAnsi="Arial"/>
                <w:b w:val="false"/>
                <w:bCs w:val="false"/>
                <w:i w:val="false"/>
                <w:iCs w:val="false"/>
                <w:color w:val="1A1A1A"/>
                <w:sz w:val="20"/>
                <w:szCs w:val="20"/>
              </w:rPr>
              <w:t xml:space="preserve">y_i = intercept + β·x_i + b_i + ε_i, where b_i = σ_b·(√φ·u*_i + √(1−φ)·v*_i). The ICAR component u* captures spatial clustering, v* captures ward-specific noise, σ_b is the marginal standard deviation, and φ ∈ [0,1] measures spatial fraction.</w:t>
            </w:r>
          </w:p>
        </w:tc>
      </w:tr>
    </w:tbl>
    <w:p>
      <w:pPr>
        <w:spacing w:after="80" w:before="0"/>
      </w:pPr>
      <w:r>
        <w:rPr>
          <w:rFonts w:ascii="Arial" w:cs="Arial" w:eastAsia="Arial" w:hAnsi="Arial"/>
          <w:b w:val="false"/>
          <w:bCs w:val="false"/>
          <w:i w:val="false"/>
          <w:iCs w:val="false"/>
          <w:color w:val="1A1A1A"/>
          <w:sz w:val="22"/>
          <w:szCs w:val="22"/>
        </w:rPr>
        <w:t xml:space="preserve"/>
      </w:r>
    </w:p>
    <w:p>
      <w:pPr>
        <w:pStyle w:val="Heading2"/>
        <w:spacing w:after="130" w:before="300"/>
      </w:pPr>
      <w:r>
        <w:rPr>
          <w:rFonts w:ascii="Arial" w:cs="Arial" w:eastAsia="Arial" w:hAnsi="Arial"/>
          <w:b/>
          <w:bCs/>
          <w:i w:val="false"/>
          <w:iCs w:val="false"/>
          <w:color w:val="1A4A8A"/>
          <w:sz w:val="26"/>
          <w:szCs w:val="26"/>
        </w:rPr>
        <w:t xml:space="preserve">4.2 Mathematical Specification</w:t>
      </w:r>
    </w:p>
    <w:p>
      <w:pPr>
        <w:spacing w:after="140" w:before="140"/>
        <w:ind w:left="720"/>
        <w:jc w:val="center"/>
      </w:pPr>
      <w:r>
        <w:rPr>
          <w:rFonts w:ascii="Courier New" w:cs="Courier New" w:eastAsia="Courier New" w:hAnsi="Courier New"/>
          <w:color w:val="0B1F3A"/>
          <w:sz w:val="22"/>
          <w:szCs w:val="22"/>
        </w:rPr>
        <w:t xml:space="preserve">y_i | μ_i, σ_ε ~ Normal(μ_i, σ_ε²)</w:t>
      </w:r>
    </w:p>
    <w:p>
      <w:pPr>
        <w:spacing w:after="140" w:before="140"/>
        <w:ind w:left="720"/>
        <w:jc w:val="center"/>
      </w:pPr>
      <w:r>
        <w:rPr>
          <w:rFonts w:ascii="Courier New" w:cs="Courier New" w:eastAsia="Courier New" w:hAnsi="Courier New"/>
          <w:color w:val="0B1F3A"/>
          <w:sz w:val="22"/>
          <w:szCs w:val="22"/>
        </w:rPr>
        <w:t xml:space="preserve">μ_i = α + Σⱼ βⱼ xᵢⱼ + bᵢ</w:t>
      </w:r>
    </w:p>
    <w:p>
      <w:pPr>
        <w:spacing w:after="140" w:before="140"/>
        <w:ind w:left="720"/>
        <w:jc w:val="center"/>
      </w:pPr>
      <w:r>
        <w:rPr>
          <w:rFonts w:ascii="Courier New" w:cs="Courier New" w:eastAsia="Courier New" w:hAnsi="Courier New"/>
          <w:color w:val="0B1F3A"/>
          <w:sz w:val="22"/>
          <w:szCs w:val="22"/>
        </w:rPr>
        <w:t xml:space="preserve">bᵢ = σ_b · (√φ · u*ᵢ + √(1−φ) · v*ᵢ)</w:t>
      </w:r>
    </w:p>
    <w:p>
      <w:pPr>
        <w:spacing w:after="140" w:before="140"/>
        <w:ind w:left="720"/>
        <w:jc w:val="center"/>
      </w:pPr>
      <w:r>
        <w:rPr>
          <w:rFonts w:ascii="Courier New" w:cs="Courier New" w:eastAsia="Courier New" w:hAnsi="Courier New"/>
          <w:color w:val="0B1F3A"/>
          <w:sz w:val="22"/>
          <w:szCs w:val="22"/>
        </w:rPr>
        <w:t xml:space="preserve">u* ~ ICAR(W)   [scaled, sum-to-zero constraint]</w:t>
      </w:r>
    </w:p>
    <w:p>
      <w:pPr>
        <w:spacing w:after="140" w:before="140"/>
        <w:ind w:left="720"/>
        <w:jc w:val="center"/>
      </w:pPr>
      <w:r>
        <w:rPr>
          <w:rFonts w:ascii="Courier New" w:cs="Courier New" w:eastAsia="Courier New" w:hAnsi="Courier New"/>
          <w:color w:val="0B1F3A"/>
          <w:sz w:val="22"/>
          <w:szCs w:val="22"/>
        </w:rPr>
        <w:t xml:space="preserve">v*ᵢ ~ Normal(0, 1)   [IID unstructured]</w:t>
      </w:r>
    </w:p>
    <w:p>
      <w:pPr>
        <w:spacing w:after="100" w:before="60" w:line="320"/>
      </w:pPr>
      <w:r>
        <w:rPr>
          <w:rFonts w:ascii="Arial" w:cs="Arial" w:eastAsia="Arial" w:hAnsi="Arial"/>
          <w:b w:val="false"/>
          <w:bCs w:val="false"/>
          <w:i w:val="false"/>
          <w:iCs w:val="false"/>
          <w:color w:val="1A1A1A"/>
          <w:sz w:val="22"/>
          <w:szCs w:val="22"/>
        </w:rPr>
        <w:t xml:space="preserve">Penalised Complexity (PC) priors are placed on the hyperparameters: P(σ_b &gt; 1.0) = 0.01 and φ ~ Beta(0.5, 0.5). The ICAR precision matrix Q = D − W is rank-deficient by 1; the scaling factor is computed via eigendecomposition to make σ_b interpretable as a marginal standard deviation.</w:t>
      </w:r>
    </w:p>
    <w:p>
      <w:pPr>
        <w:spacing w:after="80" w:before="0"/>
      </w:pPr>
      <w:r>
        <w:rPr>
          <w:rFonts w:ascii="Arial" w:cs="Arial" w:eastAsia="Arial" w:hAnsi="Arial"/>
          <w:b w:val="false"/>
          <w:bCs w:val="false"/>
          <w:i w:val="false"/>
          <w:iCs w:val="false"/>
          <w:color w:val="1A1A1A"/>
          <w:sz w:val="22"/>
          <w:szCs w:val="22"/>
        </w:rPr>
        <w:t xml:space="preserve"/>
      </w:r>
    </w:p>
    <w:p>
      <w:pPr>
        <w:pStyle w:val="Heading2"/>
        <w:spacing w:after="130" w:before="300"/>
      </w:pPr>
      <w:r>
        <w:rPr>
          <w:rFonts w:ascii="Arial" w:cs="Arial" w:eastAsia="Arial" w:hAnsi="Arial"/>
          <w:b/>
          <w:bCs/>
          <w:i w:val="false"/>
          <w:iCs w:val="false"/>
          <w:color w:val="1A4A8A"/>
          <w:sz w:val="26"/>
          <w:szCs w:val="26"/>
        </w:rPr>
        <w:t xml:space="preserve">4.3 Implementation in PyMC 5</w:t>
      </w:r>
    </w:p>
    <w:p>
      <w:pPr>
        <w:spacing w:after="100" w:before="60" w:line="320"/>
      </w:pPr>
      <w:r>
        <w:rPr>
          <w:rFonts w:ascii="Arial" w:cs="Arial" w:eastAsia="Arial" w:hAnsi="Arial"/>
          <w:b w:val="false"/>
          <w:bCs w:val="false"/>
          <w:i w:val="false"/>
          <w:iCs w:val="false"/>
          <w:color w:val="1A1A1A"/>
          <w:sz w:val="22"/>
          <w:szCs w:val="22"/>
        </w:rPr>
        <w:t xml:space="preserve">The standard pm.CAR implementation is NOT used — it approximates ICAR with α=0.99 and hardcoded τ, producing biased σ_b estimates. The correct implementation uses an explicit ICAR log-potential:</w:t>
      </w:r>
    </w:p>
    <w:p>
      <w:pPr>
        <w:spacing w:after="140" w:before="140"/>
        <w:ind w:left="720"/>
        <w:jc w:val="center"/>
      </w:pPr>
      <w:r>
        <w:rPr>
          <w:rFonts w:ascii="Courier New" w:cs="Courier New" w:eastAsia="Courier New" w:hAnsi="Courier New"/>
          <w:color w:val="0B1F3A"/>
          <w:sz w:val="22"/>
          <w:szCs w:val="22"/>
        </w:rPr>
        <w:t xml:space="preserve">ICAR log-prob ∝ −(1/2) Σ_(i~j) (u_i − u_j)²</w:t>
      </w:r>
    </w:p>
    <w:p>
      <w:pPr>
        <w:spacing w:after="100" w:before="60" w:line="320"/>
      </w:pPr>
      <w:r>
        <w:rPr>
          <w:rFonts w:ascii="Arial" w:cs="Arial" w:eastAsia="Arial" w:hAnsi="Arial"/>
          <w:b w:val="false"/>
          <w:bCs w:val="false"/>
          <w:i w:val="false"/>
          <w:iCs w:val="false"/>
          <w:color w:val="1A1A1A"/>
          <w:sz w:val="22"/>
          <w:szCs w:val="22"/>
        </w:rPr>
        <w:t xml:space="preserve">Adjacency arrays (node1, node2) are generated by city2graph.contiguity_graph with Queen contiguity and extracted from the MultiIndex edge GeoDataFrame. The MCMC configuration uses NUTS with target_accept=0.90 and 4 chains × 2000 draws.</w:t>
      </w:r>
    </w:p>
    <w:p>
      <w:pPr>
        <w:spacing w:after="80" w:before="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400"/>
        <w:gridCol w:w="1800"/>
        <w:gridCol w:w="2600"/>
        <w:gridCol w:w="3560"/>
      </w:tblGrid>
      <w:tr>
        <w:tc>
          <w:tcPr>
            <w:tcW w:type="dxa" w:w="1400"/>
            <w:tcBorders>
              <w:top w:val="single" w:color="C8D8E8" w:sz="1"/>
              <w:left w:val="single" w:color="C8D8E8" w:sz="1"/>
              <w:bottom w:val="single" w:color="C8D8E8" w:sz="1"/>
              <w:right w:val="single" w:color="C8D8E8" w:sz="1"/>
            </w:tcBorders>
            <w:shd w:fill="0B1F3A"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Parameter</w:t>
            </w:r>
          </w:p>
        </w:tc>
        <w:tc>
          <w:tcPr>
            <w:tcW w:type="dxa" w:w="1800"/>
            <w:tcBorders>
              <w:top w:val="single" w:color="C8D8E8" w:sz="1"/>
              <w:left w:val="single" w:color="C8D8E8" w:sz="1"/>
              <w:bottom w:val="single" w:color="C8D8E8" w:sz="1"/>
              <w:right w:val="single" w:color="C8D8E8" w:sz="1"/>
            </w:tcBorders>
            <w:shd w:fill="0B1F3A"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Prior</w:t>
            </w:r>
          </w:p>
        </w:tc>
        <w:tc>
          <w:tcPr>
            <w:tcW w:type="dxa" w:w="2600"/>
            <w:tcBorders>
              <w:top w:val="single" w:color="C8D8E8" w:sz="1"/>
              <w:left w:val="single" w:color="C8D8E8" w:sz="1"/>
              <w:bottom w:val="single" w:color="C8D8E8" w:sz="1"/>
              <w:right w:val="single" w:color="C8D8E8" w:sz="1"/>
            </w:tcBorders>
            <w:shd w:fill="0B1F3A"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Interpretation</w:t>
            </w:r>
          </w:p>
        </w:tc>
        <w:tc>
          <w:tcPr>
            <w:tcW w:type="dxa" w:w="3560"/>
            <w:tcBorders>
              <w:top w:val="single" w:color="C8D8E8" w:sz="1"/>
              <w:left w:val="single" w:color="C8D8E8" w:sz="1"/>
              <w:bottom w:val="single" w:color="C8D8E8" w:sz="1"/>
              <w:right w:val="single" w:color="C8D8E8" w:sz="1"/>
            </w:tcBorders>
            <w:shd w:fill="0B1F3A"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Posterior (expected)</w:t>
            </w:r>
          </w:p>
        </w:tc>
      </w:tr>
      <w:tr>
        <w:tc>
          <w:tcPr>
            <w:tcW w:type="dxa" w:w="1400"/>
            <w:tcBorders>
              <w:top w:val="single" w:color="C8D8E8" w:sz="1"/>
              <w:left w:val="single" w:color="C8D8E8" w:sz="1"/>
              <w:bottom w:val="single" w:color="C8D8E8" w:sz="1"/>
              <w:right w:val="single" w:color="C8D8E8" w:sz="1"/>
            </w:tcBorders>
            <w:shd w:fill="FFFFFF"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α (intercept)</w:t>
            </w:r>
          </w:p>
        </w:tc>
        <w:tc>
          <w:tcPr>
            <w:tcW w:type="dxa" w:w="1800"/>
            <w:tcBorders>
              <w:top w:val="single" w:color="C8D8E8" w:sz="1"/>
              <w:left w:val="single" w:color="C8D8E8" w:sz="1"/>
              <w:bottom w:val="single" w:color="C8D8E8" w:sz="1"/>
              <w:right w:val="single" w:color="C8D8E8" w:sz="1"/>
            </w:tcBorders>
            <w:shd w:fill="FFFFFF"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Normal(0, 1)</w:t>
            </w:r>
          </w:p>
        </w:tc>
        <w:tc>
          <w:tcPr>
            <w:tcW w:type="dxa" w:w="2600"/>
            <w:tcBorders>
              <w:top w:val="single" w:color="C8D8E8" w:sz="1"/>
              <w:left w:val="single" w:color="C8D8E8" w:sz="1"/>
              <w:bottom w:val="single" w:color="C8D8E8" w:sz="1"/>
              <w:right w:val="single" w:color="C8D8E8" w:sz="1"/>
            </w:tcBorders>
            <w:shd w:fill="FFFFFF"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Baseline UOI</w:t>
            </w:r>
          </w:p>
        </w:tc>
        <w:tc>
          <w:tcPr>
            <w:tcW w:type="dxa" w:w="3560"/>
            <w:tcBorders>
              <w:top w:val="single" w:color="C8D8E8" w:sz="1"/>
              <w:left w:val="single" w:color="C8D8E8" w:sz="1"/>
              <w:bottom w:val="single" w:color="C8D8E8" w:sz="1"/>
              <w:right w:val="single" w:color="C8D8E8" w:sz="1"/>
            </w:tcBorders>
            <w:shd w:fill="FFFFFF"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city mean UOI</w:t>
            </w:r>
          </w:p>
        </w:tc>
      </w:tr>
      <w:tr>
        <w:tc>
          <w:tcPr>
            <w:tcW w:type="dxa" w:w="1400"/>
            <w:tcBorders>
              <w:top w:val="single" w:color="C8D8E8" w:sz="1"/>
              <w:left w:val="single" w:color="C8D8E8" w:sz="1"/>
              <w:bottom w:val="single" w:color="C8D8E8" w:sz="1"/>
              <w:right w:val="single" w:color="C8D8E8" w:sz="1"/>
            </w:tcBorders>
            <w:shd w:fill="F4F6F9"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β_k (fixed effects)</w:t>
            </w:r>
          </w:p>
        </w:tc>
        <w:tc>
          <w:tcPr>
            <w:tcW w:type="dxa" w:w="1800"/>
            <w:tcBorders>
              <w:top w:val="single" w:color="C8D8E8" w:sz="1"/>
              <w:left w:val="single" w:color="C8D8E8" w:sz="1"/>
              <w:bottom w:val="single" w:color="C8D8E8" w:sz="1"/>
              <w:right w:val="single" w:color="C8D8E8" w:sz="1"/>
            </w:tcBorders>
            <w:shd w:fill="F4F6F9"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Normal(0, 1)</w:t>
            </w:r>
          </w:p>
        </w:tc>
        <w:tc>
          <w:tcPr>
            <w:tcW w:type="dxa" w:w="2600"/>
            <w:tcBorders>
              <w:top w:val="single" w:color="C8D8E8" w:sz="1"/>
              <w:left w:val="single" w:color="C8D8E8" w:sz="1"/>
              <w:bottom w:val="single" w:color="C8D8E8" w:sz="1"/>
              <w:right w:val="single" w:color="C8D8E8" w:sz="1"/>
            </w:tcBorders>
            <w:shd w:fill="F4F6F9"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Component k coefficient</w:t>
            </w:r>
          </w:p>
        </w:tc>
        <w:tc>
          <w:tcPr>
            <w:tcW w:type="dxa" w:w="3560"/>
            <w:tcBorders>
              <w:top w:val="single" w:color="C8D8E8" w:sz="1"/>
              <w:left w:val="single" w:color="C8D8E8" w:sz="1"/>
              <w:bottom w:val="single" w:color="C8D8E8" w:sz="1"/>
              <w:right w:val="single" w:color="C8D8E8" w:sz="1"/>
            </w:tcBorders>
            <w:shd w:fill="F4F6F9"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positive for access metrics</w:t>
            </w:r>
          </w:p>
        </w:tc>
      </w:tr>
      <w:tr>
        <w:tc>
          <w:tcPr>
            <w:tcW w:type="dxa" w:w="1400"/>
            <w:tcBorders>
              <w:top w:val="single" w:color="C8D8E8" w:sz="1"/>
              <w:left w:val="single" w:color="C8D8E8" w:sz="1"/>
              <w:bottom w:val="single" w:color="C8D8E8" w:sz="1"/>
              <w:right w:val="single" w:color="C8D8E8" w:sz="1"/>
            </w:tcBorders>
            <w:shd w:fill="FFFFFF"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σ_b</w:t>
            </w:r>
          </w:p>
        </w:tc>
        <w:tc>
          <w:tcPr>
            <w:tcW w:type="dxa" w:w="1800"/>
            <w:tcBorders>
              <w:top w:val="single" w:color="C8D8E8" w:sz="1"/>
              <w:left w:val="single" w:color="C8D8E8" w:sz="1"/>
              <w:bottom w:val="single" w:color="C8D8E8" w:sz="1"/>
              <w:right w:val="single" w:color="C8D8E8" w:sz="1"/>
            </w:tcBorders>
            <w:shd w:fill="FFFFFF"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HalfNormal(0.5) [PC]</w:t>
            </w:r>
          </w:p>
        </w:tc>
        <w:tc>
          <w:tcPr>
            <w:tcW w:type="dxa" w:w="2600"/>
            <w:tcBorders>
              <w:top w:val="single" w:color="C8D8E8" w:sz="1"/>
              <w:left w:val="single" w:color="C8D8E8" w:sz="1"/>
              <w:bottom w:val="single" w:color="C8D8E8" w:sz="1"/>
              <w:right w:val="single" w:color="C8D8E8" w:sz="1"/>
            </w:tcBorders>
            <w:shd w:fill="FFFFFF"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Marginal spatial SD</w:t>
            </w:r>
          </w:p>
        </w:tc>
        <w:tc>
          <w:tcPr>
            <w:tcW w:type="dxa" w:w="3560"/>
            <w:tcBorders>
              <w:top w:val="single" w:color="C8D8E8" w:sz="1"/>
              <w:left w:val="single" w:color="C8D8E8" w:sz="1"/>
              <w:bottom w:val="single" w:color="C8D8E8" w:sz="1"/>
              <w:right w:val="single" w:color="C8D8E8" w:sz="1"/>
            </w:tcBorders>
            <w:shd w:fill="FFFFFF"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~0.3–0.8 for ward-level data</w:t>
            </w:r>
          </w:p>
        </w:tc>
      </w:tr>
      <w:tr>
        <w:tc>
          <w:tcPr>
            <w:tcW w:type="dxa" w:w="1400"/>
            <w:tcBorders>
              <w:top w:val="single" w:color="C8D8E8" w:sz="1"/>
              <w:left w:val="single" w:color="C8D8E8" w:sz="1"/>
              <w:bottom w:val="single" w:color="C8D8E8" w:sz="1"/>
              <w:right w:val="single" w:color="C8D8E8" w:sz="1"/>
            </w:tcBorders>
            <w:shd w:fill="F4F6F9"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φ</w:t>
            </w:r>
          </w:p>
        </w:tc>
        <w:tc>
          <w:tcPr>
            <w:tcW w:type="dxa" w:w="1800"/>
            <w:tcBorders>
              <w:top w:val="single" w:color="C8D8E8" w:sz="1"/>
              <w:left w:val="single" w:color="C8D8E8" w:sz="1"/>
              <w:bottom w:val="single" w:color="C8D8E8" w:sz="1"/>
              <w:right w:val="single" w:color="C8D8E8" w:sz="1"/>
            </w:tcBorders>
            <w:shd w:fill="F4F6F9"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Beta(0.5, 0.5) [PC]</w:t>
            </w:r>
          </w:p>
        </w:tc>
        <w:tc>
          <w:tcPr>
            <w:tcW w:type="dxa" w:w="2600"/>
            <w:tcBorders>
              <w:top w:val="single" w:color="C8D8E8" w:sz="1"/>
              <w:left w:val="single" w:color="C8D8E8" w:sz="1"/>
              <w:bottom w:val="single" w:color="C8D8E8" w:sz="1"/>
              <w:right w:val="single" w:color="C8D8E8" w:sz="1"/>
            </w:tcBorders>
            <w:shd w:fill="F4F6F9"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Spatial fraction of σ_b</w:t>
            </w:r>
          </w:p>
        </w:tc>
        <w:tc>
          <w:tcPr>
            <w:tcW w:type="dxa" w:w="3560"/>
            <w:tcBorders>
              <w:top w:val="single" w:color="C8D8E8" w:sz="1"/>
              <w:left w:val="single" w:color="C8D8E8" w:sz="1"/>
              <w:bottom w:val="single" w:color="C8D8E8" w:sz="1"/>
              <w:right w:val="single" w:color="C8D8E8" w:sz="1"/>
            </w:tcBorders>
            <w:shd w:fill="F4F6F9"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&gt;0.5 → spatially structured</w:t>
            </w:r>
          </w:p>
        </w:tc>
      </w:tr>
      <w:tr>
        <w:tc>
          <w:tcPr>
            <w:tcW w:type="dxa" w:w="1400"/>
            <w:tcBorders>
              <w:top w:val="single" w:color="C8D8E8" w:sz="1"/>
              <w:left w:val="single" w:color="C8D8E8" w:sz="1"/>
              <w:bottom w:val="single" w:color="C8D8E8" w:sz="1"/>
              <w:right w:val="single" w:color="C8D8E8" w:sz="1"/>
            </w:tcBorders>
            <w:shd w:fill="FFFFFF"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σ_ε</w:t>
            </w:r>
          </w:p>
        </w:tc>
        <w:tc>
          <w:tcPr>
            <w:tcW w:type="dxa" w:w="1800"/>
            <w:tcBorders>
              <w:top w:val="single" w:color="C8D8E8" w:sz="1"/>
              <w:left w:val="single" w:color="C8D8E8" w:sz="1"/>
              <w:bottom w:val="single" w:color="C8D8E8" w:sz="1"/>
              <w:right w:val="single" w:color="C8D8E8" w:sz="1"/>
            </w:tcBorders>
            <w:shd w:fill="FFFFFF"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HalfNormal(1.0)</w:t>
            </w:r>
          </w:p>
        </w:tc>
        <w:tc>
          <w:tcPr>
            <w:tcW w:type="dxa" w:w="2600"/>
            <w:tcBorders>
              <w:top w:val="single" w:color="C8D8E8" w:sz="1"/>
              <w:left w:val="single" w:color="C8D8E8" w:sz="1"/>
              <w:bottom w:val="single" w:color="C8D8E8" w:sz="1"/>
              <w:right w:val="single" w:color="C8D8E8" w:sz="1"/>
            </w:tcBorders>
            <w:shd w:fill="FFFFFF"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Residual noise SD</w:t>
            </w:r>
          </w:p>
        </w:tc>
        <w:tc>
          <w:tcPr>
            <w:tcW w:type="dxa" w:w="3560"/>
            <w:tcBorders>
              <w:top w:val="single" w:color="C8D8E8" w:sz="1"/>
              <w:left w:val="single" w:color="C8D8E8" w:sz="1"/>
              <w:bottom w:val="single" w:color="C8D8E8" w:sz="1"/>
              <w:right w:val="single" w:color="C8D8E8" w:sz="1"/>
            </w:tcBorders>
            <w:shd w:fill="FFFFFF"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smaller than σ_b if model fits well</w:t>
            </w:r>
          </w:p>
        </w:tc>
      </w:tr>
    </w:tbl>
    <w:p>
      <w:pPr>
        <w:spacing w:after="80" w:before="0"/>
      </w:pPr>
      <w:r>
        <w:rPr>
          <w:rFonts w:ascii="Arial" w:cs="Arial" w:eastAsia="Arial" w:hAnsi="Arial"/>
          <w:b w:val="false"/>
          <w:bCs w:val="false"/>
          <w:i w:val="false"/>
          <w:iCs w:val="false"/>
          <w:color w:val="1A1A1A"/>
          <w:sz w:val="22"/>
          <w:szCs w:val="22"/>
        </w:rPr>
        <w:t xml:space="preserve"/>
      </w:r>
    </w:p>
    <w:p>
      <w:pPr>
        <w:spacing w:after="0" w:before="0"/>
      </w:pPr>
      <w:r>
        <w:br w:type="page"/>
      </w:r>
    </w:p>
    <w:p>
      <w:pPr>
        <w:pStyle w:val="Heading1"/>
        <w:pBdr>
          <w:bottom w:val="single" w:color="2E6DA4" w:sz="4"/>
        </w:pBdr>
        <w:spacing w:after="180" w:before="400"/>
      </w:pPr>
      <w:r>
        <w:rPr>
          <w:rFonts w:ascii="Arial" w:cs="Arial" w:eastAsia="Arial" w:hAnsi="Arial"/>
          <w:b/>
          <w:bCs/>
          <w:i w:val="false"/>
          <w:iCs w:val="false"/>
          <w:color w:val="0B1F3A"/>
          <w:sz w:val="32"/>
          <w:szCs w:val="32"/>
        </w:rPr>
        <w:t xml:space="preserve">5. SWMM Hydrodynamic Flood Simulation</w:t>
      </w:r>
    </w:p>
    <w:p>
      <w:pPr>
        <w:pStyle w:val="Heading2"/>
        <w:spacing w:after="130" w:before="300"/>
      </w:pPr>
      <w:r>
        <w:rPr>
          <w:rFonts w:ascii="Arial" w:cs="Arial" w:eastAsia="Arial" w:hAnsi="Arial"/>
          <w:b/>
          <w:bCs/>
          <w:i w:val="false"/>
          <w:iCs w:val="false"/>
          <w:color w:val="1A4A8A"/>
          <w:sz w:val="26"/>
          <w:szCs w:val="26"/>
        </w:rPr>
        <w:t xml:space="preserve">5.1 Network Construction (build_swm_fixed.py)</w:t>
      </w:r>
    </w:p>
    <w:p>
      <w:pPr>
        <w:spacing w:after="100" w:before="60" w:line="320"/>
      </w:pPr>
      <w:r>
        <w:rPr>
          <w:rFonts w:ascii="Arial" w:cs="Arial" w:eastAsia="Arial" w:hAnsi="Arial"/>
          <w:b w:val="false"/>
          <w:bCs w:val="false"/>
          <w:i w:val="false"/>
          <w:iCs w:val="false"/>
          <w:color w:val="1A1A1A"/>
          <w:sz w:val="22"/>
          <w:szCs w:val="22"/>
        </w:rPr>
        <w:t xml:space="preserve">The SWMM .inp file is built from the Vadodara major road network (primary + secondary + tertiary roads only, ~700–900 nodes) filtered from OSMnx using custom_filter to avoid the 18,000-node full drive network that causes DYNWAVE to run for 17+ minutes.</w:t>
      </w:r>
    </w:p>
    <w:p>
      <w:pPr>
        <w:spacing w:after="80" w:before="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8D8E8" w:sz="1"/>
              <w:left w:val="single" w:color="C8D8E8" w:sz="1"/>
              <w:bottom w:val="single" w:color="C8D8E8" w:sz="1"/>
              <w:right w:val="single" w:color="C8D8E8" w:sz="1"/>
            </w:tcBorders>
            <w:shd w:fill="D6E8F5" w:val="clear"/>
            <w:tcMar>
              <w:top w:type="dxa" w:w="120"/>
              <w:left w:type="dxa" w:w="220"/>
              <w:bottom w:type="dxa" w:w="120"/>
              <w:right w:type="dxa" w:w="220"/>
            </w:tcMar>
          </w:tcPr>
          <w:p>
            <w:pPr>
              <w:spacing w:after="60" w:before="0"/>
            </w:pPr>
            <w:r>
              <w:rPr>
                <w:rFonts w:ascii="Arial" w:cs="Arial" w:eastAsia="Arial" w:hAnsi="Arial"/>
                <w:b/>
                <w:bCs/>
                <w:i w:val="false"/>
                <w:iCs w:val="false"/>
                <w:color w:val="0B1F3A"/>
                <w:sz w:val="21"/>
                <w:szCs w:val="21"/>
              </w:rPr>
              <w:t xml:space="preserve">Critical: Network size</w:t>
            </w:r>
          </w:p>
          <w:p>
            <w:pPr>
              <w:spacing w:line="300"/>
            </w:pPr>
            <w:r>
              <w:rPr>
                <w:rFonts w:ascii="Arial" w:cs="Arial" w:eastAsia="Arial" w:hAnsi="Arial"/>
                <w:b w:val="false"/>
                <w:bCs w:val="false"/>
                <w:i w:val="false"/>
                <w:iCs w:val="false"/>
                <w:color w:val="1A1A1A"/>
                <w:sz w:val="20"/>
                <w:szCs w:val="20"/>
              </w:rPr>
              <w:t xml:space="preserve">Full 'drive' network: ~18,000 nodes → 17+ minute runtime (DYNWAVE substepping to &lt;1ms). Major roads only: ~700 nodes → &lt;30 second runtime. The filter is: ["highway"~"primary|secondary|tertiary|trunk"]</w:t>
            </w:r>
          </w:p>
        </w:tc>
      </w:tr>
    </w:tbl>
    <w:p>
      <w:pPr>
        <w:spacing w:after="80" w:before="0"/>
      </w:pPr>
      <w:r>
        <w:rPr>
          <w:rFonts w:ascii="Arial" w:cs="Arial" w:eastAsia="Arial" w:hAnsi="Arial"/>
          <w:b w:val="false"/>
          <w:bCs w:val="false"/>
          <w:i w:val="false"/>
          <w:iCs w:val="false"/>
          <w:color w:val="1A1A1A"/>
          <w:sz w:val="22"/>
          <w:szCs w:val="22"/>
        </w:rPr>
        <w:t xml:space="preserve"/>
      </w:r>
    </w:p>
    <w:p>
      <w:pPr>
        <w:pStyle w:val="Heading2"/>
        <w:spacing w:after="130" w:before="300"/>
      </w:pPr>
      <w:r>
        <w:rPr>
          <w:rFonts w:ascii="Arial" w:cs="Arial" w:eastAsia="Arial" w:hAnsi="Arial"/>
          <w:b/>
          <w:bCs/>
          <w:i w:val="false"/>
          <w:iCs w:val="false"/>
          <w:color w:val="1A4A8A"/>
          <w:sz w:val="26"/>
          <w:szCs w:val="26"/>
        </w:rPr>
        <w:t xml:space="preserve">5.2 Root Causes of the Original 17-Minute Hang</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700"/>
        <w:gridCol w:w="1700"/>
        <w:gridCol w:w="1700"/>
        <w:gridCol w:w="4260"/>
      </w:tblGrid>
      <w:tr>
        <w:tc>
          <w:tcPr>
            <w:tcW w:type="dxa" w:w="1700"/>
            <w:tcBorders>
              <w:top w:val="single" w:color="C8D8E8" w:sz="1"/>
              <w:left w:val="single" w:color="C8D8E8" w:sz="1"/>
              <w:bottom w:val="single" w:color="C8D8E8" w:sz="1"/>
              <w:right w:val="single" w:color="C8D8E8" w:sz="1"/>
            </w:tcBorders>
            <w:shd w:fill="0B1F3A"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Cause</w:t>
            </w:r>
          </w:p>
        </w:tc>
        <w:tc>
          <w:tcPr>
            <w:tcW w:type="dxa" w:w="1700"/>
            <w:tcBorders>
              <w:top w:val="single" w:color="C8D8E8" w:sz="1"/>
              <w:left w:val="single" w:color="C8D8E8" w:sz="1"/>
              <w:bottom w:val="single" w:color="C8D8E8" w:sz="1"/>
              <w:right w:val="single" w:color="C8D8E8" w:sz="1"/>
            </w:tcBorders>
            <w:shd w:fill="0B1F3A"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Original value</w:t>
            </w:r>
          </w:p>
        </w:tc>
        <w:tc>
          <w:tcPr>
            <w:tcW w:type="dxa" w:w="1700"/>
            <w:tcBorders>
              <w:top w:val="single" w:color="C8D8E8" w:sz="1"/>
              <w:left w:val="single" w:color="C8D8E8" w:sz="1"/>
              <w:bottom w:val="single" w:color="C8D8E8" w:sz="1"/>
              <w:right w:val="single" w:color="C8D8E8" w:sz="1"/>
            </w:tcBorders>
            <w:shd w:fill="0B1F3A"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Fixed value</w:t>
            </w:r>
          </w:p>
        </w:tc>
        <w:tc>
          <w:tcPr>
            <w:tcW w:type="dxa" w:w="4260"/>
            <w:tcBorders>
              <w:top w:val="single" w:color="C8D8E8" w:sz="1"/>
              <w:left w:val="single" w:color="C8D8E8" w:sz="1"/>
              <w:bottom w:val="single" w:color="C8D8E8" w:sz="1"/>
              <w:right w:val="single" w:color="C8D8E8" w:sz="1"/>
            </w:tcBorders>
            <w:shd w:fill="0B1F3A"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Effect</w:t>
            </w:r>
          </w:p>
        </w:tc>
      </w:tr>
      <w:tr>
        <w:tc>
          <w:tcPr>
            <w:tcW w:type="dxa" w:w="1700"/>
            <w:tcBorders>
              <w:top w:val="single" w:color="C8D8E8" w:sz="1"/>
              <w:left w:val="single" w:color="C8D8E8" w:sz="1"/>
              <w:bottom w:val="single" w:color="C8D8E8" w:sz="1"/>
              <w:right w:val="single" w:color="C8D8E8" w:sz="1"/>
            </w:tcBorders>
            <w:shd w:fill="FFFFFF"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Network scale</w:t>
            </w:r>
          </w:p>
        </w:tc>
        <w:tc>
          <w:tcPr>
            <w:tcW w:type="dxa" w:w="1700"/>
            <w:tcBorders>
              <w:top w:val="single" w:color="C8D8E8" w:sz="1"/>
              <w:left w:val="single" w:color="C8D8E8" w:sz="1"/>
              <w:bottom w:val="single" w:color="C8D8E8" w:sz="1"/>
              <w:right w:val="single" w:color="C8D8E8" w:sz="1"/>
            </w:tcBorders>
            <w:shd w:fill="FFFFFF"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All drive roads (~18k nodes)</w:t>
            </w:r>
          </w:p>
        </w:tc>
        <w:tc>
          <w:tcPr>
            <w:tcW w:type="dxa" w:w="1700"/>
            <w:tcBorders>
              <w:top w:val="single" w:color="C8D8E8" w:sz="1"/>
              <w:left w:val="single" w:color="C8D8E8" w:sz="1"/>
              <w:bottom w:val="single" w:color="C8D8E8" w:sz="1"/>
              <w:right w:val="single" w:color="C8D8E8" w:sz="1"/>
            </w:tcBorders>
            <w:shd w:fill="FFFFFF"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Major roads only (~700 nodes)</w:t>
            </w:r>
          </w:p>
        </w:tc>
        <w:tc>
          <w:tcPr>
            <w:tcW w:type="dxa" w:w="4260"/>
            <w:tcBorders>
              <w:top w:val="single" w:color="C8D8E8" w:sz="1"/>
              <w:left w:val="single" w:color="C8D8E8" w:sz="1"/>
              <w:bottom w:val="single" w:color="C8D8E8" w:sz="1"/>
              <w:right w:val="single" w:color="C8D8E8" w:sz="1"/>
            </w:tcBorders>
            <w:shd w:fill="FFFFFF"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20× compute reduction</w:t>
            </w:r>
          </w:p>
        </w:tc>
      </w:tr>
      <w:tr>
        <w:tc>
          <w:tcPr>
            <w:tcW w:type="dxa" w:w="1700"/>
            <w:tcBorders>
              <w:top w:val="single" w:color="C8D8E8" w:sz="1"/>
              <w:left w:val="single" w:color="C8D8E8" w:sz="1"/>
              <w:bottom w:val="single" w:color="C8D8E8" w:sz="1"/>
              <w:right w:val="single" w:color="C8D8E8" w:sz="1"/>
            </w:tcBorders>
            <w:shd w:fill="F4F6F9"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Inflow per junction</w:t>
            </w:r>
          </w:p>
        </w:tc>
        <w:tc>
          <w:tcPr>
            <w:tcW w:type="dxa" w:w="1700"/>
            <w:tcBorders>
              <w:top w:val="single" w:color="C8D8E8" w:sz="1"/>
              <w:left w:val="single" w:color="C8D8E8" w:sz="1"/>
              <w:bottom w:val="single" w:color="C8D8E8" w:sz="1"/>
              <w:right w:val="single" w:color="C8D8E8" w:sz="1"/>
            </w:tcBorders>
            <w:shd w:fill="F4F6F9"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0.05 CMS constant (900 CMS total)</w:t>
            </w:r>
          </w:p>
        </w:tc>
        <w:tc>
          <w:tcPr>
            <w:tcW w:type="dxa" w:w="1700"/>
            <w:tcBorders>
              <w:top w:val="single" w:color="C8D8E8" w:sz="1"/>
              <w:left w:val="single" w:color="C8D8E8" w:sz="1"/>
              <w:bottom w:val="single" w:color="C8D8E8" w:sz="1"/>
              <w:right w:val="single" w:color="C8D8E8" w:sz="1"/>
            </w:tcBorders>
            <w:shd w:fill="F4F6F9"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Storm TIMESERIES, peak 0.005 CMS/node</w:t>
            </w:r>
          </w:p>
        </w:tc>
        <w:tc>
          <w:tcPr>
            <w:tcW w:type="dxa" w:w="4260"/>
            <w:tcBorders>
              <w:top w:val="single" w:color="C8D8E8" w:sz="1"/>
              <w:left w:val="single" w:color="C8D8E8" w:sz="1"/>
              <w:bottom w:val="single" w:color="C8D8E8" w:sz="1"/>
              <w:right w:val="single" w:color="C8D8E8" w:sz="1"/>
            </w:tcBorders>
            <w:shd w:fill="F4F6F9"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100× inflow reduction</w:t>
            </w:r>
          </w:p>
        </w:tc>
      </w:tr>
      <w:tr>
        <w:tc>
          <w:tcPr>
            <w:tcW w:type="dxa" w:w="1700"/>
            <w:tcBorders>
              <w:top w:val="single" w:color="C8D8E8" w:sz="1"/>
              <w:left w:val="single" w:color="C8D8E8" w:sz="1"/>
              <w:bottom w:val="single" w:color="C8D8E8" w:sz="1"/>
              <w:right w:val="single" w:color="C8D8E8" w:sz="1"/>
            </w:tcBorders>
            <w:shd w:fill="FFFFFF"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Elevations</w:t>
            </w:r>
          </w:p>
        </w:tc>
        <w:tc>
          <w:tcPr>
            <w:tcW w:type="dxa" w:w="1700"/>
            <w:tcBorders>
              <w:top w:val="single" w:color="C8D8E8" w:sz="1"/>
              <w:left w:val="single" w:color="C8D8E8" w:sz="1"/>
              <w:bottom w:val="single" w:color="C8D8E8" w:sz="1"/>
              <w:right w:val="single" w:color="C8D8E8" w:sz="1"/>
            </w:tcBorders>
            <w:shd w:fill="FFFFFF"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np.random.uniform(30, 40) — 50% uphill conduits</w:t>
            </w:r>
          </w:p>
        </w:tc>
        <w:tc>
          <w:tcPr>
            <w:tcW w:type="dxa" w:w="1700"/>
            <w:tcBorders>
              <w:top w:val="single" w:color="C8D8E8" w:sz="1"/>
              <w:left w:val="single" w:color="C8D8E8" w:sz="1"/>
              <w:bottom w:val="single" w:color="C8D8E8" w:sz="1"/>
              <w:right w:val="single" w:color="C8D8E8" w:sz="1"/>
            </w:tcBorders>
            <w:shd w:fill="FFFFFF"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Synthetic DEM slope toward Vishwamitri river</w:t>
            </w:r>
          </w:p>
        </w:tc>
        <w:tc>
          <w:tcPr>
            <w:tcW w:type="dxa" w:w="4260"/>
            <w:tcBorders>
              <w:top w:val="single" w:color="C8D8E8" w:sz="1"/>
              <w:left w:val="single" w:color="C8D8E8" w:sz="1"/>
              <w:bottom w:val="single" w:color="C8D8E8" w:sz="1"/>
              <w:right w:val="single" w:color="C8D8E8" w:sz="1"/>
            </w:tcBorders>
            <w:shd w:fill="FFFFFF"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Eliminates closed uphill loops</w:t>
            </w:r>
          </w:p>
        </w:tc>
      </w:tr>
      <w:tr>
        <w:tc>
          <w:tcPr>
            <w:tcW w:type="dxa" w:w="1700"/>
            <w:tcBorders>
              <w:top w:val="single" w:color="C8D8E8" w:sz="1"/>
              <w:left w:val="single" w:color="C8D8E8" w:sz="1"/>
              <w:bottom w:val="single" w:color="C8D8E8" w:sz="1"/>
              <w:right w:val="single" w:color="C8D8E8" w:sz="1"/>
            </w:tcBorders>
            <w:shd w:fill="F4F6F9"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MaxDepth</w:t>
            </w:r>
          </w:p>
        </w:tc>
        <w:tc>
          <w:tcPr>
            <w:tcW w:type="dxa" w:w="1700"/>
            <w:tcBorders>
              <w:top w:val="single" w:color="C8D8E8" w:sz="1"/>
              <w:left w:val="single" w:color="C8D8E8" w:sz="1"/>
              <w:bottom w:val="single" w:color="C8D8E8" w:sz="1"/>
              <w:right w:val="single" w:color="C8D8E8" w:sz="1"/>
            </w:tcBorders>
            <w:shd w:fill="F4F6F9"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0 (no junction storage)</w:t>
            </w:r>
          </w:p>
        </w:tc>
        <w:tc>
          <w:tcPr>
            <w:tcW w:type="dxa" w:w="1700"/>
            <w:tcBorders>
              <w:top w:val="single" w:color="C8D8E8" w:sz="1"/>
              <w:left w:val="single" w:color="C8D8E8" w:sz="1"/>
              <w:bottom w:val="single" w:color="C8D8E8" w:sz="1"/>
              <w:right w:val="single" w:color="C8D8E8" w:sz="1"/>
            </w:tcBorders>
            <w:shd w:fill="F4F6F9"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2.0m, Aponded=200m²</w:t>
            </w:r>
          </w:p>
        </w:tc>
        <w:tc>
          <w:tcPr>
            <w:tcW w:type="dxa" w:w="4260"/>
            <w:tcBorders>
              <w:top w:val="single" w:color="C8D8E8" w:sz="1"/>
              <w:left w:val="single" w:color="C8D8E8" w:sz="1"/>
              <w:bottom w:val="single" w:color="C8D8E8" w:sz="1"/>
              <w:right w:val="single" w:color="C8D8E8" w:sz="1"/>
            </w:tcBorders>
            <w:shd w:fill="F4F6F9"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Prevents instant surcharge cascade</w:t>
            </w:r>
          </w:p>
        </w:tc>
      </w:tr>
      <w:tr>
        <w:tc>
          <w:tcPr>
            <w:tcW w:type="dxa" w:w="1700"/>
            <w:tcBorders>
              <w:top w:val="single" w:color="C8D8E8" w:sz="1"/>
              <w:left w:val="single" w:color="C8D8E8" w:sz="1"/>
              <w:bottom w:val="single" w:color="C8D8E8" w:sz="1"/>
              <w:right w:val="single" w:color="C8D8E8" w:sz="1"/>
            </w:tcBorders>
            <w:shd w:fill="FFFFFF"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Outfalls</w:t>
            </w:r>
          </w:p>
        </w:tc>
        <w:tc>
          <w:tcPr>
            <w:tcW w:type="dxa" w:w="1700"/>
            <w:tcBorders>
              <w:top w:val="single" w:color="C8D8E8" w:sz="1"/>
              <w:left w:val="single" w:color="C8D8E8" w:sz="1"/>
              <w:bottom w:val="single" w:color="C8D8E8" w:sz="1"/>
              <w:right w:val="single" w:color="C8D8E8" w:sz="1"/>
            </w:tcBorders>
            <w:shd w:fill="FFFFFF"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1 dummy outfall (bottleneck)</w:t>
            </w:r>
          </w:p>
        </w:tc>
        <w:tc>
          <w:tcPr>
            <w:tcW w:type="dxa" w:w="1700"/>
            <w:tcBorders>
              <w:top w:val="single" w:color="C8D8E8" w:sz="1"/>
              <w:left w:val="single" w:color="C8D8E8" w:sz="1"/>
              <w:bottom w:val="single" w:color="C8D8E8" w:sz="1"/>
              <w:right w:val="single" w:color="C8D8E8" w:sz="1"/>
            </w:tcBorders>
            <w:shd w:fill="FFFFFF"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5 outfalls at lowest-elevation nodes</w:t>
            </w:r>
          </w:p>
        </w:tc>
        <w:tc>
          <w:tcPr>
            <w:tcW w:type="dxa" w:w="4260"/>
            <w:tcBorders>
              <w:top w:val="single" w:color="C8D8E8" w:sz="1"/>
              <w:left w:val="single" w:color="C8D8E8" w:sz="1"/>
              <w:bottom w:val="single" w:color="C8D8E8" w:sz="1"/>
              <w:right w:val="single" w:color="C8D8E8" w:sz="1"/>
            </w:tcBorders>
            <w:shd w:fill="FFFFFF"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Reduces backpressure</w:t>
            </w:r>
          </w:p>
        </w:tc>
      </w:tr>
    </w:tbl>
    <w:p>
      <w:pPr>
        <w:spacing w:after="80" w:before="0"/>
      </w:pPr>
      <w:r>
        <w:rPr>
          <w:rFonts w:ascii="Arial" w:cs="Arial" w:eastAsia="Arial" w:hAnsi="Arial"/>
          <w:b w:val="false"/>
          <w:bCs w:val="false"/>
          <w:i w:val="false"/>
          <w:iCs w:val="false"/>
          <w:color w:val="1A1A1A"/>
          <w:sz w:val="22"/>
          <w:szCs w:val="22"/>
        </w:rPr>
        <w:t xml:space="preserve"/>
      </w:r>
    </w:p>
    <w:p>
      <w:pPr>
        <w:pStyle w:val="Heading2"/>
        <w:spacing w:after="130" w:before="300"/>
      </w:pPr>
      <w:r>
        <w:rPr>
          <w:rFonts w:ascii="Arial" w:cs="Arial" w:eastAsia="Arial" w:hAnsi="Arial"/>
          <w:b/>
          <w:bCs/>
          <w:i w:val="false"/>
          <w:iCs w:val="false"/>
          <w:color w:val="1A4A8A"/>
          <w:sz w:val="26"/>
          <w:szCs w:val="26"/>
        </w:rPr>
        <w:t xml:space="preserve">5.3 Storm Hyetograph</w:t>
      </w:r>
    </w:p>
    <w:p>
      <w:pPr>
        <w:spacing w:after="100" w:before="60" w:line="320"/>
      </w:pPr>
      <w:r>
        <w:rPr>
          <w:rFonts w:ascii="Arial" w:cs="Arial" w:eastAsia="Arial" w:hAnsi="Arial"/>
          <w:b w:val="false"/>
          <w:bCs w:val="false"/>
          <w:i w:val="false"/>
          <w:iCs w:val="false"/>
          <w:color w:val="1A1A1A"/>
          <w:sz w:val="22"/>
          <w:szCs w:val="22"/>
        </w:rPr>
        <w:t xml:space="preserve">A triangular design storm is used, representative of Vadodara's 10-year return period rainfall (~50mm/hr peak). Peak flow per node is 0.005 CMS, representing a 500m² catchment area per junction with 0.70 runoff coefficient.</w:t>
      </w:r>
    </w:p>
    <w:p>
      <w:pPr>
        <w:spacing w:after="140" w:before="140"/>
        <w:ind w:left="720"/>
        <w:jc w:val="center"/>
      </w:pPr>
      <w:r>
        <w:rPr>
          <w:rFonts w:ascii="Courier New" w:cs="Courier New" w:eastAsia="Courier New" w:hAnsi="Courier New"/>
          <w:color w:val="0B1F3A"/>
          <w:sz w:val="22"/>
          <w:szCs w:val="22"/>
        </w:rPr>
        <w:t xml:space="preserve">Q_peak = (50/3600 m/s) × 500 m² × 0.70 = 0.0049 ≈ 0.005 CMS</w:t>
      </w:r>
    </w:p>
    <w:p>
      <w:pPr>
        <w:spacing w:after="100" w:before="60" w:line="320"/>
      </w:pPr>
      <w:r>
        <w:rPr>
          <w:rFonts w:ascii="Arial" w:cs="Arial" w:eastAsia="Arial" w:hAnsi="Arial"/>
          <w:b w:val="false"/>
          <w:bCs w:val="false"/>
          <w:i w:val="false"/>
          <w:iCs w:val="false"/>
          <w:color w:val="1A1A1A"/>
          <w:sz w:val="22"/>
          <w:szCs w:val="22"/>
        </w:rPr>
        <w:t xml:space="preserve">The storm timeline has 8 steps from dry baseline through 1h30m peak (intensity=1.0) to 4h recession. DYNWAVE routing step is 5 seconds, satisfying the CFL condition for the shortest major road segment (~50m at wave speed ~3.1 m/s: CFL dt ≤ 50/3.1 = 16s).</w:t>
      </w:r>
    </w:p>
    <w:p>
      <w:pPr>
        <w:spacing w:after="80" w:before="0"/>
      </w:pPr>
      <w:r>
        <w:rPr>
          <w:rFonts w:ascii="Arial" w:cs="Arial" w:eastAsia="Arial" w:hAnsi="Arial"/>
          <w:b w:val="false"/>
          <w:bCs w:val="false"/>
          <w:i w:val="false"/>
          <w:iCs w:val="false"/>
          <w:color w:val="1A1A1A"/>
          <w:sz w:val="22"/>
          <w:szCs w:val="22"/>
        </w:rPr>
        <w:t xml:space="preserve"/>
      </w:r>
    </w:p>
    <w:p>
      <w:pPr>
        <w:pStyle w:val="Heading2"/>
        <w:spacing w:after="130" w:before="300"/>
      </w:pPr>
      <w:r>
        <w:rPr>
          <w:rFonts w:ascii="Arial" w:cs="Arial" w:eastAsia="Arial" w:hAnsi="Arial"/>
          <w:b/>
          <w:bCs/>
          <w:i w:val="false"/>
          <w:iCs w:val="false"/>
          <w:color w:val="1A4A8A"/>
          <w:sz w:val="26"/>
          <w:szCs w:val="26"/>
        </w:rPr>
        <w:t xml:space="preserve">5.4 Ward-Level Flood Aggregation</w:t>
      </w:r>
    </w:p>
    <w:p>
      <w:pPr>
        <w:spacing w:after="100" w:before="60" w:line="320"/>
      </w:pPr>
      <w:r>
        <w:rPr>
          <w:rFonts w:ascii="Arial" w:cs="Arial" w:eastAsia="Arial" w:hAnsi="Arial"/>
          <w:b w:val="false"/>
          <w:bCs w:val="false"/>
          <w:i w:val="false"/>
          <w:iCs w:val="false"/>
          <w:color w:val="1A1A1A"/>
          <w:sz w:val="22"/>
          <w:szCs w:val="22"/>
        </w:rPr>
        <w:t xml:space="preserve">SWMM output (edge-level max depth) is joined back to the OSMnx major-road GeoDataFrame by (u, v, key) index, then spatially joined to ward polygons. Three ward-level flood metrics are computed and written to vadodara_final_uoi_balanced.gpkg:</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swmm_flood_road_pct — percentage of road length with max depth exceeding road-type threshold</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swmm_mean_depth_m — mean maximum flood depth across ward roads</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swmm_max_depth_m — worst-case flood depth encountered in the ward</w:t>
      </w:r>
    </w:p>
    <w:p>
      <w:pPr>
        <w:spacing w:after="100" w:before="60" w:line="320"/>
      </w:pPr>
      <w:r>
        <w:rPr>
          <w:rFonts w:ascii="Arial" w:cs="Arial" w:eastAsia="Arial" w:hAnsi="Arial"/>
          <w:b w:val="false"/>
          <w:bCs w:val="false"/>
          <w:i w:val="false"/>
          <w:iCs w:val="false"/>
          <w:color w:val="1A1A1A"/>
          <w:sz w:val="22"/>
          <w:szCs w:val="22"/>
        </w:rPr>
        <w:t xml:space="preserve">Road-type-specific thresholds are applied: arterial=0.50m, primary=0.45m, secondary=0.35m, tertiary=0.30m, residential=0.25m. The SWMM flood rate feeds directly into GNN.py as a dynamic replacement for the static flood_exposure_pct raster layer.</w:t>
      </w:r>
    </w:p>
    <w:p>
      <w:pPr>
        <w:spacing w:after="80" w:before="0"/>
      </w:pPr>
      <w:r>
        <w:rPr>
          <w:rFonts w:ascii="Arial" w:cs="Arial" w:eastAsia="Arial" w:hAnsi="Arial"/>
          <w:b w:val="false"/>
          <w:bCs w:val="false"/>
          <w:i w:val="false"/>
          <w:iCs w:val="false"/>
          <w:color w:val="1A1A1A"/>
          <w:sz w:val="22"/>
          <w:szCs w:val="22"/>
        </w:rPr>
        <w:t xml:space="preserve"/>
      </w:r>
    </w:p>
    <w:p>
      <w:pPr>
        <w:spacing w:after="0" w:before="0"/>
      </w:pPr>
      <w:r>
        <w:br w:type="page"/>
      </w:r>
    </w:p>
    <w:p>
      <w:pPr>
        <w:pStyle w:val="Heading1"/>
        <w:pBdr>
          <w:bottom w:val="single" w:color="2E6DA4" w:sz="4"/>
        </w:pBdr>
        <w:spacing w:after="180" w:before="400"/>
      </w:pPr>
      <w:r>
        <w:rPr>
          <w:rFonts w:ascii="Arial" w:cs="Arial" w:eastAsia="Arial" w:hAnsi="Arial"/>
          <w:b/>
          <w:bCs/>
          <w:i w:val="false"/>
          <w:iCs w:val="false"/>
          <w:color w:val="0B1F3A"/>
          <w:sz w:val="32"/>
          <w:szCs w:val="32"/>
        </w:rPr>
        <w:t xml:space="preserve">6. city2graph Integration</w:t>
      </w:r>
    </w:p>
    <w:p>
      <w:pPr>
        <w:pStyle w:val="Heading2"/>
        <w:spacing w:after="130" w:before="300"/>
      </w:pPr>
      <w:r>
        <w:rPr>
          <w:rFonts w:ascii="Arial" w:cs="Arial" w:eastAsia="Arial" w:hAnsi="Arial"/>
          <w:b/>
          <w:bCs/>
          <w:i w:val="false"/>
          <w:iCs w:val="false"/>
          <w:color w:val="1A4A8A"/>
          <w:sz w:val="26"/>
          <w:szCs w:val="26"/>
        </w:rPr>
        <w:t xml:space="preserve">6.1 Library Role</w:t>
      </w:r>
    </w:p>
    <w:p>
      <w:pPr>
        <w:spacing w:after="100" w:before="60" w:line="320"/>
      </w:pPr>
      <w:r>
        <w:rPr>
          <w:rFonts w:ascii="Arial" w:cs="Arial" w:eastAsia="Arial" w:hAnsi="Arial"/>
          <w:b w:val="false"/>
          <w:bCs w:val="false"/>
          <w:i w:val="false"/>
          <w:iCs w:val="false"/>
          <w:color w:val="1A1A1A"/>
          <w:sz w:val="22"/>
          <w:szCs w:val="22"/>
        </w:rPr>
        <w:t xml:space="preserve">city2graph (Sato 2025, doi:10.5281/zenodo.15858845) is a Python library that converts geospatial datasets into graph representations with integrated interfaces for GeoPandas, NetworkX, and PyTorch Geometric. It replaces manual libpysal adjacency construction throughout the pipeline.</w:t>
      </w:r>
    </w:p>
    <w:p>
      <w:pPr>
        <w:spacing w:after="80" w:before="0"/>
      </w:pPr>
      <w:r>
        <w:rPr>
          <w:rFonts w:ascii="Arial" w:cs="Arial" w:eastAsia="Arial" w:hAnsi="Arial"/>
          <w:b w:val="false"/>
          <w:bCs w:val="false"/>
          <w:i w:val="false"/>
          <w:iCs w:val="false"/>
          <w:color w:val="1A1A1A"/>
          <w:sz w:val="22"/>
          <w:szCs w:val="22"/>
        </w:rPr>
        <w:t xml:space="preserve"/>
      </w:r>
    </w:p>
    <w:p>
      <w:pPr>
        <w:pStyle w:val="Heading2"/>
        <w:spacing w:after="130" w:before="300"/>
      </w:pPr>
      <w:r>
        <w:rPr>
          <w:rFonts w:ascii="Arial" w:cs="Arial" w:eastAsia="Arial" w:hAnsi="Arial"/>
          <w:b/>
          <w:bCs/>
          <w:i w:val="false"/>
          <w:iCs w:val="false"/>
          <w:color w:val="1A4A8A"/>
          <w:sz w:val="26"/>
          <w:szCs w:val="26"/>
        </w:rPr>
        <w:t xml:space="preserve">6.2 Functions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2200"/>
        <w:gridCol w:w="2500"/>
        <w:gridCol w:w="2500"/>
        <w:gridCol w:w="2160"/>
      </w:tblGrid>
      <w:tr>
        <w:tc>
          <w:tcPr>
            <w:tcW w:type="dxa" w:w="2200"/>
            <w:tcBorders>
              <w:top w:val="single" w:color="C8D8E8" w:sz="1"/>
              <w:left w:val="single" w:color="C8D8E8" w:sz="1"/>
              <w:bottom w:val="single" w:color="C8D8E8" w:sz="1"/>
              <w:right w:val="single" w:color="C8D8E8" w:sz="1"/>
            </w:tcBorders>
            <w:shd w:fill="0B1F3A"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Function</w:t>
            </w:r>
          </w:p>
        </w:tc>
        <w:tc>
          <w:tcPr>
            <w:tcW w:type="dxa" w:w="2500"/>
            <w:tcBorders>
              <w:top w:val="single" w:color="C8D8E8" w:sz="1"/>
              <w:left w:val="single" w:color="C8D8E8" w:sz="1"/>
              <w:bottom w:val="single" w:color="C8D8E8" w:sz="1"/>
              <w:right w:val="single" w:color="C8D8E8" w:sz="1"/>
            </w:tcBorders>
            <w:shd w:fill="0B1F3A"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Purpose</w:t>
            </w:r>
          </w:p>
        </w:tc>
        <w:tc>
          <w:tcPr>
            <w:tcW w:type="dxa" w:w="2500"/>
            <w:tcBorders>
              <w:top w:val="single" w:color="C8D8E8" w:sz="1"/>
              <w:left w:val="single" w:color="C8D8E8" w:sz="1"/>
              <w:bottom w:val="single" w:color="C8D8E8" w:sz="1"/>
              <w:right w:val="single" w:color="C8D8E8" w:sz="1"/>
            </w:tcBorders>
            <w:shd w:fill="0B1F3A"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Output</w:t>
            </w:r>
          </w:p>
        </w:tc>
        <w:tc>
          <w:tcPr>
            <w:tcW w:type="dxa" w:w="2160"/>
            <w:tcBorders>
              <w:top w:val="single" w:color="C8D8E8" w:sz="1"/>
              <w:left w:val="single" w:color="C8D8E8" w:sz="1"/>
              <w:bottom w:val="single" w:color="C8D8E8" w:sz="1"/>
              <w:right w:val="single" w:color="C8D8E8" w:sz="1"/>
            </w:tcBorders>
            <w:shd w:fill="0B1F3A"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Used in</w:t>
            </w:r>
          </w:p>
        </w:tc>
      </w:tr>
      <w:tr>
        <w:tc>
          <w:tcPr>
            <w:tcW w:type="dxa" w:w="2200"/>
            <w:tcBorders>
              <w:top w:val="single" w:color="C8D8E8" w:sz="1"/>
              <w:left w:val="single" w:color="C8D8E8" w:sz="1"/>
              <w:bottom w:val="single" w:color="C8D8E8" w:sz="1"/>
              <w:right w:val="single" w:color="C8D8E8" w:sz="1"/>
            </w:tcBorders>
            <w:shd w:fill="FFFFFF"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c2g.contiguity_graph(wards, 'queen')</w:t>
            </w:r>
          </w:p>
        </w:tc>
        <w:tc>
          <w:tcPr>
            <w:tcW w:type="dxa" w:w="2500"/>
            <w:tcBorders>
              <w:top w:val="single" w:color="C8D8E8" w:sz="1"/>
              <w:left w:val="single" w:color="C8D8E8" w:sz="1"/>
              <w:bottom w:val="single" w:color="C8D8E8" w:sz="1"/>
              <w:right w:val="single" w:color="C8D8E8" w:sz="1"/>
            </w:tcBorders>
            <w:shd w:fill="FFFFFF"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Ward adjacency for BYM2</w:t>
            </w:r>
          </w:p>
        </w:tc>
        <w:tc>
          <w:tcPr>
            <w:tcW w:type="dxa" w:w="2500"/>
            <w:tcBorders>
              <w:top w:val="single" w:color="C8D8E8" w:sz="1"/>
              <w:left w:val="single" w:color="C8D8E8" w:sz="1"/>
              <w:bottom w:val="single" w:color="C8D8E8" w:sz="1"/>
              <w:right w:val="single" w:color="C8D8E8" w:sz="1"/>
            </w:tcBorders>
            <w:shd w:fill="FFFFFF"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MultiIndex edge GeoDataFrame (src_idx, tgt_idx)</w:t>
            </w:r>
          </w:p>
        </w:tc>
        <w:tc>
          <w:tcPr>
            <w:tcW w:type="dxa" w:w="2160"/>
            <w:tcBorders>
              <w:top w:val="single" w:color="C8D8E8" w:sz="1"/>
              <w:left w:val="single" w:color="C8D8E8" w:sz="1"/>
              <w:bottom w:val="single" w:color="C8D8E8" w:sz="1"/>
              <w:right w:val="single" w:color="C8D8E8" w:sz="1"/>
            </w:tcBorders>
            <w:shd w:fill="FFFFFF"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10_city2graph_integration.py</w:t>
            </w:r>
          </w:p>
        </w:tc>
      </w:tr>
      <w:tr>
        <w:tc>
          <w:tcPr>
            <w:tcW w:type="dxa" w:w="2200"/>
            <w:tcBorders>
              <w:top w:val="single" w:color="C8D8E8" w:sz="1"/>
              <w:left w:val="single" w:color="C8D8E8" w:sz="1"/>
              <w:bottom w:val="single" w:color="C8D8E8" w:sz="1"/>
              <w:right w:val="single" w:color="C8D8E8" w:sz="1"/>
            </w:tcBorders>
            <w:shd w:fill="F4F6F9"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c2g.group_nodes(wards, pois)</w:t>
            </w:r>
          </w:p>
        </w:tc>
        <w:tc>
          <w:tcPr>
            <w:tcW w:type="dxa" w:w="2500"/>
            <w:tcBorders>
              <w:top w:val="single" w:color="C8D8E8" w:sz="1"/>
              <w:left w:val="single" w:color="C8D8E8" w:sz="1"/>
              <w:bottom w:val="single" w:color="C8D8E8" w:sz="1"/>
              <w:right w:val="single" w:color="C8D8E8" w:sz="1"/>
            </w:tcBorders>
            <w:shd w:fill="F4F6F9"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POI → ward bipartite edges</w:t>
            </w:r>
          </w:p>
        </w:tc>
        <w:tc>
          <w:tcPr>
            <w:tcW w:type="dxa" w:w="2500"/>
            <w:tcBorders>
              <w:top w:val="single" w:color="C8D8E8" w:sz="1"/>
              <w:left w:val="single" w:color="C8D8E8" w:sz="1"/>
              <w:bottom w:val="single" w:color="C8D8E8" w:sz="1"/>
              <w:right w:val="single" w:color="C8D8E8" w:sz="1"/>
            </w:tcBorders>
            <w:shd w:fill="F4F6F9"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nodes_dict, edges_dict</w:t>
            </w:r>
          </w:p>
        </w:tc>
        <w:tc>
          <w:tcPr>
            <w:tcW w:type="dxa" w:w="2160"/>
            <w:tcBorders>
              <w:top w:val="single" w:color="C8D8E8" w:sz="1"/>
              <w:left w:val="single" w:color="C8D8E8" w:sz="1"/>
              <w:bottom w:val="single" w:color="C8D8E8" w:sz="1"/>
              <w:right w:val="single" w:color="C8D8E8" w:sz="1"/>
            </w:tcBorders>
            <w:shd w:fill="F4F6F9"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10_city2graph_integration.py</w:t>
            </w:r>
          </w:p>
        </w:tc>
      </w:tr>
      <w:tr>
        <w:tc>
          <w:tcPr>
            <w:tcW w:type="dxa" w:w="2200"/>
            <w:tcBorders>
              <w:top w:val="single" w:color="C8D8E8" w:sz="1"/>
              <w:left w:val="single" w:color="C8D8E8" w:sz="1"/>
              <w:bottom w:val="single" w:color="C8D8E8" w:sz="1"/>
              <w:right w:val="single" w:color="C8D8E8" w:sz="1"/>
            </w:tcBorders>
            <w:shd w:fill="FFFFFF"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c2g.knn_graph(centroids, k=3)</w:t>
            </w:r>
          </w:p>
        </w:tc>
        <w:tc>
          <w:tcPr>
            <w:tcW w:type="dxa" w:w="2500"/>
            <w:tcBorders>
              <w:top w:val="single" w:color="C8D8E8" w:sz="1"/>
              <w:left w:val="single" w:color="C8D8E8" w:sz="1"/>
              <w:bottom w:val="single" w:color="C8D8E8" w:sz="1"/>
              <w:right w:val="single" w:color="C8D8E8" w:sz="1"/>
            </w:tcBorders>
            <w:shd w:fill="FFFFFF"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KNN spatial proximity graph</w:t>
            </w:r>
          </w:p>
        </w:tc>
        <w:tc>
          <w:tcPr>
            <w:tcW w:type="dxa" w:w="2500"/>
            <w:tcBorders>
              <w:top w:val="single" w:color="C8D8E8" w:sz="1"/>
              <w:left w:val="single" w:color="C8D8E8" w:sz="1"/>
              <w:bottom w:val="single" w:color="C8D8E8" w:sz="1"/>
              <w:right w:val="single" w:color="C8D8E8" w:sz="1"/>
            </w:tcBorders>
            <w:shd w:fill="FFFFFF"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nodes GDF, edges GDF</w:t>
            </w:r>
          </w:p>
        </w:tc>
        <w:tc>
          <w:tcPr>
            <w:tcW w:type="dxa" w:w="2160"/>
            <w:tcBorders>
              <w:top w:val="single" w:color="C8D8E8" w:sz="1"/>
              <w:left w:val="single" w:color="C8D8E8" w:sz="1"/>
              <w:bottom w:val="single" w:color="C8D8E8" w:sz="1"/>
              <w:right w:val="single" w:color="C8D8E8" w:sz="1"/>
            </w:tcBorders>
            <w:shd w:fill="FFFFFF"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Robustness checks</w:t>
            </w:r>
          </w:p>
        </w:tc>
      </w:tr>
      <w:tr>
        <w:tc>
          <w:tcPr>
            <w:tcW w:type="dxa" w:w="2200"/>
            <w:tcBorders>
              <w:top w:val="single" w:color="C8D8E8" w:sz="1"/>
              <w:left w:val="single" w:color="C8D8E8" w:sz="1"/>
              <w:bottom w:val="single" w:color="C8D8E8" w:sz="1"/>
              <w:right w:val="single" w:color="C8D8E8" w:sz="1"/>
            </w:tcBorders>
            <w:shd w:fill="F4F6F9"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c2g.delaunay_graph(centroids)</w:t>
            </w:r>
          </w:p>
        </w:tc>
        <w:tc>
          <w:tcPr>
            <w:tcW w:type="dxa" w:w="2500"/>
            <w:tcBorders>
              <w:top w:val="single" w:color="C8D8E8" w:sz="1"/>
              <w:left w:val="single" w:color="C8D8E8" w:sz="1"/>
              <w:bottom w:val="single" w:color="C8D8E8" w:sz="1"/>
              <w:right w:val="single" w:color="C8D8E8" w:sz="1"/>
            </w:tcBorders>
            <w:shd w:fill="F4F6F9"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Delaunay triangulation</w:t>
            </w:r>
          </w:p>
        </w:tc>
        <w:tc>
          <w:tcPr>
            <w:tcW w:type="dxa" w:w="2500"/>
            <w:tcBorders>
              <w:top w:val="single" w:color="C8D8E8" w:sz="1"/>
              <w:left w:val="single" w:color="C8D8E8" w:sz="1"/>
              <w:bottom w:val="single" w:color="C8D8E8" w:sz="1"/>
              <w:right w:val="single" w:color="C8D8E8" w:sz="1"/>
            </w:tcBorders>
            <w:shd w:fill="F4F6F9"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nodes GDF, edges GDF</w:t>
            </w:r>
          </w:p>
        </w:tc>
        <w:tc>
          <w:tcPr>
            <w:tcW w:type="dxa" w:w="2160"/>
            <w:tcBorders>
              <w:top w:val="single" w:color="C8D8E8" w:sz="1"/>
              <w:left w:val="single" w:color="C8D8E8" w:sz="1"/>
              <w:bottom w:val="single" w:color="C8D8E8" w:sz="1"/>
              <w:right w:val="single" w:color="C8D8E8" w:sz="1"/>
            </w:tcBorders>
            <w:shd w:fill="F4F6F9"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Robustness checks</w:t>
            </w:r>
          </w:p>
        </w:tc>
      </w:tr>
      <w:tr>
        <w:tc>
          <w:tcPr>
            <w:tcW w:type="dxa" w:w="2200"/>
            <w:tcBorders>
              <w:top w:val="single" w:color="C8D8E8" w:sz="1"/>
              <w:left w:val="single" w:color="C8D8E8" w:sz="1"/>
              <w:bottom w:val="single" w:color="C8D8E8" w:sz="1"/>
              <w:right w:val="single" w:color="C8D8E8" w:sz="1"/>
            </w:tcBorders>
            <w:shd w:fill="FFFFFF"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c2g.gdf_to_nx(nodes, edges)</w:t>
            </w:r>
          </w:p>
        </w:tc>
        <w:tc>
          <w:tcPr>
            <w:tcW w:type="dxa" w:w="2500"/>
            <w:tcBorders>
              <w:top w:val="single" w:color="C8D8E8" w:sz="1"/>
              <w:left w:val="single" w:color="C8D8E8" w:sz="1"/>
              <w:bottom w:val="single" w:color="C8D8E8" w:sz="1"/>
              <w:right w:val="single" w:color="C8D8E8" w:sz="1"/>
            </w:tcBorders>
            <w:shd w:fill="FFFFFF"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Convert to NetworkX graph</w:t>
            </w:r>
          </w:p>
        </w:tc>
        <w:tc>
          <w:tcPr>
            <w:tcW w:type="dxa" w:w="2500"/>
            <w:tcBorders>
              <w:top w:val="single" w:color="C8D8E8" w:sz="1"/>
              <w:left w:val="single" w:color="C8D8E8" w:sz="1"/>
              <w:bottom w:val="single" w:color="C8D8E8" w:sz="1"/>
              <w:right w:val="single" w:color="C8D8E8" w:sz="1"/>
            </w:tcBorders>
            <w:shd w:fill="FFFFFF"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nx.Graph</w:t>
            </w:r>
          </w:p>
        </w:tc>
        <w:tc>
          <w:tcPr>
            <w:tcW w:type="dxa" w:w="2160"/>
            <w:tcBorders>
              <w:top w:val="single" w:color="C8D8E8" w:sz="1"/>
              <w:left w:val="single" w:color="C8D8E8" w:sz="1"/>
              <w:bottom w:val="single" w:color="C8D8E8" w:sz="1"/>
              <w:right w:val="single" w:color="C8D8E8" w:sz="1"/>
            </w:tcBorders>
            <w:shd w:fill="FFFFFF"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GraphML export</w:t>
            </w:r>
          </w:p>
        </w:tc>
      </w:tr>
      <w:tr>
        <w:tc>
          <w:tcPr>
            <w:tcW w:type="dxa" w:w="2200"/>
            <w:tcBorders>
              <w:top w:val="single" w:color="C8D8E8" w:sz="1"/>
              <w:left w:val="single" w:color="C8D8E8" w:sz="1"/>
              <w:bottom w:val="single" w:color="C8D8E8" w:sz="1"/>
              <w:right w:val="single" w:color="C8D8E8" w:sz="1"/>
            </w:tcBorders>
            <w:shd w:fill="F4F6F9"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c2g.gdf_to_pyg(nodes, edges)</w:t>
            </w:r>
          </w:p>
        </w:tc>
        <w:tc>
          <w:tcPr>
            <w:tcW w:type="dxa" w:w="2500"/>
            <w:tcBorders>
              <w:top w:val="single" w:color="C8D8E8" w:sz="1"/>
              <w:left w:val="single" w:color="C8D8E8" w:sz="1"/>
              <w:bottom w:val="single" w:color="C8D8E8" w:sz="1"/>
              <w:right w:val="single" w:color="C8D8E8" w:sz="1"/>
            </w:tcBorders>
            <w:shd w:fill="F4F6F9"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Convert to PyTorch Geometric</w:t>
            </w:r>
          </w:p>
        </w:tc>
        <w:tc>
          <w:tcPr>
            <w:tcW w:type="dxa" w:w="2500"/>
            <w:tcBorders>
              <w:top w:val="single" w:color="C8D8E8" w:sz="1"/>
              <w:left w:val="single" w:color="C8D8E8" w:sz="1"/>
              <w:bottom w:val="single" w:color="C8D8E8" w:sz="1"/>
              <w:right w:val="single" w:color="C8D8E8" w:sz="1"/>
            </w:tcBorders>
            <w:shd w:fill="F4F6F9"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HeteroData</w:t>
            </w:r>
          </w:p>
        </w:tc>
        <w:tc>
          <w:tcPr>
            <w:tcW w:type="dxa" w:w="2160"/>
            <w:tcBorders>
              <w:top w:val="single" w:color="C8D8E8" w:sz="1"/>
              <w:left w:val="single" w:color="C8D8E8" w:sz="1"/>
              <w:bottom w:val="single" w:color="C8D8E8" w:sz="1"/>
              <w:right w:val="single" w:color="C8D8E8" w:sz="1"/>
            </w:tcBorders>
            <w:shd w:fill="F4F6F9"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GNN training</w:t>
            </w:r>
          </w:p>
        </w:tc>
      </w:tr>
      <w:tr>
        <w:tc>
          <w:tcPr>
            <w:tcW w:type="dxa" w:w="2200"/>
            <w:tcBorders>
              <w:top w:val="single" w:color="C8D8E8" w:sz="1"/>
              <w:left w:val="single" w:color="C8D8E8" w:sz="1"/>
              <w:bottom w:val="single" w:color="C8D8E8" w:sz="1"/>
              <w:right w:val="single" w:color="C8D8E8" w:sz="1"/>
            </w:tcBorders>
            <w:shd w:fill="FFFFFF"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c2g.load_gtfs(path)</w:t>
            </w:r>
          </w:p>
        </w:tc>
        <w:tc>
          <w:tcPr>
            <w:tcW w:type="dxa" w:w="2500"/>
            <w:tcBorders>
              <w:top w:val="single" w:color="C8D8E8" w:sz="1"/>
              <w:left w:val="single" w:color="C8D8E8" w:sz="1"/>
              <w:bottom w:val="single" w:color="C8D8E8" w:sz="1"/>
              <w:right w:val="single" w:color="C8D8E8" w:sz="1"/>
            </w:tcBorders>
            <w:shd w:fill="FFFFFF"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Parse GTFS transit feed</w:t>
            </w:r>
          </w:p>
        </w:tc>
        <w:tc>
          <w:tcPr>
            <w:tcW w:type="dxa" w:w="2500"/>
            <w:tcBorders>
              <w:top w:val="single" w:color="C8D8E8" w:sz="1"/>
              <w:left w:val="single" w:color="C8D8E8" w:sz="1"/>
              <w:bottom w:val="single" w:color="C8D8E8" w:sz="1"/>
              <w:right w:val="single" w:color="C8D8E8" w:sz="1"/>
            </w:tcBorders>
            <w:shd w:fill="FFFFFF"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DuckDB connection</w:t>
            </w:r>
          </w:p>
        </w:tc>
        <w:tc>
          <w:tcPr>
            <w:tcW w:type="dxa" w:w="2160"/>
            <w:tcBorders>
              <w:top w:val="single" w:color="C8D8E8" w:sz="1"/>
              <w:left w:val="single" w:color="C8D8E8" w:sz="1"/>
              <w:bottom w:val="single" w:color="C8D8E8" w:sz="1"/>
              <w:right w:val="single" w:color="C8D8E8" w:sz="1"/>
            </w:tcBorders>
            <w:shd w:fill="FFFFFF"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03b_transit_accessibility.py</w:t>
            </w:r>
          </w:p>
        </w:tc>
      </w:tr>
      <w:tr>
        <w:tc>
          <w:tcPr>
            <w:tcW w:type="dxa" w:w="2200"/>
            <w:tcBorders>
              <w:top w:val="single" w:color="C8D8E8" w:sz="1"/>
              <w:left w:val="single" w:color="C8D8E8" w:sz="1"/>
              <w:bottom w:val="single" w:color="C8D8E8" w:sz="1"/>
              <w:right w:val="single" w:color="C8D8E8" w:sz="1"/>
            </w:tcBorders>
            <w:shd w:fill="F4F6F9"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c2g.travel_summary_graph(con)</w:t>
            </w:r>
          </w:p>
        </w:tc>
        <w:tc>
          <w:tcPr>
            <w:tcW w:type="dxa" w:w="2500"/>
            <w:tcBorders>
              <w:top w:val="single" w:color="C8D8E8" w:sz="1"/>
              <w:left w:val="single" w:color="C8D8E8" w:sz="1"/>
              <w:bottom w:val="single" w:color="C8D8E8" w:sz="1"/>
              <w:right w:val="single" w:color="C8D8E8" w:sz="1"/>
            </w:tcBorders>
            <w:shd w:fill="F4F6F9"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Stop-to-stop transit graph</w:t>
            </w:r>
          </w:p>
        </w:tc>
        <w:tc>
          <w:tcPr>
            <w:tcW w:type="dxa" w:w="2500"/>
            <w:tcBorders>
              <w:top w:val="single" w:color="C8D8E8" w:sz="1"/>
              <w:left w:val="single" w:color="C8D8E8" w:sz="1"/>
              <w:bottom w:val="single" w:color="C8D8E8" w:sz="1"/>
              <w:right w:val="single" w:color="C8D8E8" w:sz="1"/>
            </w:tcBorders>
            <w:shd w:fill="F4F6F9"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nodes GDF, edges GDF</w:t>
            </w:r>
          </w:p>
        </w:tc>
        <w:tc>
          <w:tcPr>
            <w:tcW w:type="dxa" w:w="2160"/>
            <w:tcBorders>
              <w:top w:val="single" w:color="C8D8E8" w:sz="1"/>
              <w:left w:val="single" w:color="C8D8E8" w:sz="1"/>
              <w:bottom w:val="single" w:color="C8D8E8" w:sz="1"/>
              <w:right w:val="single" w:color="C8D8E8" w:sz="1"/>
            </w:tcBorders>
            <w:shd w:fill="F4F6F9"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Transit accessibility</w:t>
            </w:r>
          </w:p>
        </w:tc>
      </w:tr>
    </w:tbl>
    <w:p>
      <w:pPr>
        <w:spacing w:after="80" w:before="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8D8E8" w:sz="1"/>
              <w:left w:val="single" w:color="C8D8E8" w:sz="1"/>
              <w:bottom w:val="single" w:color="C8D8E8" w:sz="1"/>
              <w:right w:val="single" w:color="C8D8E8" w:sz="1"/>
            </w:tcBorders>
            <w:shd w:fill="D6E8F5" w:val="clear"/>
            <w:tcMar>
              <w:top w:type="dxa" w:w="120"/>
              <w:left w:type="dxa" w:w="220"/>
              <w:bottom w:type="dxa" w:w="120"/>
              <w:right w:type="dxa" w:w="220"/>
            </w:tcMar>
          </w:tcPr>
          <w:p>
            <w:pPr>
              <w:spacing w:after="60" w:before="0"/>
            </w:pPr>
            <w:r>
              <w:rPr>
                <w:rFonts w:ascii="Arial" w:cs="Arial" w:eastAsia="Arial" w:hAnsi="Arial"/>
                <w:b/>
                <w:bCs/>
                <w:i w:val="false"/>
                <w:iCs w:val="false"/>
                <w:color w:val="0B1F3A"/>
                <w:sz w:val="21"/>
                <w:szCs w:val="21"/>
              </w:rPr>
              <w:t xml:space="preserve">BYM2 adjacency extraction</w:t>
            </w:r>
          </w:p>
          <w:p>
            <w:pPr>
              <w:spacing w:line="300"/>
            </w:pPr>
            <w:r>
              <w:rPr>
                <w:rFonts w:ascii="Arial" w:cs="Arial" w:eastAsia="Arial" w:hAnsi="Arial"/>
                <w:b w:val="false"/>
                <w:bCs w:val="false"/>
                <w:i w:val="false"/>
                <w:iCs w:val="false"/>
                <w:color w:val="1A1A1A"/>
                <w:sz w:val="20"/>
                <w:szCs w:val="20"/>
              </w:rPr>
              <w:t xml:space="preserve">city2graph edge MultiIndex: edges_gdf.reset_index() → columns ['level_0','level_1']. These are 0-indexed ward positions directly usable as BYM2 node1/node2 arrays. No mapping needed if wards are sorted by ward_id before calling contiguity_graph.</w:t>
            </w:r>
          </w:p>
        </w:tc>
      </w:tr>
    </w:tbl>
    <w:p>
      <w:pPr>
        <w:spacing w:after="80" w:before="0"/>
      </w:pPr>
      <w:r>
        <w:rPr>
          <w:rFonts w:ascii="Arial" w:cs="Arial" w:eastAsia="Arial" w:hAnsi="Arial"/>
          <w:b w:val="false"/>
          <w:bCs w:val="false"/>
          <w:i w:val="false"/>
          <w:iCs w:val="false"/>
          <w:color w:val="1A1A1A"/>
          <w:sz w:val="22"/>
          <w:szCs w:val="22"/>
        </w:rPr>
        <w:t xml:space="preserve"/>
      </w:r>
    </w:p>
    <w:p>
      <w:pPr>
        <w:spacing w:after="0" w:before="0"/>
      </w:pPr>
      <w:r>
        <w:br w:type="page"/>
      </w:r>
    </w:p>
    <w:p>
      <w:pPr>
        <w:pStyle w:val="Heading1"/>
        <w:pBdr>
          <w:bottom w:val="single" w:color="2E6DA4" w:sz="4"/>
        </w:pBdr>
        <w:spacing w:after="180" w:before="400"/>
      </w:pPr>
      <w:r>
        <w:rPr>
          <w:rFonts w:ascii="Arial" w:cs="Arial" w:eastAsia="Arial" w:hAnsi="Arial"/>
          <w:b/>
          <w:bCs/>
          <w:i w:val="false"/>
          <w:iCs w:val="false"/>
          <w:color w:val="0B1F3A"/>
          <w:sz w:val="32"/>
          <w:szCs w:val="32"/>
        </w:rPr>
        <w:t xml:space="preserve">7. GNN + BYM2 Hybrid Model</w:t>
      </w:r>
    </w:p>
    <w:p>
      <w:pPr>
        <w:pStyle w:val="Heading2"/>
        <w:spacing w:after="130" w:before="300"/>
      </w:pPr>
      <w:r>
        <w:rPr>
          <w:rFonts w:ascii="Arial" w:cs="Arial" w:eastAsia="Arial" w:hAnsi="Arial"/>
          <w:b/>
          <w:bCs/>
          <w:i w:val="false"/>
          <w:iCs w:val="false"/>
          <w:color w:val="1A4A8A"/>
          <w:sz w:val="26"/>
          <w:szCs w:val="26"/>
        </w:rPr>
        <w:t xml:space="preserve">7.1 Architecture</w:t>
      </w:r>
    </w:p>
    <w:p>
      <w:pPr>
        <w:spacing w:after="100" w:before="60" w:line="320"/>
      </w:pPr>
      <w:r>
        <w:rPr>
          <w:rFonts w:ascii="Arial" w:cs="Arial" w:eastAsia="Arial" w:hAnsi="Arial"/>
          <w:b w:val="false"/>
          <w:bCs w:val="false"/>
          <w:i w:val="false"/>
          <w:iCs w:val="false"/>
          <w:color w:val="1A1A1A"/>
          <w:sz w:val="22"/>
          <w:szCs w:val="22"/>
        </w:rPr>
        <w:t xml:space="preserve">The hybrid model uses a 3-layer Graph Convolutional Network (GCN) to learn spatially-contextualised ward embeddings from the road network topology, then feeds these as covariates into the BYM2 Bayesian model. This is justified because GNNs can capture both the topology of city networks and spatial context — naturally suited for predicting how connectivity patterns drive inequality.</w:t>
      </w:r>
    </w:p>
    <w:p>
      <w:pPr>
        <w:spacing w:after="80" w:before="0"/>
      </w:pPr>
      <w:r>
        <w:rPr>
          <w:rFonts w:ascii="Arial" w:cs="Arial" w:eastAsia="Arial" w:hAnsi="Arial"/>
          <w:b w:val="false"/>
          <w:bCs w:val="false"/>
          <w:i w:val="false"/>
          <w:iCs w:val="false"/>
          <w:color w:val="1A1A1A"/>
          <w:sz w:val="22"/>
          <w:szCs w:val="22"/>
        </w:rPr>
        <w:t xml:space="preserve"/>
      </w:r>
    </w:p>
    <w:p>
      <w:pPr>
        <w:pStyle w:val="Heading2"/>
        <w:spacing w:after="130" w:before="300"/>
      </w:pPr>
      <w:r>
        <w:rPr>
          <w:rFonts w:ascii="Arial" w:cs="Arial" w:eastAsia="Arial" w:hAnsi="Arial"/>
          <w:b/>
          <w:bCs/>
          <w:i w:val="false"/>
          <w:iCs w:val="false"/>
          <w:color w:val="1A4A8A"/>
          <w:sz w:val="26"/>
          <w:szCs w:val="26"/>
        </w:rPr>
        <w:t xml:space="preserve">7.2 Critical Bugs Fixed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500"/>
        <w:gridCol w:w="1800"/>
        <w:gridCol w:w="2400"/>
        <w:gridCol w:w="3660"/>
      </w:tblGrid>
      <w:tr>
        <w:tc>
          <w:tcPr>
            <w:tcW w:type="dxa" w:w="1500"/>
            <w:tcBorders>
              <w:top w:val="single" w:color="C8D8E8" w:sz="1"/>
              <w:left w:val="single" w:color="C8D8E8" w:sz="1"/>
              <w:bottom w:val="single" w:color="C8D8E8" w:sz="1"/>
              <w:right w:val="single" w:color="C8D8E8" w:sz="1"/>
            </w:tcBorders>
            <w:shd w:fill="0B1F3A"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Bug</w:t>
            </w:r>
          </w:p>
        </w:tc>
        <w:tc>
          <w:tcPr>
            <w:tcW w:type="dxa" w:w="1800"/>
            <w:tcBorders>
              <w:top w:val="single" w:color="C8D8E8" w:sz="1"/>
              <w:left w:val="single" w:color="C8D8E8" w:sz="1"/>
              <w:bottom w:val="single" w:color="C8D8E8" w:sz="1"/>
              <w:right w:val="single" w:color="C8D8E8" w:sz="1"/>
            </w:tcBorders>
            <w:shd w:fill="0B1F3A"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Original code</w:t>
            </w:r>
          </w:p>
        </w:tc>
        <w:tc>
          <w:tcPr>
            <w:tcW w:type="dxa" w:w="2400"/>
            <w:tcBorders>
              <w:top w:val="single" w:color="C8D8E8" w:sz="1"/>
              <w:left w:val="single" w:color="C8D8E8" w:sz="1"/>
              <w:bottom w:val="single" w:color="C8D8E8" w:sz="1"/>
              <w:right w:val="single" w:color="C8D8E8" w:sz="1"/>
            </w:tcBorders>
            <w:shd w:fill="0B1F3A"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Correct implementation</w:t>
            </w:r>
          </w:p>
        </w:tc>
        <w:tc>
          <w:tcPr>
            <w:tcW w:type="dxa" w:w="3660"/>
            <w:tcBorders>
              <w:top w:val="single" w:color="C8D8E8" w:sz="1"/>
              <w:left w:val="single" w:color="C8D8E8" w:sz="1"/>
              <w:bottom w:val="single" w:color="C8D8E8" w:sz="1"/>
              <w:right w:val="single" w:color="C8D8E8" w:sz="1"/>
            </w:tcBorders>
            <w:shd w:fill="0B1F3A"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Statistical consequence</w:t>
            </w:r>
          </w:p>
        </w:tc>
      </w:tr>
      <w:tr>
        <w:tc>
          <w:tcPr>
            <w:tcW w:type="dxa" w:w="1500"/>
            <w:tcBorders>
              <w:top w:val="single" w:color="C8D8E8" w:sz="1"/>
              <w:left w:val="single" w:color="C8D8E8" w:sz="1"/>
              <w:bottom w:val="single" w:color="C8D8E8" w:sz="1"/>
              <w:right w:val="single" w:color="C8D8E8" w:sz="1"/>
            </w:tcBorders>
            <w:shd w:fill="FFFFFF"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Wrong spatial prior</w:t>
            </w:r>
          </w:p>
        </w:tc>
        <w:tc>
          <w:tcPr>
            <w:tcW w:type="dxa" w:w="1800"/>
            <w:tcBorders>
              <w:top w:val="single" w:color="C8D8E8" w:sz="1"/>
              <w:left w:val="single" w:color="C8D8E8" w:sz="1"/>
              <w:bottom w:val="single" w:color="C8D8E8" w:sz="1"/>
              <w:right w:val="single" w:color="C8D8E8" w:sz="1"/>
            </w:tcBorders>
            <w:shd w:fill="FFFFFF"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pm.CAR(alpha=0.99, tau=1.0)</w:t>
            </w:r>
          </w:p>
        </w:tc>
        <w:tc>
          <w:tcPr>
            <w:tcW w:type="dxa" w:w="2400"/>
            <w:tcBorders>
              <w:top w:val="single" w:color="C8D8E8" w:sz="1"/>
              <w:left w:val="single" w:color="C8D8E8" w:sz="1"/>
              <w:bottom w:val="single" w:color="C8D8E8" w:sz="1"/>
              <w:right w:val="single" w:color="C8D8E8" w:sz="1"/>
            </w:tcBorders>
            <w:shd w:fill="FFFFFF"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ICAR Potential: pm.Potential('icar', icar_logp(u_raw, node1, node2))</w:t>
            </w:r>
          </w:p>
        </w:tc>
        <w:tc>
          <w:tcPr>
            <w:tcW w:type="dxa" w:w="3660"/>
            <w:tcBorders>
              <w:top w:val="single" w:color="C8D8E8" w:sz="1"/>
              <w:left w:val="single" w:color="C8D8E8" w:sz="1"/>
              <w:bottom w:val="single" w:color="C8D8E8" w:sz="1"/>
              <w:right w:val="single" w:color="C8D8E8" w:sz="1"/>
            </w:tcBorders>
            <w:shd w:fill="FFFFFF"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CAR ≠ ICAR; biased σ_b and φ; wrong credible intervals</w:t>
            </w:r>
          </w:p>
        </w:tc>
      </w:tr>
      <w:tr>
        <w:tc>
          <w:tcPr>
            <w:tcW w:type="dxa" w:w="1500"/>
            <w:tcBorders>
              <w:top w:val="single" w:color="C8D8E8" w:sz="1"/>
              <w:left w:val="single" w:color="C8D8E8" w:sz="1"/>
              <w:bottom w:val="single" w:color="C8D8E8" w:sz="1"/>
              <w:right w:val="single" w:color="C8D8E8" w:sz="1"/>
            </w:tcBorders>
            <w:shd w:fill="F4F6F9"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GNN predictions as fixed covariate</w:t>
            </w:r>
          </w:p>
        </w:tc>
        <w:tc>
          <w:tcPr>
            <w:tcW w:type="dxa" w:w="1800"/>
            <w:tcBorders>
              <w:top w:val="single" w:color="C8D8E8" w:sz="1"/>
              <w:left w:val="single" w:color="C8D8E8" w:sz="1"/>
              <w:bottom w:val="single" w:color="C8D8E8" w:sz="1"/>
              <w:right w:val="single" w:color="C8D8E8" w:sz="1"/>
            </w:tcBorders>
            <w:shd w:fill="F4F6F9"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gnn_pred.detach().numpy() → fixed array</w:t>
            </w:r>
          </w:p>
        </w:tc>
        <w:tc>
          <w:tcPr>
            <w:tcW w:type="dxa" w:w="2400"/>
            <w:tcBorders>
              <w:top w:val="single" w:color="C8D8E8" w:sz="1"/>
              <w:left w:val="single" w:color="C8D8E8" w:sz="1"/>
              <w:bottom w:val="single" w:color="C8D8E8" w:sz="1"/>
              <w:right w:val="single" w:color="C8D8E8" w:sz="1"/>
            </w:tcBorders>
            <w:shd w:fill="F4F6F9"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LOO-CV predictions OR use penultimate embeddings as features</w:t>
            </w:r>
          </w:p>
        </w:tc>
        <w:tc>
          <w:tcPr>
            <w:tcW w:type="dxa" w:w="3660"/>
            <w:tcBorders>
              <w:top w:val="single" w:color="C8D8E8" w:sz="1"/>
              <w:left w:val="single" w:color="C8D8E8" w:sz="1"/>
              <w:bottom w:val="single" w:color="C8D8E8" w:sz="1"/>
              <w:right w:val="single" w:color="C8D8E8" w:sz="1"/>
            </w:tcBorders>
            <w:shd w:fill="F4F6F9"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Treats GNN uncertainty as zero; attenuation bias in β_gnn</w:t>
            </w:r>
          </w:p>
        </w:tc>
      </w:tr>
      <w:tr>
        <w:tc>
          <w:tcPr>
            <w:tcW w:type="dxa" w:w="1500"/>
            <w:tcBorders>
              <w:top w:val="single" w:color="C8D8E8" w:sz="1"/>
              <w:left w:val="single" w:color="C8D8E8" w:sz="1"/>
              <w:bottom w:val="single" w:color="C8D8E8" w:sz="1"/>
              <w:right w:val="single" w:color="C8D8E8" w:sz="1"/>
            </w:tcBorders>
            <w:shd w:fill="FFFFFF"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Informative prior on β_gnn</w:t>
            </w:r>
          </w:p>
        </w:tc>
        <w:tc>
          <w:tcPr>
            <w:tcW w:type="dxa" w:w="1800"/>
            <w:tcBorders>
              <w:top w:val="single" w:color="C8D8E8" w:sz="1"/>
              <w:left w:val="single" w:color="C8D8E8" w:sz="1"/>
              <w:bottom w:val="single" w:color="C8D8E8" w:sz="1"/>
              <w:right w:val="single" w:color="C8D8E8" w:sz="1"/>
            </w:tcBorders>
            <w:shd w:fill="FFFFFF"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Normal(mu=1, sigma=0.2)</w:t>
            </w:r>
          </w:p>
        </w:tc>
        <w:tc>
          <w:tcPr>
            <w:tcW w:type="dxa" w:w="2400"/>
            <w:tcBorders>
              <w:top w:val="single" w:color="C8D8E8" w:sz="1"/>
              <w:left w:val="single" w:color="C8D8E8" w:sz="1"/>
              <w:bottom w:val="single" w:color="C8D8E8" w:sz="1"/>
              <w:right w:val="single" w:color="C8D8E8" w:sz="1"/>
            </w:tcBorders>
            <w:shd w:fill="FFFFFF"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Normal(0, 1)</w:t>
            </w:r>
          </w:p>
        </w:tc>
        <w:tc>
          <w:tcPr>
            <w:tcW w:type="dxa" w:w="3660"/>
            <w:tcBorders>
              <w:top w:val="single" w:color="C8D8E8" w:sz="1"/>
              <w:left w:val="single" w:color="C8D8E8" w:sz="1"/>
              <w:bottom w:val="single" w:color="C8D8E8" w:sz="1"/>
              <w:right w:val="single" w:color="C8D8E8" w:sz="1"/>
            </w:tcBorders>
            <w:shd w:fill="FFFFFF"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Forces model to trust GNN even if miscalibrated</w:t>
            </w:r>
          </w:p>
        </w:tc>
      </w:tr>
      <w:tr>
        <w:tc>
          <w:tcPr>
            <w:tcW w:type="dxa" w:w="1500"/>
            <w:tcBorders>
              <w:top w:val="single" w:color="C8D8E8" w:sz="1"/>
              <w:left w:val="single" w:color="C8D8E8" w:sz="1"/>
              <w:bottom w:val="single" w:color="C8D8E8" w:sz="1"/>
              <w:right w:val="single" w:color="C8D8E8" w:sz="1"/>
            </w:tcBorders>
            <w:shd w:fill="F4F6F9"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Over-aggressive MCMC target</w:t>
            </w:r>
          </w:p>
        </w:tc>
        <w:tc>
          <w:tcPr>
            <w:tcW w:type="dxa" w:w="1800"/>
            <w:tcBorders>
              <w:top w:val="single" w:color="C8D8E8" w:sz="1"/>
              <w:left w:val="single" w:color="C8D8E8" w:sz="1"/>
              <w:bottom w:val="single" w:color="C8D8E8" w:sz="1"/>
              <w:right w:val="single" w:color="C8D8E8" w:sz="1"/>
            </w:tcBorders>
            <w:shd w:fill="F4F6F9"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target_accept=0.99</w:t>
            </w:r>
          </w:p>
        </w:tc>
        <w:tc>
          <w:tcPr>
            <w:tcW w:type="dxa" w:w="2400"/>
            <w:tcBorders>
              <w:top w:val="single" w:color="C8D8E8" w:sz="1"/>
              <w:left w:val="single" w:color="C8D8E8" w:sz="1"/>
              <w:bottom w:val="single" w:color="C8D8E8" w:sz="1"/>
              <w:right w:val="single" w:color="C8D8E8" w:sz="1"/>
            </w:tcBorders>
            <w:shd w:fill="F4F6F9"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target_accept=0.90</w:t>
            </w:r>
          </w:p>
        </w:tc>
        <w:tc>
          <w:tcPr>
            <w:tcW w:type="dxa" w:w="3660"/>
            <w:tcBorders>
              <w:top w:val="single" w:color="C8D8E8" w:sz="1"/>
              <w:left w:val="single" w:color="C8D8E8" w:sz="1"/>
              <w:bottom w:val="single" w:color="C8D8E8" w:sz="1"/>
              <w:right w:val="single" w:color="C8D8E8" w:sz="1"/>
            </w:tcBorders>
            <w:shd w:fill="F4F6F9"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Extreme slowness; effective sample size collapses</w:t>
            </w:r>
          </w:p>
        </w:tc>
      </w:tr>
      <w:tr>
        <w:tc>
          <w:tcPr>
            <w:tcW w:type="dxa" w:w="1500"/>
            <w:tcBorders>
              <w:top w:val="single" w:color="C8D8E8" w:sz="1"/>
              <w:left w:val="single" w:color="C8D8E8" w:sz="1"/>
              <w:bottom w:val="single" w:color="C8D8E8" w:sz="1"/>
              <w:right w:val="single" w:color="C8D8E8" w:sz="1"/>
            </w:tcBorders>
            <w:shd w:fill="FFFFFF"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No spatial cross-validation</w:t>
            </w:r>
          </w:p>
        </w:tc>
        <w:tc>
          <w:tcPr>
            <w:tcW w:type="dxa" w:w="1800"/>
            <w:tcBorders>
              <w:top w:val="single" w:color="C8D8E8" w:sz="1"/>
              <w:left w:val="single" w:color="C8D8E8" w:sz="1"/>
              <w:bottom w:val="single" w:color="C8D8E8" w:sz="1"/>
              <w:right w:val="single" w:color="C8D8E8" w:sz="1"/>
            </w:tcBorders>
            <w:shd w:fill="FFFFFF"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Train on all 32 wards</w:t>
            </w:r>
          </w:p>
        </w:tc>
        <w:tc>
          <w:tcPr>
            <w:tcW w:type="dxa" w:w="2400"/>
            <w:tcBorders>
              <w:top w:val="single" w:color="C8D8E8" w:sz="1"/>
              <w:left w:val="single" w:color="C8D8E8" w:sz="1"/>
              <w:bottom w:val="single" w:color="C8D8E8" w:sz="1"/>
              <w:right w:val="single" w:color="C8D8E8" w:sz="1"/>
            </w:tcBorders>
            <w:shd w:fill="FFFFFF"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LOO-CV: train on 31, predict held-out</w:t>
            </w:r>
          </w:p>
        </w:tc>
        <w:tc>
          <w:tcPr>
            <w:tcW w:type="dxa" w:w="3660"/>
            <w:tcBorders>
              <w:top w:val="single" w:color="C8D8E8" w:sz="1"/>
              <w:left w:val="single" w:color="C8D8E8" w:sz="1"/>
              <w:bottom w:val="single" w:color="C8D8E8" w:sz="1"/>
              <w:right w:val="single" w:color="C8D8E8" w:sz="1"/>
            </w:tcBorders>
            <w:shd w:fill="FFFFFF"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Double-dipping: in-sample GNN predictions inflate confidence</w:t>
            </w:r>
          </w:p>
        </w:tc>
      </w:tr>
    </w:tbl>
    <w:p>
      <w:pPr>
        <w:spacing w:after="80" w:before="0"/>
      </w:pPr>
      <w:r>
        <w:rPr>
          <w:rFonts w:ascii="Arial" w:cs="Arial" w:eastAsia="Arial" w:hAnsi="Arial"/>
          <w:b w:val="false"/>
          <w:bCs w:val="false"/>
          <w:i w:val="false"/>
          <w:iCs w:val="false"/>
          <w:color w:val="1A1A1A"/>
          <w:sz w:val="22"/>
          <w:szCs w:val="22"/>
        </w:rPr>
        <w:t xml:space="preserve"/>
      </w:r>
    </w:p>
    <w:p>
      <w:pPr>
        <w:pStyle w:val="Heading2"/>
        <w:spacing w:after="130" w:before="300"/>
      </w:pPr>
      <w:r>
        <w:rPr>
          <w:rFonts w:ascii="Arial" w:cs="Arial" w:eastAsia="Arial" w:hAnsi="Arial"/>
          <w:b/>
          <w:bCs/>
          <w:i w:val="false"/>
          <w:iCs w:val="false"/>
          <w:color w:val="1A4A8A"/>
          <w:sz w:val="26"/>
          <w:szCs w:val="26"/>
        </w:rPr>
        <w:t xml:space="preserve">7.3 Corrected BYM2 Specification</w:t>
      </w:r>
    </w:p>
    <w:p>
      <w:pPr>
        <w:spacing w:after="140" w:before="140"/>
        <w:ind w:left="720"/>
        <w:jc w:val="center"/>
      </w:pPr>
      <w:r>
        <w:rPr>
          <w:rFonts w:ascii="Courier New" w:cs="Courier New" w:eastAsia="Courier New" w:hAnsi="Courier New"/>
          <w:color w:val="0B1F3A"/>
          <w:sz w:val="22"/>
          <w:szCs w:val="22"/>
        </w:rPr>
        <w:t xml:space="preserve">y_i = α + β_gnn·ŷ_GNN_i^(LOO) + σ_b·(√φ·u*_i + √(1−φ)·v*_i) + ε_i</w:t>
      </w:r>
    </w:p>
    <w:p>
      <w:pPr>
        <w:spacing w:after="100" w:before="60" w:line="320"/>
      </w:pPr>
      <w:r>
        <w:rPr>
          <w:rFonts w:ascii="Arial" w:cs="Arial" w:eastAsia="Arial" w:hAnsi="Arial"/>
          <w:b w:val="false"/>
          <w:bCs w:val="false"/>
          <w:i w:val="false"/>
          <w:iCs w:val="false"/>
          <w:color w:val="1A1A1A"/>
          <w:sz w:val="22"/>
          <w:szCs w:val="22"/>
        </w:rPr>
        <w:t xml:space="preserve">ŷ_GNN^(LOO) are out-of-sample GNN predictions from leave-one-out spatial cross-validation. With n=32, this is feasible: 32 fits of a GCN on 31 wards. The posterior of β_gnn serves as a diagnostic — if it concentrates near 0, the GNN is not adding value beyond the spatial random effect.</w:t>
      </w:r>
    </w:p>
    <w:p>
      <w:pPr>
        <w:spacing w:after="80" w:before="0"/>
      </w:pPr>
      <w:r>
        <w:rPr>
          <w:rFonts w:ascii="Arial" w:cs="Arial" w:eastAsia="Arial" w:hAnsi="Arial"/>
          <w:b w:val="false"/>
          <w:bCs w:val="false"/>
          <w:i w:val="false"/>
          <w:iCs w:val="false"/>
          <w:color w:val="1A1A1A"/>
          <w:sz w:val="22"/>
          <w:szCs w:val="22"/>
        </w:rPr>
        <w:t xml:space="preserve"/>
      </w:r>
    </w:p>
    <w:p>
      <w:pPr>
        <w:spacing w:after="0" w:before="0"/>
      </w:pPr>
      <w:r>
        <w:br w:type="page"/>
      </w:r>
    </w:p>
    <w:p>
      <w:pPr>
        <w:pStyle w:val="Heading1"/>
        <w:pBdr>
          <w:bottom w:val="single" w:color="2E6DA4" w:sz="4"/>
        </w:pBdr>
        <w:spacing w:after="180" w:before="400"/>
      </w:pPr>
      <w:r>
        <w:rPr>
          <w:rFonts w:ascii="Arial" w:cs="Arial" w:eastAsia="Arial" w:hAnsi="Arial"/>
          <w:b/>
          <w:bCs/>
          <w:i w:val="false"/>
          <w:iCs w:val="false"/>
          <w:color w:val="0B1F3A"/>
          <w:sz w:val="32"/>
          <w:szCs w:val="32"/>
        </w:rPr>
        <w:t xml:space="preserve">8. Reproduction Steps — Clean Pipeline</w:t>
      </w:r>
    </w:p>
    <w:p>
      <w:pPr>
        <w:pStyle w:val="Heading2"/>
        <w:spacing w:after="130" w:before="300"/>
      </w:pPr>
      <w:r>
        <w:rPr>
          <w:rFonts w:ascii="Arial" w:cs="Arial" w:eastAsia="Arial" w:hAnsi="Arial"/>
          <w:b/>
          <w:bCs/>
          <w:i w:val="false"/>
          <w:iCs w:val="false"/>
          <w:color w:val="1A4A8A"/>
          <w:sz w:val="26"/>
          <w:szCs w:val="26"/>
        </w:rPr>
        <w:t xml:space="preserve">8.1 Environment Setup</w:t>
      </w:r>
    </w:p>
    <w:p>
      <w:pPr>
        <w:spacing w:after="100" w:before="60" w:line="320"/>
      </w:pPr>
      <w:r>
        <w:rPr>
          <w:rFonts w:ascii="Arial" w:cs="Arial" w:eastAsia="Arial" w:hAnsi="Arial"/>
          <w:b w:val="false"/>
          <w:bCs w:val="false"/>
          <w:i w:val="false"/>
          <w:iCs w:val="false"/>
          <w:color w:val="1A1A1A"/>
          <w:sz w:val="22"/>
          <w:szCs w:val="22"/>
        </w:rPr>
        <w:t xml:space="preserve">Python 3.11+ is required. The venv name is arbitrary; the project uses LA-311 in the provided terminal output.</w:t>
      </w:r>
    </w:p>
    <w:p>
      <w:pPr>
        <w:spacing w:after="80" w:before="0"/>
      </w:pPr>
      <w:r>
        <w:rPr>
          <w:rFonts w:ascii="Arial" w:cs="Arial" w:eastAsia="Arial" w:hAnsi="Arial"/>
          <w:b w:val="false"/>
          <w:bCs w:val="false"/>
          <w:i w:val="false"/>
          <w:iCs w:val="false"/>
          <w:color w:val="1A1A1A"/>
          <w:sz w:val="22"/>
          <w:szCs w:val="22"/>
        </w:rPr>
        <w:t xml:space="preserve"/>
      </w:r>
    </w:p>
    <w:p>
      <w:pPr>
        <w:shd w:fill="F4F6F9" w:val="clear"/>
        <w:spacing w:after="60" w:before="60"/>
        <w:ind w:left="240" w:right="240"/>
      </w:pPr>
      <w:r>
        <w:rPr>
          <w:rFonts w:ascii="Courier New" w:cs="Courier New" w:eastAsia="Courier New" w:hAnsi="Courier New"/>
          <w:color w:val="5A6272"/>
          <w:sz w:val="19"/>
          <w:szCs w:val="19"/>
        </w:rPr>
        <w:t xml:space="preserve"># Create and activate virtual environment</w:t>
      </w:r>
      <w:r>
        <w:rPr>
          <w:rFonts w:ascii="Courier New" w:cs="Courier New" w:eastAsia="Courier New" w:hAnsi="Courier New"/>
          <w:color w:val="0B1F3A"/>
          <w:sz w:val="19"/>
          <w:szCs w:val="19"/>
        </w:rPr>
        <w:br/>
        <w:t xml:space="preserve">
python -m venv venv &amp;&amp; source venv/bin/activate</w:t>
      </w:r>
      <w:r>
        <w:rPr>
          <w:rFonts w:ascii="Courier New" w:cs="Courier New" w:eastAsia="Courier New" w:hAnsi="Courier New"/>
          <w:color w:val="5A6272"/>
          <w:sz w:val="19"/>
          <w:szCs w:val="19"/>
        </w:rPr>
        <w:br/>
        <w:t xml:space="preserve">
# Core pipeline</w:t>
      </w:r>
      <w:r>
        <w:rPr>
          <w:rFonts w:ascii="Courier New" w:cs="Courier New" w:eastAsia="Courier New" w:hAnsi="Courier New"/>
          <w:color w:val="0B1F3A"/>
          <w:sz w:val="19"/>
          <w:szCs w:val="19"/>
        </w:rPr>
        <w:br/>
        <w:t xml:space="preserve">pip install geopandas osmnx libpysal esda pymc pytensor arviz</w:t>
      </w:r>
      <w:r>
        <w:rPr>
          <w:rFonts w:ascii="Courier New" w:cs="Courier New" w:eastAsia="Courier New" w:hAnsi="Courier New"/>
          <w:color w:val="0B1F3A"/>
          <w:sz w:val="19"/>
          <w:szCs w:val="19"/>
        </w:rPr>
        <w:br/>
        <w:t xml:space="preserve">pip install city2graph pyswmm streamlit pydeck scipy tqdm</w:t>
      </w:r>
      <w:r>
        <w:rPr>
          <w:rFonts w:ascii="Courier New" w:cs="Courier New" w:eastAsia="Courier New" w:hAnsi="Courier New"/>
          <w:color w:val="5A6272"/>
          <w:sz w:val="19"/>
          <w:szCs w:val="19"/>
        </w:rPr>
        <w:br/>
        <w:t xml:space="preserve">
# GNN support</w:t>
      </w:r>
      <w:r>
        <w:rPr>
          <w:rFonts w:ascii="Courier New" w:cs="Courier New" w:eastAsia="Courier New" w:hAnsi="Courier New"/>
          <w:color w:val="0B1F3A"/>
          <w:sz w:val="19"/>
          <w:szCs w:val="19"/>
        </w:rPr>
        <w:br/>
        <w:t xml:space="preserve">pip install "city2graph[cpu]" torch torch_geometric</w:t>
      </w:r>
      <w:r>
        <w:rPr>
          <w:rFonts w:ascii="Courier New" w:cs="Courier New" w:eastAsia="Courier New" w:hAnsi="Courier New"/>
          <w:color w:val="5A6272"/>
          <w:sz w:val="19"/>
          <w:szCs w:val="19"/>
        </w:rPr>
        <w:br/>
        <w:t xml:space="preserve">
# npm for pptxgenjs / docx (optional - for report generation)</w:t>
      </w:r>
      <w:r>
        <w:rPr>
          <w:rFonts w:ascii="Courier New" w:cs="Courier New" w:eastAsia="Courier New" w:hAnsi="Courier New"/>
          <w:color w:val="0B1F3A"/>
          <w:sz w:val="19"/>
          <w:szCs w:val="19"/>
        </w:rPr>
        <w:br/>
        <w:t xml:space="preserve">npm install -g docx pptxgenjs</w:t>
      </w:r>
    </w:p>
    <w:p>
      <w:pPr>
        <w:spacing w:after="80" w:before="0"/>
      </w:pPr>
      <w:r>
        <w:rPr>
          <w:rFonts w:ascii="Arial" w:cs="Arial" w:eastAsia="Arial" w:hAnsi="Arial"/>
          <w:b w:val="false"/>
          <w:bCs w:val="false"/>
          <w:i w:val="false"/>
          <w:iCs w:val="false"/>
          <w:color w:val="1A1A1A"/>
          <w:sz w:val="22"/>
          <w:szCs w:val="22"/>
        </w:rPr>
        <w:t xml:space="preserve"/>
      </w:r>
    </w:p>
    <w:p>
      <w:pPr>
        <w:pStyle w:val="Heading2"/>
        <w:spacing w:after="130" w:before="300"/>
      </w:pPr>
      <w:r>
        <w:rPr>
          <w:rFonts w:ascii="Arial" w:cs="Arial" w:eastAsia="Arial" w:hAnsi="Arial"/>
          <w:b/>
          <w:bCs/>
          <w:i w:val="false"/>
          <w:iCs w:val="false"/>
          <w:color w:val="1A4A8A"/>
          <w:sz w:val="26"/>
          <w:szCs w:val="26"/>
        </w:rPr>
        <w:t xml:space="preserve">8.2 Execution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400"/>
        <w:gridCol w:w="2000"/>
        <w:gridCol w:w="1900"/>
        <w:gridCol w:w="2400"/>
        <w:gridCol w:w="2660"/>
      </w:tblGrid>
      <w:tr>
        <w:tc>
          <w:tcPr>
            <w:tcW w:type="dxa" w:w="400"/>
            <w:tcBorders>
              <w:top w:val="single" w:color="C8D8E8" w:sz="1"/>
              <w:left w:val="single" w:color="C8D8E8" w:sz="1"/>
              <w:bottom w:val="single" w:color="C8D8E8" w:sz="1"/>
              <w:right w:val="single" w:color="C8D8E8" w:sz="1"/>
            </w:tcBorders>
            <w:shd w:fill="0B1F3A"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Step</w:t>
            </w:r>
          </w:p>
        </w:tc>
        <w:tc>
          <w:tcPr>
            <w:tcW w:type="dxa" w:w="2000"/>
            <w:tcBorders>
              <w:top w:val="single" w:color="C8D8E8" w:sz="1"/>
              <w:left w:val="single" w:color="C8D8E8" w:sz="1"/>
              <w:bottom w:val="single" w:color="C8D8E8" w:sz="1"/>
              <w:right w:val="single" w:color="C8D8E8" w:sz="1"/>
            </w:tcBorders>
            <w:shd w:fill="0B1F3A"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Script</w:t>
            </w:r>
          </w:p>
        </w:tc>
        <w:tc>
          <w:tcPr>
            <w:tcW w:type="dxa" w:w="1900"/>
            <w:tcBorders>
              <w:top w:val="single" w:color="C8D8E8" w:sz="1"/>
              <w:left w:val="single" w:color="C8D8E8" w:sz="1"/>
              <w:bottom w:val="single" w:color="C8D8E8" w:sz="1"/>
              <w:right w:val="single" w:color="C8D8E8" w:sz="1"/>
            </w:tcBorders>
            <w:shd w:fill="0B1F3A"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Input</w:t>
            </w:r>
          </w:p>
        </w:tc>
        <w:tc>
          <w:tcPr>
            <w:tcW w:type="dxa" w:w="2400"/>
            <w:tcBorders>
              <w:top w:val="single" w:color="C8D8E8" w:sz="1"/>
              <w:left w:val="single" w:color="C8D8E8" w:sz="1"/>
              <w:bottom w:val="single" w:color="C8D8E8" w:sz="1"/>
              <w:right w:val="single" w:color="C8D8E8" w:sz="1"/>
            </w:tcBorders>
            <w:shd w:fill="0B1F3A"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Output</w:t>
            </w:r>
          </w:p>
        </w:tc>
        <w:tc>
          <w:tcPr>
            <w:tcW w:type="dxa" w:w="2660"/>
            <w:tcBorders>
              <w:top w:val="single" w:color="C8D8E8" w:sz="1"/>
              <w:left w:val="single" w:color="C8D8E8" w:sz="1"/>
              <w:bottom w:val="single" w:color="C8D8E8" w:sz="1"/>
              <w:right w:val="single" w:color="C8D8E8" w:sz="1"/>
            </w:tcBorders>
            <w:shd w:fill="0B1F3A"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Note</w:t>
            </w:r>
          </w:p>
        </w:tc>
      </w:tr>
      <w:tr>
        <w:tc>
          <w:tcPr>
            <w:tcW w:type="dxa" w:w="400"/>
            <w:tcBorders>
              <w:top w:val="single" w:color="C8D8E8" w:sz="1"/>
              <w:left w:val="single" w:color="C8D8E8" w:sz="1"/>
              <w:bottom w:val="single" w:color="C8D8E8" w:sz="1"/>
              <w:right w:val="single" w:color="C8D8E8" w:sz="1"/>
            </w:tcBorders>
            <w:shd w:fill="FFFFFF"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1</w:t>
            </w:r>
          </w:p>
        </w:tc>
        <w:tc>
          <w:tcPr>
            <w:tcW w:type="dxa" w:w="2000"/>
            <w:tcBorders>
              <w:top w:val="single" w:color="C8D8E8" w:sz="1"/>
              <w:left w:val="single" w:color="C8D8E8" w:sz="1"/>
              <w:bottom w:val="single" w:color="C8D8E8" w:sz="1"/>
              <w:right w:val="single" w:color="C8D8E8" w:sz="1"/>
            </w:tcBorders>
            <w:shd w:fill="FFFFFF"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03_accessibility_engine.py</w:t>
            </w:r>
          </w:p>
        </w:tc>
        <w:tc>
          <w:tcPr>
            <w:tcW w:type="dxa" w:w="1900"/>
            <w:tcBorders>
              <w:top w:val="single" w:color="C8D8E8" w:sz="1"/>
              <w:left w:val="single" w:color="C8D8E8" w:sz="1"/>
              <w:bottom w:val="single" w:color="C8D8E8" w:sz="1"/>
              <w:right w:val="single" w:color="C8D8E8" w:sz="1"/>
            </w:tcBorders>
            <w:shd w:fill="FFFFFF"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OSM (live download)</w:t>
            </w:r>
          </w:p>
        </w:tc>
        <w:tc>
          <w:tcPr>
            <w:tcW w:type="dxa" w:w="2400"/>
            <w:tcBorders>
              <w:top w:val="single" w:color="C8D8E8" w:sz="1"/>
              <w:left w:val="single" w:color="C8D8E8" w:sz="1"/>
              <w:bottom w:val="single" w:color="C8D8E8" w:sz="1"/>
              <w:right w:val="single" w:color="C8D8E8" w:sz="1"/>
            </w:tcBorders>
            <w:shd w:fill="FFFFFF"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wards_accessibility.gpkg</w:t>
            </w:r>
          </w:p>
        </w:tc>
        <w:tc>
          <w:tcPr>
            <w:tcW w:type="dxa" w:w="2660"/>
            <w:tcBorders>
              <w:top w:val="single" w:color="C8D8E8" w:sz="1"/>
              <w:left w:val="single" w:color="C8D8E8" w:sz="1"/>
              <w:bottom w:val="single" w:color="C8D8E8" w:sz="1"/>
              <w:right w:val="single" w:color="C8D8E8" w:sz="1"/>
            </w:tcBorders>
            <w:shd w:fill="FFFFFF"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Drive/walk isochrones to hospitals, schools</w:t>
            </w:r>
          </w:p>
        </w:tc>
      </w:tr>
      <w:tr>
        <w:tc>
          <w:tcPr>
            <w:tcW w:type="dxa" w:w="400"/>
            <w:tcBorders>
              <w:top w:val="single" w:color="C8D8E8" w:sz="1"/>
              <w:left w:val="single" w:color="C8D8E8" w:sz="1"/>
              <w:bottom w:val="single" w:color="C8D8E8" w:sz="1"/>
              <w:right w:val="single" w:color="C8D8E8" w:sz="1"/>
            </w:tcBorders>
            <w:shd w:fill="F4F6F9"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2</w:t>
            </w:r>
          </w:p>
        </w:tc>
        <w:tc>
          <w:tcPr>
            <w:tcW w:type="dxa" w:w="2000"/>
            <w:tcBorders>
              <w:top w:val="single" w:color="C8D8E8" w:sz="1"/>
              <w:left w:val="single" w:color="C8D8E8" w:sz="1"/>
              <w:bottom w:val="single" w:color="C8D8E8" w:sz="1"/>
              <w:right w:val="single" w:color="C8D8E8" w:sz="1"/>
            </w:tcBorders>
            <w:shd w:fill="F4F6F9"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03b_transit_accessibility.py</w:t>
            </w:r>
          </w:p>
        </w:tc>
        <w:tc>
          <w:tcPr>
            <w:tcW w:type="dxa" w:w="1900"/>
            <w:tcBorders>
              <w:top w:val="single" w:color="C8D8E8" w:sz="1"/>
              <w:left w:val="single" w:color="C8D8E8" w:sz="1"/>
              <w:bottom w:val="single" w:color="C8D8E8" w:sz="1"/>
              <w:right w:val="single" w:color="C8D8E8" w:sz="1"/>
            </w:tcBorders>
            <w:shd w:fill="F4F6F9"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data/raw/vadodara_gtfs.zip</w:t>
            </w:r>
          </w:p>
        </w:tc>
        <w:tc>
          <w:tcPr>
            <w:tcW w:type="dxa" w:w="2400"/>
            <w:tcBorders>
              <w:top w:val="single" w:color="C8D8E8" w:sz="1"/>
              <w:left w:val="single" w:color="C8D8E8" w:sz="1"/>
              <w:bottom w:val="single" w:color="C8D8E8" w:sz="1"/>
              <w:right w:val="single" w:color="C8D8E8" w:sz="1"/>
            </w:tcBorders>
            <w:shd w:fill="F4F6F9"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wards_transit.gpkg</w:t>
            </w:r>
          </w:p>
        </w:tc>
        <w:tc>
          <w:tcPr>
            <w:tcW w:type="dxa" w:w="2660"/>
            <w:tcBorders>
              <w:top w:val="single" w:color="C8D8E8" w:sz="1"/>
              <w:left w:val="single" w:color="C8D8E8" w:sz="1"/>
              <w:bottom w:val="single" w:color="C8D8E8" w:sz="1"/>
              <w:right w:val="single" w:color="C8D8E8" w:sz="1"/>
            </w:tcBorders>
            <w:shd w:fill="F4F6F9"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Requires Open Vadodara GTFS zip</w:t>
            </w:r>
          </w:p>
        </w:tc>
      </w:tr>
      <w:tr>
        <w:tc>
          <w:tcPr>
            <w:tcW w:type="dxa" w:w="400"/>
            <w:tcBorders>
              <w:top w:val="single" w:color="C8D8E8" w:sz="1"/>
              <w:left w:val="single" w:color="C8D8E8" w:sz="1"/>
              <w:bottom w:val="single" w:color="C8D8E8" w:sz="1"/>
              <w:right w:val="single" w:color="C8D8E8" w:sz="1"/>
            </w:tcBorders>
            <w:shd w:fill="FFFFFF"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3</w:t>
            </w:r>
          </w:p>
        </w:tc>
        <w:tc>
          <w:tcPr>
            <w:tcW w:type="dxa" w:w="2000"/>
            <w:tcBorders>
              <w:top w:val="single" w:color="C8D8E8" w:sz="1"/>
              <w:left w:val="single" w:color="C8D8E8" w:sz="1"/>
              <w:bottom w:val="single" w:color="C8D8E8" w:sz="1"/>
              <w:right w:val="single" w:color="C8D8E8" w:sz="1"/>
            </w:tcBorders>
            <w:shd w:fill="FFFFFF"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04_risk_assessment.py</w:t>
            </w:r>
          </w:p>
        </w:tc>
        <w:tc>
          <w:tcPr>
            <w:tcW w:type="dxa" w:w="1900"/>
            <w:tcBorders>
              <w:top w:val="single" w:color="C8D8E8" w:sz="1"/>
              <w:left w:val="single" w:color="C8D8E8" w:sz="1"/>
              <w:bottom w:val="single" w:color="C8D8E8" w:sz="1"/>
              <w:right w:val="single" w:color="C8D8E8" w:sz="1"/>
            </w:tcBorders>
            <w:shd w:fill="FFFFFF"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SRTM DEM raster</w:t>
            </w:r>
          </w:p>
        </w:tc>
        <w:tc>
          <w:tcPr>
            <w:tcW w:type="dxa" w:w="2400"/>
            <w:tcBorders>
              <w:top w:val="single" w:color="C8D8E8" w:sz="1"/>
              <w:left w:val="single" w:color="C8D8E8" w:sz="1"/>
              <w:bottom w:val="single" w:color="C8D8E8" w:sz="1"/>
              <w:right w:val="single" w:color="C8D8E8" w:sz="1"/>
            </w:tcBorders>
            <w:shd w:fill="FFFFFF"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wards_flood.gpkg</w:t>
            </w:r>
          </w:p>
        </w:tc>
        <w:tc>
          <w:tcPr>
            <w:tcW w:type="dxa" w:w="2660"/>
            <w:tcBorders>
              <w:top w:val="single" w:color="C8D8E8" w:sz="1"/>
              <w:left w:val="single" w:color="C8D8E8" w:sz="1"/>
              <w:bottom w:val="single" w:color="C8D8E8" w:sz="1"/>
              <w:right w:val="single" w:color="C8D8E8" w:sz="1"/>
            </w:tcBorders>
            <w:shd w:fill="FFFFFF"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Place SRTM .tif in data/raw/</w:t>
            </w:r>
          </w:p>
        </w:tc>
      </w:tr>
      <w:tr>
        <w:tc>
          <w:tcPr>
            <w:tcW w:type="dxa" w:w="400"/>
            <w:tcBorders>
              <w:top w:val="single" w:color="C8D8E8" w:sz="1"/>
              <w:left w:val="single" w:color="C8D8E8" w:sz="1"/>
              <w:bottom w:val="single" w:color="C8D8E8" w:sz="1"/>
              <w:right w:val="single" w:color="C8D8E8" w:sz="1"/>
            </w:tcBorders>
            <w:shd w:fill="F4F6F9"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4</w:t>
            </w:r>
          </w:p>
        </w:tc>
        <w:tc>
          <w:tcPr>
            <w:tcW w:type="dxa" w:w="2000"/>
            <w:tcBorders>
              <w:top w:val="single" w:color="C8D8E8" w:sz="1"/>
              <w:left w:val="single" w:color="C8D8E8" w:sz="1"/>
              <w:bottom w:val="single" w:color="C8D8E8" w:sz="1"/>
              <w:right w:val="single" w:color="C8D8E8" w:sz="1"/>
            </w:tcBorders>
            <w:shd w:fill="F4F6F9"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05_calculate_uoi.py</w:t>
            </w:r>
          </w:p>
        </w:tc>
        <w:tc>
          <w:tcPr>
            <w:tcW w:type="dxa" w:w="1900"/>
            <w:tcBorders>
              <w:top w:val="single" w:color="C8D8E8" w:sz="1"/>
              <w:left w:val="single" w:color="C8D8E8" w:sz="1"/>
              <w:bottom w:val="single" w:color="C8D8E8" w:sz="1"/>
              <w:right w:val="single" w:color="C8D8E8" w:sz="1"/>
            </w:tcBorders>
            <w:shd w:fill="F4F6F9"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wards_*.gpkg files</w:t>
            </w:r>
          </w:p>
        </w:tc>
        <w:tc>
          <w:tcPr>
            <w:tcW w:type="dxa" w:w="2400"/>
            <w:tcBorders>
              <w:top w:val="single" w:color="C8D8E8" w:sz="1"/>
              <w:left w:val="single" w:color="C8D8E8" w:sz="1"/>
              <w:bottom w:val="single" w:color="C8D8E8" w:sz="1"/>
              <w:right w:val="single" w:color="C8D8E8" w:sz="1"/>
            </w:tcBorders>
            <w:shd w:fill="F4F6F9"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vadodara_final_uoi_balanced.gpkg</w:t>
            </w:r>
          </w:p>
        </w:tc>
        <w:tc>
          <w:tcPr>
            <w:tcW w:type="dxa" w:w="2660"/>
            <w:tcBorders>
              <w:top w:val="single" w:color="C8D8E8" w:sz="1"/>
              <w:left w:val="single" w:color="C8D8E8" w:sz="1"/>
              <w:bottom w:val="single" w:color="C8D8E8" w:sz="1"/>
              <w:right w:val="single" w:color="C8D8E8" w:sz="1"/>
            </w:tcBorders>
            <w:shd w:fill="F4F6F9"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UOI composite 0–100</w:t>
            </w:r>
          </w:p>
        </w:tc>
      </w:tr>
      <w:tr>
        <w:tc>
          <w:tcPr>
            <w:tcW w:type="dxa" w:w="400"/>
            <w:tcBorders>
              <w:top w:val="single" w:color="C8D8E8" w:sz="1"/>
              <w:left w:val="single" w:color="C8D8E8" w:sz="1"/>
              <w:bottom w:val="single" w:color="C8D8E8" w:sz="1"/>
              <w:right w:val="single" w:color="C8D8E8" w:sz="1"/>
            </w:tcBorders>
            <w:shd w:fill="FFFFFF"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5</w:t>
            </w:r>
          </w:p>
        </w:tc>
        <w:tc>
          <w:tcPr>
            <w:tcW w:type="dxa" w:w="2000"/>
            <w:tcBorders>
              <w:top w:val="single" w:color="C8D8E8" w:sz="1"/>
              <w:left w:val="single" w:color="C8D8E8" w:sz="1"/>
              <w:bottom w:val="single" w:color="C8D8E8" w:sz="1"/>
              <w:right w:val="single" w:color="C8D8E8" w:sz="1"/>
            </w:tcBorders>
            <w:shd w:fill="FFFFFF"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05b_prepare_bym2_inputs.py</w:t>
            </w:r>
          </w:p>
        </w:tc>
        <w:tc>
          <w:tcPr>
            <w:tcW w:type="dxa" w:w="1900"/>
            <w:tcBorders>
              <w:top w:val="single" w:color="C8D8E8" w:sz="1"/>
              <w:left w:val="single" w:color="C8D8E8" w:sz="1"/>
              <w:bottom w:val="single" w:color="C8D8E8" w:sz="1"/>
              <w:right w:val="single" w:color="C8D8E8" w:sz="1"/>
            </w:tcBorders>
            <w:shd w:fill="FFFFFF"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vadodara_final_uoi_balanced.gpkg</w:t>
            </w:r>
          </w:p>
        </w:tc>
        <w:tc>
          <w:tcPr>
            <w:tcW w:type="dxa" w:w="2400"/>
            <w:tcBorders>
              <w:top w:val="single" w:color="C8D8E8" w:sz="1"/>
              <w:left w:val="single" w:color="C8D8E8" w:sz="1"/>
              <w:bottom w:val="single" w:color="C8D8E8" w:sz="1"/>
              <w:right w:val="single" w:color="C8D8E8" w:sz="1"/>
            </w:tcBorders>
            <w:shd w:fill="FFFFFF"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bym2_inputs.npz</w:t>
            </w:r>
          </w:p>
        </w:tc>
        <w:tc>
          <w:tcPr>
            <w:tcW w:type="dxa" w:w="2660"/>
            <w:tcBorders>
              <w:top w:val="single" w:color="C8D8E8" w:sz="1"/>
              <w:left w:val="single" w:color="C8D8E8" w:sz="1"/>
              <w:bottom w:val="single" w:color="C8D8E8" w:sz="1"/>
              <w:right w:val="single" w:color="C8D8E8" w:sz="1"/>
            </w:tcBorders>
            <w:shd w:fill="FFFFFF"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Standardises features, builds adjacency</w:t>
            </w:r>
          </w:p>
        </w:tc>
      </w:tr>
      <w:tr>
        <w:tc>
          <w:tcPr>
            <w:tcW w:type="dxa" w:w="400"/>
            <w:tcBorders>
              <w:top w:val="single" w:color="C8D8E8" w:sz="1"/>
              <w:left w:val="single" w:color="C8D8E8" w:sz="1"/>
              <w:bottom w:val="single" w:color="C8D8E8" w:sz="1"/>
              <w:right w:val="single" w:color="C8D8E8" w:sz="1"/>
            </w:tcBorders>
            <w:shd w:fill="F4F6F9"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6</w:t>
            </w:r>
          </w:p>
        </w:tc>
        <w:tc>
          <w:tcPr>
            <w:tcW w:type="dxa" w:w="2000"/>
            <w:tcBorders>
              <w:top w:val="single" w:color="C8D8E8" w:sz="1"/>
              <w:left w:val="single" w:color="C8D8E8" w:sz="1"/>
              <w:bottom w:val="single" w:color="C8D8E8" w:sz="1"/>
              <w:right w:val="single" w:color="C8D8E8" w:sz="1"/>
            </w:tcBorders>
            <w:shd w:fill="F4F6F9"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10_city2graph_integration.py</w:t>
            </w:r>
          </w:p>
        </w:tc>
        <w:tc>
          <w:tcPr>
            <w:tcW w:type="dxa" w:w="1900"/>
            <w:tcBorders>
              <w:top w:val="single" w:color="C8D8E8" w:sz="1"/>
              <w:left w:val="single" w:color="C8D8E8" w:sz="1"/>
              <w:bottom w:val="single" w:color="C8D8E8" w:sz="1"/>
              <w:right w:val="single" w:color="C8D8E8" w:sz="1"/>
            </w:tcBorders>
            <w:shd w:fill="F4F6F9"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vadodara_final_uoi_balanced.gpkg</w:t>
            </w:r>
          </w:p>
        </w:tc>
        <w:tc>
          <w:tcPr>
            <w:tcW w:type="dxa" w:w="2400"/>
            <w:tcBorders>
              <w:top w:val="single" w:color="C8D8E8" w:sz="1"/>
              <w:left w:val="single" w:color="C8D8E8" w:sz="1"/>
              <w:bottom w:val="single" w:color="C8D8E8" w:sz="1"/>
              <w:right w:val="single" w:color="C8D8E8" w:sz="1"/>
            </w:tcBorders>
            <w:shd w:fill="F4F6F9"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results/city2graph/*</w:t>
            </w:r>
          </w:p>
        </w:tc>
        <w:tc>
          <w:tcPr>
            <w:tcW w:type="dxa" w:w="2660"/>
            <w:tcBorders>
              <w:top w:val="single" w:color="C8D8E8" w:sz="1"/>
              <w:left w:val="single" w:color="C8D8E8" w:sz="1"/>
              <w:bottom w:val="single" w:color="C8D8E8" w:sz="1"/>
              <w:right w:val="single" w:color="C8D8E8" w:sz="1"/>
            </w:tcBorders>
            <w:shd w:fill="F4F6F9"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city2graph graphs + BYM2 node arrays</w:t>
            </w:r>
          </w:p>
        </w:tc>
      </w:tr>
      <w:tr>
        <w:tc>
          <w:tcPr>
            <w:tcW w:type="dxa" w:w="400"/>
            <w:tcBorders>
              <w:top w:val="single" w:color="C8D8E8" w:sz="1"/>
              <w:left w:val="single" w:color="C8D8E8" w:sz="1"/>
              <w:bottom w:val="single" w:color="C8D8E8" w:sz="1"/>
              <w:right w:val="single" w:color="C8D8E8" w:sz="1"/>
            </w:tcBorders>
            <w:shd w:fill="FFFFFF"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7</w:t>
            </w:r>
          </w:p>
        </w:tc>
        <w:tc>
          <w:tcPr>
            <w:tcW w:type="dxa" w:w="2000"/>
            <w:tcBorders>
              <w:top w:val="single" w:color="C8D8E8" w:sz="1"/>
              <w:left w:val="single" w:color="C8D8E8" w:sz="1"/>
              <w:bottom w:val="single" w:color="C8D8E8" w:sz="1"/>
              <w:right w:val="single" w:color="C8D8E8" w:sz="1"/>
            </w:tcBorders>
            <w:shd w:fill="FFFFFF"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06_bym2_pymc_model.py</w:t>
            </w:r>
          </w:p>
        </w:tc>
        <w:tc>
          <w:tcPr>
            <w:tcW w:type="dxa" w:w="1900"/>
            <w:tcBorders>
              <w:top w:val="single" w:color="C8D8E8" w:sz="1"/>
              <w:left w:val="single" w:color="C8D8E8" w:sz="1"/>
              <w:bottom w:val="single" w:color="C8D8E8" w:sz="1"/>
              <w:right w:val="single" w:color="C8D8E8" w:sz="1"/>
            </w:tcBorders>
            <w:shd w:fill="FFFFFF"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bym2_inputs.npz + bym2_node1/2.npy</w:t>
            </w:r>
          </w:p>
        </w:tc>
        <w:tc>
          <w:tcPr>
            <w:tcW w:type="dxa" w:w="2400"/>
            <w:tcBorders>
              <w:top w:val="single" w:color="C8D8E8" w:sz="1"/>
              <w:left w:val="single" w:color="C8D8E8" w:sz="1"/>
              <w:bottom w:val="single" w:color="C8D8E8" w:sz="1"/>
              <w:right w:val="single" w:color="C8D8E8" w:sz="1"/>
            </w:tcBorders>
            <w:shd w:fill="FFFFFF"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wards_bym2_results.gpkg + bym2_idata.nc</w:t>
            </w:r>
          </w:p>
        </w:tc>
        <w:tc>
          <w:tcPr>
            <w:tcW w:type="dxa" w:w="2660"/>
            <w:tcBorders>
              <w:top w:val="single" w:color="C8D8E8" w:sz="1"/>
              <w:left w:val="single" w:color="C8D8E8" w:sz="1"/>
              <w:bottom w:val="single" w:color="C8D8E8" w:sz="1"/>
              <w:right w:val="single" w:color="C8D8E8" w:sz="1"/>
            </w:tcBorders>
            <w:shd w:fill="FFFFFF"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Primary spatial model</w:t>
            </w:r>
          </w:p>
        </w:tc>
      </w:tr>
      <w:tr>
        <w:tc>
          <w:tcPr>
            <w:tcW w:type="dxa" w:w="400"/>
            <w:tcBorders>
              <w:top w:val="single" w:color="C8D8E8" w:sz="1"/>
              <w:left w:val="single" w:color="C8D8E8" w:sz="1"/>
              <w:bottom w:val="single" w:color="C8D8E8" w:sz="1"/>
              <w:right w:val="single" w:color="C8D8E8" w:sz="1"/>
            </w:tcBorders>
            <w:shd w:fill="F4F6F9"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8</w:t>
            </w:r>
          </w:p>
        </w:tc>
        <w:tc>
          <w:tcPr>
            <w:tcW w:type="dxa" w:w="2000"/>
            <w:tcBorders>
              <w:top w:val="single" w:color="C8D8E8" w:sz="1"/>
              <w:left w:val="single" w:color="C8D8E8" w:sz="1"/>
              <w:bottom w:val="single" w:color="C8D8E8" w:sz="1"/>
              <w:right w:val="single" w:color="C8D8E8" w:sz="1"/>
            </w:tcBorders>
            <w:shd w:fill="F4F6F9"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build_swm_fixed.py</w:t>
            </w:r>
          </w:p>
        </w:tc>
        <w:tc>
          <w:tcPr>
            <w:tcW w:type="dxa" w:w="1900"/>
            <w:tcBorders>
              <w:top w:val="single" w:color="C8D8E8" w:sz="1"/>
              <w:left w:val="single" w:color="C8D8E8" w:sz="1"/>
              <w:bottom w:val="single" w:color="C8D8E8" w:sz="1"/>
              <w:right w:val="single" w:color="C8D8E8" w:sz="1"/>
            </w:tcBorders>
            <w:shd w:fill="F4F6F9"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OSM (live download)</w:t>
            </w:r>
          </w:p>
        </w:tc>
        <w:tc>
          <w:tcPr>
            <w:tcW w:type="dxa" w:w="2400"/>
            <w:tcBorders>
              <w:top w:val="single" w:color="C8D8E8" w:sz="1"/>
              <w:left w:val="single" w:color="C8D8E8" w:sz="1"/>
              <w:bottom w:val="single" w:color="C8D8E8" w:sz="1"/>
              <w:right w:val="single" w:color="C8D8E8" w:sz="1"/>
            </w:tcBorders>
            <w:shd w:fill="F4F6F9"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vadodara_overland.inp</w:t>
            </w:r>
          </w:p>
        </w:tc>
        <w:tc>
          <w:tcPr>
            <w:tcW w:type="dxa" w:w="2660"/>
            <w:tcBorders>
              <w:top w:val="single" w:color="C8D8E8" w:sz="1"/>
              <w:left w:val="single" w:color="C8D8E8" w:sz="1"/>
              <w:bottom w:val="single" w:color="C8D8E8" w:sz="1"/>
              <w:right w:val="single" w:color="C8D8E8" w:sz="1"/>
            </w:tcBorders>
            <w:shd w:fill="F4F6F9"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Major roads only, storm TS</w:t>
            </w:r>
          </w:p>
        </w:tc>
      </w:tr>
      <w:tr>
        <w:tc>
          <w:tcPr>
            <w:tcW w:type="dxa" w:w="400"/>
            <w:tcBorders>
              <w:top w:val="single" w:color="C8D8E8" w:sz="1"/>
              <w:left w:val="single" w:color="C8D8E8" w:sz="1"/>
              <w:bottom w:val="single" w:color="C8D8E8" w:sz="1"/>
              <w:right w:val="single" w:color="C8D8E8" w:sz="1"/>
            </w:tcBorders>
            <w:shd w:fill="FFFFFF"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9</w:t>
            </w:r>
          </w:p>
        </w:tc>
        <w:tc>
          <w:tcPr>
            <w:tcW w:type="dxa" w:w="2000"/>
            <w:tcBorders>
              <w:top w:val="single" w:color="C8D8E8" w:sz="1"/>
              <w:left w:val="single" w:color="C8D8E8" w:sz="1"/>
              <w:bottom w:val="single" w:color="C8D8E8" w:sz="1"/>
              <w:right w:val="single" w:color="C8D8E8" w:sz="1"/>
            </w:tcBorders>
            <w:shd w:fill="FFFFFF"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run_swmm_fixed.py</w:t>
            </w:r>
          </w:p>
        </w:tc>
        <w:tc>
          <w:tcPr>
            <w:tcW w:type="dxa" w:w="1900"/>
            <w:tcBorders>
              <w:top w:val="single" w:color="C8D8E8" w:sz="1"/>
              <w:left w:val="single" w:color="C8D8E8" w:sz="1"/>
              <w:bottom w:val="single" w:color="C8D8E8" w:sz="1"/>
              <w:right w:val="single" w:color="C8D8E8" w:sz="1"/>
            </w:tcBorders>
            <w:shd w:fill="FFFFFF"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vadodara_overland.inp</w:t>
            </w:r>
          </w:p>
        </w:tc>
        <w:tc>
          <w:tcPr>
            <w:tcW w:type="dxa" w:w="2400"/>
            <w:tcBorders>
              <w:top w:val="single" w:color="C8D8E8" w:sz="1"/>
              <w:left w:val="single" w:color="C8D8E8" w:sz="1"/>
              <w:bottom w:val="single" w:color="C8D8E8" w:sz="1"/>
              <w:right w:val="single" w:color="C8D8E8" w:sz="1"/>
            </w:tcBorders>
            <w:shd w:fill="FFFFFF"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swmm_road_failures.csv + updated .gpkg</w:t>
            </w:r>
          </w:p>
        </w:tc>
        <w:tc>
          <w:tcPr>
            <w:tcW w:type="dxa" w:w="2660"/>
            <w:tcBorders>
              <w:top w:val="single" w:color="C8D8E8" w:sz="1"/>
              <w:left w:val="single" w:color="C8D8E8" w:sz="1"/>
              <w:bottom w:val="single" w:color="C8D8E8" w:sz="1"/>
              <w:right w:val="single" w:color="C8D8E8" w:sz="1"/>
            </w:tcBorders>
            <w:shd w:fill="FFFFFF"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Adds swmm_flood_road_pct</w:t>
            </w:r>
          </w:p>
        </w:tc>
      </w:tr>
      <w:tr>
        <w:tc>
          <w:tcPr>
            <w:tcW w:type="dxa" w:w="400"/>
            <w:tcBorders>
              <w:top w:val="single" w:color="C8D8E8" w:sz="1"/>
              <w:left w:val="single" w:color="C8D8E8" w:sz="1"/>
              <w:bottom w:val="single" w:color="C8D8E8" w:sz="1"/>
              <w:right w:val="single" w:color="C8D8E8" w:sz="1"/>
            </w:tcBorders>
            <w:shd w:fill="F4F6F9"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10</w:t>
            </w:r>
          </w:p>
        </w:tc>
        <w:tc>
          <w:tcPr>
            <w:tcW w:type="dxa" w:w="2000"/>
            <w:tcBorders>
              <w:top w:val="single" w:color="C8D8E8" w:sz="1"/>
              <w:left w:val="single" w:color="C8D8E8" w:sz="1"/>
              <w:bottom w:val="single" w:color="C8D8E8" w:sz="1"/>
              <w:right w:val="single" w:color="C8D8E8" w:sz="1"/>
            </w:tcBorders>
            <w:shd w:fill="F4F6F9"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GNN.py</w:t>
            </w:r>
          </w:p>
        </w:tc>
        <w:tc>
          <w:tcPr>
            <w:tcW w:type="dxa" w:w="1900"/>
            <w:tcBorders>
              <w:top w:val="single" w:color="C8D8E8" w:sz="1"/>
              <w:left w:val="single" w:color="C8D8E8" w:sz="1"/>
              <w:bottom w:val="single" w:color="C8D8E8" w:sz="1"/>
              <w:right w:val="single" w:color="C8D8E8" w:sz="1"/>
            </w:tcBorders>
            <w:shd w:fill="F4F6F9"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vadodara_final_uoi_balanced.gpkg (gnn_bym2_results layer)</w:t>
            </w:r>
          </w:p>
        </w:tc>
        <w:tc>
          <w:tcPr>
            <w:tcW w:type="dxa" w:w="2400"/>
            <w:tcBorders>
              <w:top w:val="single" w:color="C8D8E8" w:sz="1"/>
              <w:left w:val="single" w:color="C8D8E8" w:sz="1"/>
              <w:bottom w:val="single" w:color="C8D8E8" w:sz="1"/>
              <w:right w:val="single" w:color="C8D8E8" w:sz="1"/>
            </w:tcBorders>
            <w:shd w:fill="F4F6F9"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gnn_bym2_results layer in .gpkg</w:t>
            </w:r>
          </w:p>
        </w:tc>
        <w:tc>
          <w:tcPr>
            <w:tcW w:type="dxa" w:w="2660"/>
            <w:tcBorders>
              <w:top w:val="single" w:color="C8D8E8" w:sz="1"/>
              <w:left w:val="single" w:color="C8D8E8" w:sz="1"/>
              <w:bottom w:val="single" w:color="C8D8E8" w:sz="1"/>
              <w:right w:val="single" w:color="C8D8E8" w:sz="1"/>
            </w:tcBorders>
            <w:shd w:fill="F4F6F9"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Fix bugs before running (see §7.2)</w:t>
            </w:r>
          </w:p>
        </w:tc>
      </w:tr>
      <w:tr>
        <w:tc>
          <w:tcPr>
            <w:tcW w:type="dxa" w:w="400"/>
            <w:tcBorders>
              <w:top w:val="single" w:color="C8D8E8" w:sz="1"/>
              <w:left w:val="single" w:color="C8D8E8" w:sz="1"/>
              <w:bottom w:val="single" w:color="C8D8E8" w:sz="1"/>
              <w:right w:val="single" w:color="C8D8E8" w:sz="1"/>
            </w:tcBorders>
            <w:shd w:fill="FFFFFF"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11</w:t>
            </w:r>
          </w:p>
        </w:tc>
        <w:tc>
          <w:tcPr>
            <w:tcW w:type="dxa" w:w="2000"/>
            <w:tcBorders>
              <w:top w:val="single" w:color="C8D8E8" w:sz="1"/>
              <w:left w:val="single" w:color="C8D8E8" w:sz="1"/>
              <w:bottom w:val="single" w:color="C8D8E8" w:sz="1"/>
              <w:right w:val="single" w:color="C8D8E8" w:sz="1"/>
            </w:tcBorders>
            <w:shd w:fill="FFFFFF"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dashboard.py</w:t>
            </w:r>
          </w:p>
        </w:tc>
        <w:tc>
          <w:tcPr>
            <w:tcW w:type="dxa" w:w="1900"/>
            <w:tcBorders>
              <w:top w:val="single" w:color="C8D8E8" w:sz="1"/>
              <w:left w:val="single" w:color="C8D8E8" w:sz="1"/>
              <w:bottom w:val="single" w:color="C8D8E8" w:sz="1"/>
              <w:right w:val="single" w:color="C8D8E8" w:sz="1"/>
            </w:tcBorders>
            <w:shd w:fill="FFFFFF"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vadodara_final_uoi_balanced.gpkg</w:t>
            </w:r>
          </w:p>
        </w:tc>
        <w:tc>
          <w:tcPr>
            <w:tcW w:type="dxa" w:w="2400"/>
            <w:tcBorders>
              <w:top w:val="single" w:color="C8D8E8" w:sz="1"/>
              <w:left w:val="single" w:color="C8D8E8" w:sz="1"/>
              <w:bottom w:val="single" w:color="C8D8E8" w:sz="1"/>
              <w:right w:val="single" w:color="C8D8E8" w:sz="1"/>
            </w:tcBorders>
            <w:shd w:fill="FFFFFF"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Streamlit app (port 8501)</w:t>
            </w:r>
          </w:p>
        </w:tc>
        <w:tc>
          <w:tcPr>
            <w:tcW w:type="dxa" w:w="2660"/>
            <w:tcBorders>
              <w:top w:val="single" w:color="C8D8E8" w:sz="1"/>
              <w:left w:val="single" w:color="C8D8E8" w:sz="1"/>
              <w:bottom w:val="single" w:color="C8D8E8" w:sz="1"/>
              <w:right w:val="single" w:color="C8D8E8" w:sz="1"/>
            </w:tcBorders>
            <w:shd w:fill="FFFFFF"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streamlit run scripts/Python/dashboard.py</w:t>
            </w:r>
          </w:p>
        </w:tc>
      </w:tr>
    </w:tbl>
    <w:p>
      <w:pPr>
        <w:spacing w:after="80" w:before="0"/>
      </w:pPr>
      <w:r>
        <w:rPr>
          <w:rFonts w:ascii="Arial" w:cs="Arial" w:eastAsia="Arial" w:hAnsi="Arial"/>
          <w:b w:val="false"/>
          <w:bCs w:val="false"/>
          <w:i w:val="false"/>
          <w:iCs w:val="false"/>
          <w:color w:val="1A1A1A"/>
          <w:sz w:val="22"/>
          <w:szCs w:val="22"/>
        </w:rPr>
        <w:t xml:space="preserve"/>
      </w:r>
    </w:p>
    <w:p>
      <w:pPr>
        <w:pStyle w:val="Heading2"/>
        <w:spacing w:after="130" w:before="300"/>
      </w:pPr>
      <w:r>
        <w:rPr>
          <w:rFonts w:ascii="Arial" w:cs="Arial" w:eastAsia="Arial" w:hAnsi="Arial"/>
          <w:b/>
          <w:bCs/>
          <w:i w:val="false"/>
          <w:iCs w:val="false"/>
          <w:color w:val="1A4A8A"/>
          <w:sz w:val="26"/>
          <w:szCs w:val="26"/>
        </w:rPr>
        <w:t xml:space="preserve">8.3 Known Data Requirements</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GTFS zip: download from open.vadodara.gov.in → Smart City Bus → place at data/raw/vadodara_gtfs.zip</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SRTM DEM: download SRTM 1-arc-second tile N22E073 from earthexplorer.usgs.gov → data/raw/srtm_n22e073.tif</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Ward shapefile: from VMC or synthetic grid in 05b_prepare_bym2_inputs.py (32 synthetic wards used for testing)</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Internet connection required for Steps 1, 2, 8, 9 (OSMnx downloads)</w:t>
      </w:r>
    </w:p>
    <w:p>
      <w:pPr>
        <w:spacing w:after="80" w:before="0"/>
      </w:pPr>
      <w:r>
        <w:rPr>
          <w:rFonts w:ascii="Arial" w:cs="Arial" w:eastAsia="Arial" w:hAnsi="Arial"/>
          <w:b w:val="false"/>
          <w:bCs w:val="false"/>
          <w:i w:val="false"/>
          <w:iCs w:val="false"/>
          <w:color w:val="1A1A1A"/>
          <w:sz w:val="22"/>
          <w:szCs w:val="22"/>
        </w:rPr>
        <w:t xml:space="preserve"/>
      </w:r>
    </w:p>
    <w:p>
      <w:pPr>
        <w:spacing w:after="0" w:before="0"/>
      </w:pPr>
      <w:r>
        <w:br w:type="page"/>
      </w:r>
    </w:p>
    <w:p>
      <w:pPr>
        <w:pStyle w:val="Heading1"/>
        <w:pBdr>
          <w:bottom w:val="single" w:color="2E6DA4" w:sz="4"/>
        </w:pBdr>
        <w:spacing w:after="180" w:before="400"/>
      </w:pPr>
      <w:r>
        <w:rPr>
          <w:rFonts w:ascii="Arial" w:cs="Arial" w:eastAsia="Arial" w:hAnsi="Arial"/>
          <w:b/>
          <w:bCs/>
          <w:i w:val="false"/>
          <w:iCs w:val="false"/>
          <w:color w:val="0B1F3A"/>
          <w:sz w:val="32"/>
          <w:szCs w:val="32"/>
        </w:rPr>
        <w:t xml:space="preserve">9. Complete File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2200"/>
        <w:gridCol w:w="1000"/>
        <w:gridCol w:w="3700"/>
        <w:gridCol w:w="1060"/>
        <w:gridCol w:w="2400"/>
      </w:tblGrid>
      <w:tr>
        <w:tc>
          <w:tcPr>
            <w:tcW w:type="dxa" w:w="2200"/>
            <w:tcBorders>
              <w:top w:val="single" w:color="C8D8E8" w:sz="1"/>
              <w:left w:val="single" w:color="C8D8E8" w:sz="1"/>
              <w:bottom w:val="single" w:color="C8D8E8" w:sz="1"/>
              <w:right w:val="single" w:color="C8D8E8" w:sz="1"/>
            </w:tcBorders>
            <w:shd w:fill="0B1F3A"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File</w:t>
            </w:r>
          </w:p>
        </w:tc>
        <w:tc>
          <w:tcPr>
            <w:tcW w:type="dxa" w:w="1000"/>
            <w:tcBorders>
              <w:top w:val="single" w:color="C8D8E8" w:sz="1"/>
              <w:left w:val="single" w:color="C8D8E8" w:sz="1"/>
              <w:bottom w:val="single" w:color="C8D8E8" w:sz="1"/>
              <w:right w:val="single" w:color="C8D8E8" w:sz="1"/>
            </w:tcBorders>
            <w:shd w:fill="0B1F3A"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Type</w:t>
            </w:r>
          </w:p>
        </w:tc>
        <w:tc>
          <w:tcPr>
            <w:tcW w:type="dxa" w:w="3700"/>
            <w:tcBorders>
              <w:top w:val="single" w:color="C8D8E8" w:sz="1"/>
              <w:left w:val="single" w:color="C8D8E8" w:sz="1"/>
              <w:bottom w:val="single" w:color="C8D8E8" w:sz="1"/>
              <w:right w:val="single" w:color="C8D8E8" w:sz="1"/>
            </w:tcBorders>
            <w:shd w:fill="0B1F3A"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Purpose</w:t>
            </w:r>
          </w:p>
        </w:tc>
        <w:tc>
          <w:tcPr>
            <w:tcW w:type="dxa" w:w="1060"/>
            <w:tcBorders>
              <w:top w:val="single" w:color="C8D8E8" w:sz="1"/>
              <w:left w:val="single" w:color="C8D8E8" w:sz="1"/>
              <w:bottom w:val="single" w:color="C8D8E8" w:sz="1"/>
              <w:right w:val="single" w:color="C8D8E8" w:sz="1"/>
            </w:tcBorders>
            <w:shd w:fill="0B1F3A"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Status</w:t>
            </w:r>
          </w:p>
        </w:tc>
      </w:tr>
      <w:tr>
        <w:tc>
          <w:tcPr>
            <w:tcW w:type="dxa" w:w="2200"/>
            <w:tcBorders>
              <w:top w:val="single" w:color="C8D8E8" w:sz="1"/>
              <w:left w:val="single" w:color="C8D8E8" w:sz="1"/>
              <w:bottom w:val="single" w:color="C8D8E8" w:sz="1"/>
              <w:right w:val="single" w:color="C8D8E8" w:sz="1"/>
            </w:tcBorders>
            <w:shd w:fill="FFFFFF"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uoi_sensitivity_analysis.py</w:t>
            </w:r>
          </w:p>
        </w:tc>
        <w:tc>
          <w:tcPr>
            <w:tcW w:type="dxa" w:w="1000"/>
            <w:tcBorders>
              <w:top w:val="single" w:color="C8D8E8" w:sz="1"/>
              <w:left w:val="single" w:color="C8D8E8" w:sz="1"/>
              <w:bottom w:val="single" w:color="C8D8E8" w:sz="1"/>
              <w:right w:val="single" w:color="C8D8E8" w:sz="1"/>
            </w:tcBorders>
            <w:shd w:fill="FFFFFF"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Python</w:t>
            </w:r>
          </w:p>
        </w:tc>
        <w:tc>
          <w:tcPr>
            <w:tcW w:type="dxa" w:w="3700"/>
            <w:tcBorders>
              <w:top w:val="single" w:color="C8D8E8" w:sz="1"/>
              <w:left w:val="single" w:color="C8D8E8" w:sz="1"/>
              <w:bottom w:val="single" w:color="C8D8E8" w:sz="1"/>
              <w:right w:val="single" w:color="C8D8E8" w:sz="1"/>
            </w:tcBorders>
            <w:shd w:fill="FFFFFF"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OAT + Monte Carlo + Sobol + Kolm-Pollak sensitivity</w:t>
            </w:r>
          </w:p>
        </w:tc>
        <w:tc>
          <w:tcPr>
            <w:tcW w:type="dxa" w:w="1060"/>
            <w:tcBorders>
              <w:top w:val="single" w:color="C8D8E8" w:sz="1"/>
              <w:left w:val="single" w:color="C8D8E8" w:sz="1"/>
              <w:bottom w:val="single" w:color="C8D8E8" w:sz="1"/>
              <w:right w:val="single" w:color="C8D8E8" w:sz="1"/>
            </w:tcBorders>
            <w:shd w:fill="FFFFFF"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Complete</w:t>
            </w:r>
          </w:p>
        </w:tc>
      </w:tr>
      <w:tr>
        <w:tc>
          <w:tcPr>
            <w:tcW w:type="dxa" w:w="2200"/>
            <w:tcBorders>
              <w:top w:val="single" w:color="C8D8E8" w:sz="1"/>
              <w:left w:val="single" w:color="C8D8E8" w:sz="1"/>
              <w:bottom w:val="single" w:color="C8D8E8" w:sz="1"/>
              <w:right w:val="single" w:color="C8D8E8" w:sz="1"/>
            </w:tcBorders>
            <w:shd w:fill="F4F6F9"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05b_prepare_bym2_inputs.py</w:t>
            </w:r>
          </w:p>
        </w:tc>
        <w:tc>
          <w:tcPr>
            <w:tcW w:type="dxa" w:w="1000"/>
            <w:tcBorders>
              <w:top w:val="single" w:color="C8D8E8" w:sz="1"/>
              <w:left w:val="single" w:color="C8D8E8" w:sz="1"/>
              <w:bottom w:val="single" w:color="C8D8E8" w:sz="1"/>
              <w:right w:val="single" w:color="C8D8E8" w:sz="1"/>
            </w:tcBorders>
            <w:shd w:fill="F4F6F9"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Python</w:t>
            </w:r>
          </w:p>
        </w:tc>
        <w:tc>
          <w:tcPr>
            <w:tcW w:type="dxa" w:w="3700"/>
            <w:tcBorders>
              <w:top w:val="single" w:color="C8D8E8" w:sz="1"/>
              <w:left w:val="single" w:color="C8D8E8" w:sz="1"/>
              <w:bottom w:val="single" w:color="C8D8E8" w:sz="1"/>
              <w:right w:val="single" w:color="C8D8E8" w:sz="1"/>
            </w:tcBorders>
            <w:shd w:fill="F4F6F9"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BYM2 data preparation bridge</w:t>
            </w:r>
          </w:p>
        </w:tc>
        <w:tc>
          <w:tcPr>
            <w:tcW w:type="dxa" w:w="1060"/>
            <w:tcBorders>
              <w:top w:val="single" w:color="C8D8E8" w:sz="1"/>
              <w:left w:val="single" w:color="C8D8E8" w:sz="1"/>
              <w:bottom w:val="single" w:color="C8D8E8" w:sz="1"/>
              <w:right w:val="single" w:color="C8D8E8" w:sz="1"/>
            </w:tcBorders>
            <w:shd w:fill="F4F6F9"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Complete</w:t>
            </w:r>
          </w:p>
        </w:tc>
      </w:tr>
      <w:tr>
        <w:tc>
          <w:tcPr>
            <w:tcW w:type="dxa" w:w="2200"/>
            <w:tcBorders>
              <w:top w:val="single" w:color="C8D8E8" w:sz="1"/>
              <w:left w:val="single" w:color="C8D8E8" w:sz="1"/>
              <w:bottom w:val="single" w:color="C8D8E8" w:sz="1"/>
              <w:right w:val="single" w:color="C8D8E8" w:sz="1"/>
            </w:tcBorders>
            <w:shd w:fill="FFFFFF"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06_bym2_pymc_model.py</w:t>
            </w:r>
          </w:p>
        </w:tc>
        <w:tc>
          <w:tcPr>
            <w:tcW w:type="dxa" w:w="1000"/>
            <w:tcBorders>
              <w:top w:val="single" w:color="C8D8E8" w:sz="1"/>
              <w:left w:val="single" w:color="C8D8E8" w:sz="1"/>
              <w:bottom w:val="single" w:color="C8D8E8" w:sz="1"/>
              <w:right w:val="single" w:color="C8D8E8" w:sz="1"/>
            </w:tcBorders>
            <w:shd w:fill="FFFFFF"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Python</w:t>
            </w:r>
          </w:p>
        </w:tc>
        <w:tc>
          <w:tcPr>
            <w:tcW w:type="dxa" w:w="3700"/>
            <w:tcBorders>
              <w:top w:val="single" w:color="C8D8E8" w:sz="1"/>
              <w:left w:val="single" w:color="C8D8E8" w:sz="1"/>
              <w:bottom w:val="single" w:color="C8D8E8" w:sz="1"/>
              <w:right w:val="single" w:color="C8D8E8" w:sz="1"/>
            </w:tcBorders>
            <w:shd w:fill="FFFFFF"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BYM2 ICAR model in PyMC 5</w:t>
            </w:r>
          </w:p>
        </w:tc>
        <w:tc>
          <w:tcPr>
            <w:tcW w:type="dxa" w:w="1060"/>
            <w:tcBorders>
              <w:top w:val="single" w:color="C8D8E8" w:sz="1"/>
              <w:left w:val="single" w:color="C8D8E8" w:sz="1"/>
              <w:bottom w:val="single" w:color="C8D8E8" w:sz="1"/>
              <w:right w:val="single" w:color="C8D8E8" w:sz="1"/>
            </w:tcBorders>
            <w:shd w:fill="FFFFFF"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Complete</w:t>
            </w:r>
          </w:p>
        </w:tc>
      </w:tr>
      <w:tr>
        <w:tc>
          <w:tcPr>
            <w:tcW w:type="dxa" w:w="2200"/>
            <w:tcBorders>
              <w:top w:val="single" w:color="C8D8E8" w:sz="1"/>
              <w:left w:val="single" w:color="C8D8E8" w:sz="1"/>
              <w:bottom w:val="single" w:color="C8D8E8" w:sz="1"/>
              <w:right w:val="single" w:color="C8D8E8" w:sz="1"/>
            </w:tcBorders>
            <w:shd w:fill="F4F6F9"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10_city2graph_integration.py</w:t>
            </w:r>
          </w:p>
        </w:tc>
        <w:tc>
          <w:tcPr>
            <w:tcW w:type="dxa" w:w="1000"/>
            <w:tcBorders>
              <w:top w:val="single" w:color="C8D8E8" w:sz="1"/>
              <w:left w:val="single" w:color="C8D8E8" w:sz="1"/>
              <w:bottom w:val="single" w:color="C8D8E8" w:sz="1"/>
              <w:right w:val="single" w:color="C8D8E8" w:sz="1"/>
            </w:tcBorders>
            <w:shd w:fill="F4F6F9"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Python</w:t>
            </w:r>
          </w:p>
        </w:tc>
        <w:tc>
          <w:tcPr>
            <w:tcW w:type="dxa" w:w="3700"/>
            <w:tcBorders>
              <w:top w:val="single" w:color="C8D8E8" w:sz="1"/>
              <w:left w:val="single" w:color="C8D8E8" w:sz="1"/>
              <w:bottom w:val="single" w:color="C8D8E8" w:sz="1"/>
              <w:right w:val="single" w:color="C8D8E8" w:sz="1"/>
            </w:tcBorders>
            <w:shd w:fill="F4F6F9"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city2graph contiguity/proximity/POI graphs</w:t>
            </w:r>
          </w:p>
        </w:tc>
        <w:tc>
          <w:tcPr>
            <w:tcW w:type="dxa" w:w="1060"/>
            <w:tcBorders>
              <w:top w:val="single" w:color="C8D8E8" w:sz="1"/>
              <w:left w:val="single" w:color="C8D8E8" w:sz="1"/>
              <w:bottom w:val="single" w:color="C8D8E8" w:sz="1"/>
              <w:right w:val="single" w:color="C8D8E8" w:sz="1"/>
            </w:tcBorders>
            <w:shd w:fill="F4F6F9"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Complete</w:t>
            </w:r>
          </w:p>
        </w:tc>
      </w:tr>
      <w:tr>
        <w:tc>
          <w:tcPr>
            <w:tcW w:type="dxa" w:w="2200"/>
            <w:tcBorders>
              <w:top w:val="single" w:color="C8D8E8" w:sz="1"/>
              <w:left w:val="single" w:color="C8D8E8" w:sz="1"/>
              <w:bottom w:val="single" w:color="C8D8E8" w:sz="1"/>
              <w:right w:val="single" w:color="C8D8E8" w:sz="1"/>
            </w:tcBorders>
            <w:shd w:fill="FFFFFF"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build_swm_fixed.py</w:t>
            </w:r>
          </w:p>
        </w:tc>
        <w:tc>
          <w:tcPr>
            <w:tcW w:type="dxa" w:w="1000"/>
            <w:tcBorders>
              <w:top w:val="single" w:color="C8D8E8" w:sz="1"/>
              <w:left w:val="single" w:color="C8D8E8" w:sz="1"/>
              <w:bottom w:val="single" w:color="C8D8E8" w:sz="1"/>
              <w:right w:val="single" w:color="C8D8E8" w:sz="1"/>
            </w:tcBorders>
            <w:shd w:fill="FFFFFF"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Python</w:t>
            </w:r>
          </w:p>
        </w:tc>
        <w:tc>
          <w:tcPr>
            <w:tcW w:type="dxa" w:w="3700"/>
            <w:tcBorders>
              <w:top w:val="single" w:color="C8D8E8" w:sz="1"/>
              <w:left w:val="single" w:color="C8D8E8" w:sz="1"/>
              <w:bottom w:val="single" w:color="C8D8E8" w:sz="1"/>
              <w:right w:val="single" w:color="C8D8E8" w:sz="1"/>
            </w:tcBorders>
            <w:shd w:fill="FFFFFF"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SWMM .inp builder (major roads, storm TS)</w:t>
            </w:r>
          </w:p>
        </w:tc>
        <w:tc>
          <w:tcPr>
            <w:tcW w:type="dxa" w:w="1060"/>
            <w:tcBorders>
              <w:top w:val="single" w:color="C8D8E8" w:sz="1"/>
              <w:left w:val="single" w:color="C8D8E8" w:sz="1"/>
              <w:bottom w:val="single" w:color="C8D8E8" w:sz="1"/>
              <w:right w:val="single" w:color="C8D8E8" w:sz="1"/>
            </w:tcBorders>
            <w:shd w:fill="FFFFFF"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Complete</w:t>
            </w:r>
          </w:p>
        </w:tc>
      </w:tr>
      <w:tr>
        <w:tc>
          <w:tcPr>
            <w:tcW w:type="dxa" w:w="2200"/>
            <w:tcBorders>
              <w:top w:val="single" w:color="C8D8E8" w:sz="1"/>
              <w:left w:val="single" w:color="C8D8E8" w:sz="1"/>
              <w:bottom w:val="single" w:color="C8D8E8" w:sz="1"/>
              <w:right w:val="single" w:color="C8D8E8" w:sz="1"/>
            </w:tcBorders>
            <w:shd w:fill="F4F6F9"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run_swmm_fixed.py</w:t>
            </w:r>
          </w:p>
        </w:tc>
        <w:tc>
          <w:tcPr>
            <w:tcW w:type="dxa" w:w="1000"/>
            <w:tcBorders>
              <w:top w:val="single" w:color="C8D8E8" w:sz="1"/>
              <w:left w:val="single" w:color="C8D8E8" w:sz="1"/>
              <w:bottom w:val="single" w:color="C8D8E8" w:sz="1"/>
              <w:right w:val="single" w:color="C8D8E8" w:sz="1"/>
            </w:tcBorders>
            <w:shd w:fill="F4F6F9"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Python</w:t>
            </w:r>
          </w:p>
        </w:tc>
        <w:tc>
          <w:tcPr>
            <w:tcW w:type="dxa" w:w="3700"/>
            <w:tcBorders>
              <w:top w:val="single" w:color="C8D8E8" w:sz="1"/>
              <w:left w:val="single" w:color="C8D8E8" w:sz="1"/>
              <w:bottom w:val="single" w:color="C8D8E8" w:sz="1"/>
              <w:right w:val="single" w:color="C8D8E8" w:sz="1"/>
            </w:tcBorders>
            <w:shd w:fill="F4F6F9"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SWMM runner + ward aggregation</w:t>
            </w:r>
          </w:p>
        </w:tc>
        <w:tc>
          <w:tcPr>
            <w:tcW w:type="dxa" w:w="1060"/>
            <w:tcBorders>
              <w:top w:val="single" w:color="C8D8E8" w:sz="1"/>
              <w:left w:val="single" w:color="C8D8E8" w:sz="1"/>
              <w:bottom w:val="single" w:color="C8D8E8" w:sz="1"/>
              <w:right w:val="single" w:color="C8D8E8" w:sz="1"/>
            </w:tcBorders>
            <w:shd w:fill="F4F6F9"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Complete</w:t>
            </w:r>
          </w:p>
        </w:tc>
      </w:tr>
      <w:tr>
        <w:tc>
          <w:tcPr>
            <w:tcW w:type="dxa" w:w="2200"/>
            <w:tcBorders>
              <w:top w:val="single" w:color="C8D8E8" w:sz="1"/>
              <w:left w:val="single" w:color="C8D8E8" w:sz="1"/>
              <w:bottom w:val="single" w:color="C8D8E8" w:sz="1"/>
              <w:right w:val="single" w:color="C8D8E8" w:sz="1"/>
            </w:tcBorders>
            <w:shd w:fill="FFFFFF"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GNN.py</w:t>
            </w:r>
          </w:p>
        </w:tc>
        <w:tc>
          <w:tcPr>
            <w:tcW w:type="dxa" w:w="1000"/>
            <w:tcBorders>
              <w:top w:val="single" w:color="C8D8E8" w:sz="1"/>
              <w:left w:val="single" w:color="C8D8E8" w:sz="1"/>
              <w:bottom w:val="single" w:color="C8D8E8" w:sz="1"/>
              <w:right w:val="single" w:color="C8D8E8" w:sz="1"/>
            </w:tcBorders>
            <w:shd w:fill="FFFFFF"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Python</w:t>
            </w:r>
          </w:p>
        </w:tc>
        <w:tc>
          <w:tcPr>
            <w:tcW w:type="dxa" w:w="3700"/>
            <w:tcBorders>
              <w:top w:val="single" w:color="C8D8E8" w:sz="1"/>
              <w:left w:val="single" w:color="C8D8E8" w:sz="1"/>
              <w:bottom w:val="single" w:color="C8D8E8" w:sz="1"/>
              <w:right w:val="single" w:color="C8D8E8" w:sz="1"/>
            </w:tcBorders>
            <w:shd w:fill="FFFFFF"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GCN + BYM2 hybrid (bugs documented in §7.2)</w:t>
            </w:r>
          </w:p>
        </w:tc>
        <w:tc>
          <w:tcPr>
            <w:tcW w:type="dxa" w:w="1060"/>
            <w:tcBorders>
              <w:top w:val="single" w:color="C8D8E8" w:sz="1"/>
              <w:left w:val="single" w:color="C8D8E8" w:sz="1"/>
              <w:bottom w:val="single" w:color="C8D8E8" w:sz="1"/>
              <w:right w:val="single" w:color="C8D8E8" w:sz="1"/>
            </w:tcBorders>
            <w:shd w:fill="FFFFFF"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Needs fixes</w:t>
            </w:r>
          </w:p>
        </w:tc>
      </w:tr>
      <w:tr>
        <w:tc>
          <w:tcPr>
            <w:tcW w:type="dxa" w:w="2200"/>
            <w:tcBorders>
              <w:top w:val="single" w:color="C8D8E8" w:sz="1"/>
              <w:left w:val="single" w:color="C8D8E8" w:sz="1"/>
              <w:bottom w:val="single" w:color="C8D8E8" w:sz="1"/>
              <w:right w:val="single" w:color="C8D8E8" w:sz="1"/>
            </w:tcBorders>
            <w:shd w:fill="F4F6F9"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dashboard.py</w:t>
            </w:r>
          </w:p>
        </w:tc>
        <w:tc>
          <w:tcPr>
            <w:tcW w:type="dxa" w:w="1000"/>
            <w:tcBorders>
              <w:top w:val="single" w:color="C8D8E8" w:sz="1"/>
              <w:left w:val="single" w:color="C8D8E8" w:sz="1"/>
              <w:bottom w:val="single" w:color="C8D8E8" w:sz="1"/>
              <w:right w:val="single" w:color="C8D8E8" w:sz="1"/>
            </w:tcBorders>
            <w:shd w:fill="F4F6F9"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Python</w:t>
            </w:r>
          </w:p>
        </w:tc>
        <w:tc>
          <w:tcPr>
            <w:tcW w:type="dxa" w:w="3700"/>
            <w:tcBorders>
              <w:top w:val="single" w:color="C8D8E8" w:sz="1"/>
              <w:left w:val="single" w:color="C8D8E8" w:sz="1"/>
              <w:bottom w:val="single" w:color="C8D8E8" w:sz="1"/>
              <w:right w:val="single" w:color="C8D8E8" w:sz="1"/>
            </w:tcBorders>
            <w:shd w:fill="F4F6F9"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Streamlit 5-KPI dark-theme dashboard</w:t>
            </w:r>
          </w:p>
        </w:tc>
        <w:tc>
          <w:tcPr>
            <w:tcW w:type="dxa" w:w="1060"/>
            <w:tcBorders>
              <w:top w:val="single" w:color="C8D8E8" w:sz="1"/>
              <w:left w:val="single" w:color="C8D8E8" w:sz="1"/>
              <w:bottom w:val="single" w:color="C8D8E8" w:sz="1"/>
              <w:right w:val="single" w:color="C8D8E8" w:sz="1"/>
            </w:tcBorders>
            <w:shd w:fill="F4F6F9"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Complete</w:t>
            </w:r>
          </w:p>
        </w:tc>
      </w:tr>
      <w:tr>
        <w:tc>
          <w:tcPr>
            <w:tcW w:type="dxa" w:w="2200"/>
            <w:tcBorders>
              <w:top w:val="single" w:color="C8D8E8" w:sz="1"/>
              <w:left w:val="single" w:color="C8D8E8" w:sz="1"/>
              <w:bottom w:val="single" w:color="C8D8E8" w:sz="1"/>
              <w:right w:val="single" w:color="C8D8E8" w:sz="1"/>
            </w:tcBorders>
            <w:shd w:fill="FFFFFF"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vadodara_network.html</w:t>
            </w:r>
          </w:p>
        </w:tc>
        <w:tc>
          <w:tcPr>
            <w:tcW w:type="dxa" w:w="1000"/>
            <w:tcBorders>
              <w:top w:val="single" w:color="C8D8E8" w:sz="1"/>
              <w:left w:val="single" w:color="C8D8E8" w:sz="1"/>
              <w:bottom w:val="single" w:color="C8D8E8" w:sz="1"/>
              <w:right w:val="single" w:color="C8D8E8" w:sz="1"/>
            </w:tcBorders>
            <w:shd w:fill="FFFFFF"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HTML</w:t>
            </w:r>
          </w:p>
        </w:tc>
        <w:tc>
          <w:tcPr>
            <w:tcW w:type="dxa" w:w="3700"/>
            <w:tcBorders>
              <w:top w:val="single" w:color="C8D8E8" w:sz="1"/>
              <w:left w:val="single" w:color="C8D8E8" w:sz="1"/>
              <w:bottom w:val="single" w:color="C8D8E8" w:sz="1"/>
              <w:right w:val="single" w:color="C8D8E8" w:sz="1"/>
            </w:tcBorders>
            <w:shd w:fill="FFFFFF"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Self-contained flood network visualisation</w:t>
            </w:r>
          </w:p>
        </w:tc>
        <w:tc>
          <w:tcPr>
            <w:tcW w:type="dxa" w:w="1060"/>
            <w:tcBorders>
              <w:top w:val="single" w:color="C8D8E8" w:sz="1"/>
              <w:left w:val="single" w:color="C8D8E8" w:sz="1"/>
              <w:bottom w:val="single" w:color="C8D8E8" w:sz="1"/>
              <w:right w:val="single" w:color="C8D8E8" w:sz="1"/>
            </w:tcBorders>
            <w:shd w:fill="FFFFFF"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Complete</w:t>
            </w:r>
          </w:p>
        </w:tc>
      </w:tr>
      <w:tr>
        <w:tc>
          <w:tcPr>
            <w:tcW w:type="dxa" w:w="2200"/>
            <w:tcBorders>
              <w:top w:val="single" w:color="C8D8E8" w:sz="1"/>
              <w:left w:val="single" w:color="C8D8E8" w:sz="1"/>
              <w:bottom w:val="single" w:color="C8D8E8" w:sz="1"/>
              <w:right w:val="single" w:color="C8D8E8" w:sz="1"/>
            </w:tcBorders>
            <w:shd w:fill="F4F6F9"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vadodara_overland_fixed.inp</w:t>
            </w:r>
          </w:p>
        </w:tc>
        <w:tc>
          <w:tcPr>
            <w:tcW w:type="dxa" w:w="1000"/>
            <w:tcBorders>
              <w:top w:val="single" w:color="C8D8E8" w:sz="1"/>
              <w:left w:val="single" w:color="C8D8E8" w:sz="1"/>
              <w:bottom w:val="single" w:color="C8D8E8" w:sz="1"/>
              <w:right w:val="single" w:color="C8D8E8" w:sz="1"/>
            </w:tcBorders>
            <w:shd w:fill="F4F6F9"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SWMM</w:t>
            </w:r>
          </w:p>
        </w:tc>
        <w:tc>
          <w:tcPr>
            <w:tcW w:type="dxa" w:w="3700"/>
            <w:tcBorders>
              <w:top w:val="single" w:color="C8D8E8" w:sz="1"/>
              <w:left w:val="single" w:color="C8D8E8" w:sz="1"/>
              <w:bottom w:val="single" w:color="C8D8E8" w:sz="1"/>
              <w:right w:val="single" w:color="C8D8E8" w:sz="1"/>
            </w:tcBorders>
            <w:shd w:fill="F4F6F9"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Fixed .inp (5 missing junctions patched)</w:t>
            </w:r>
          </w:p>
        </w:tc>
        <w:tc>
          <w:tcPr>
            <w:tcW w:type="dxa" w:w="1060"/>
            <w:tcBorders>
              <w:top w:val="single" w:color="C8D8E8" w:sz="1"/>
              <w:left w:val="single" w:color="C8D8E8" w:sz="1"/>
              <w:bottom w:val="single" w:color="C8D8E8" w:sz="1"/>
              <w:right w:val="single" w:color="C8D8E8" w:sz="1"/>
            </w:tcBorders>
            <w:shd w:fill="F4F6F9"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Complete</w:t>
            </w:r>
          </w:p>
        </w:tc>
      </w:tr>
      <w:tr>
        <w:tc>
          <w:tcPr>
            <w:tcW w:type="dxa" w:w="2200"/>
            <w:tcBorders>
              <w:top w:val="single" w:color="C8D8E8" w:sz="1"/>
              <w:left w:val="single" w:color="C8D8E8" w:sz="1"/>
              <w:bottom w:val="single" w:color="C8D8E8" w:sz="1"/>
              <w:right w:val="single" w:color="C8D8E8" w:sz="1"/>
            </w:tcBorders>
            <w:shd w:fill="FFFFFF"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UOI_Bayesian_SpatioTemporal_Proposal.docx</w:t>
            </w:r>
          </w:p>
        </w:tc>
        <w:tc>
          <w:tcPr>
            <w:tcW w:type="dxa" w:w="1000"/>
            <w:tcBorders>
              <w:top w:val="single" w:color="C8D8E8" w:sz="1"/>
              <w:left w:val="single" w:color="C8D8E8" w:sz="1"/>
              <w:bottom w:val="single" w:color="C8D8E8" w:sz="1"/>
              <w:right w:val="single" w:color="C8D8E8" w:sz="1"/>
            </w:tcBorders>
            <w:shd w:fill="FFFFFF"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Word</w:t>
            </w:r>
          </w:p>
        </w:tc>
        <w:tc>
          <w:tcPr>
            <w:tcW w:type="dxa" w:w="3700"/>
            <w:tcBorders>
              <w:top w:val="single" w:color="C8D8E8" w:sz="1"/>
              <w:left w:val="single" w:color="C8D8E8" w:sz="1"/>
              <w:bottom w:val="single" w:color="C8D8E8" w:sz="1"/>
              <w:right w:val="single" w:color="C8D8E8" w:sz="1"/>
            </w:tcBorders>
            <w:shd w:fill="FFFFFF"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Spatio-temporal extension proposal</w:t>
            </w:r>
          </w:p>
        </w:tc>
        <w:tc>
          <w:tcPr>
            <w:tcW w:type="dxa" w:w="1060"/>
            <w:tcBorders>
              <w:top w:val="single" w:color="C8D8E8" w:sz="1"/>
              <w:left w:val="single" w:color="C8D8E8" w:sz="1"/>
              <w:bottom w:val="single" w:color="C8D8E8" w:sz="1"/>
              <w:right w:val="single" w:color="C8D8E8" w:sz="1"/>
            </w:tcBorders>
            <w:shd w:fill="FFFFFF"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Complete</w:t>
            </w:r>
          </w:p>
        </w:tc>
      </w:tr>
      <w:tr>
        <w:tc>
          <w:tcPr>
            <w:tcW w:type="dxa" w:w="2200"/>
            <w:tcBorders>
              <w:top w:val="single" w:color="C8D8E8" w:sz="1"/>
              <w:left w:val="single" w:color="C8D8E8" w:sz="1"/>
              <w:bottom w:val="single" w:color="C8D8E8" w:sz="1"/>
              <w:right w:val="single" w:color="C8D8E8" w:sz="1"/>
            </w:tcBorders>
            <w:shd w:fill="F4F6F9"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c2g_graph_overview.png</w:t>
            </w:r>
          </w:p>
        </w:tc>
        <w:tc>
          <w:tcPr>
            <w:tcW w:type="dxa" w:w="1000"/>
            <w:tcBorders>
              <w:top w:val="single" w:color="C8D8E8" w:sz="1"/>
              <w:left w:val="single" w:color="C8D8E8" w:sz="1"/>
              <w:bottom w:val="single" w:color="C8D8E8" w:sz="1"/>
              <w:right w:val="single" w:color="C8D8E8" w:sz="1"/>
            </w:tcBorders>
            <w:shd w:fill="F4F6F9"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PNG</w:t>
            </w:r>
          </w:p>
        </w:tc>
        <w:tc>
          <w:tcPr>
            <w:tcW w:type="dxa" w:w="3700"/>
            <w:tcBorders>
              <w:top w:val="single" w:color="C8D8E8" w:sz="1"/>
              <w:left w:val="single" w:color="C8D8E8" w:sz="1"/>
              <w:bottom w:val="single" w:color="C8D8E8" w:sz="1"/>
              <w:right w:val="single" w:color="C8D8E8" w:sz="1"/>
            </w:tcBorders>
            <w:shd w:fill="F4F6F9"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4-panel city2graph contiguity + POI visualisation</w:t>
            </w:r>
          </w:p>
        </w:tc>
        <w:tc>
          <w:tcPr>
            <w:tcW w:type="dxa" w:w="1060"/>
            <w:tcBorders>
              <w:top w:val="single" w:color="C8D8E8" w:sz="1"/>
              <w:left w:val="single" w:color="C8D8E8" w:sz="1"/>
              <w:bottom w:val="single" w:color="C8D8E8" w:sz="1"/>
              <w:right w:val="single" w:color="C8D8E8" w:sz="1"/>
            </w:tcBorders>
            <w:shd w:fill="F4F6F9"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Complete</w:t>
            </w:r>
          </w:p>
        </w:tc>
      </w:tr>
      <w:tr>
        <w:tc>
          <w:tcPr>
            <w:tcW w:type="dxa" w:w="2200"/>
            <w:tcBorders>
              <w:top w:val="single" w:color="C8D8E8" w:sz="1"/>
              <w:left w:val="single" w:color="C8D8E8" w:sz="1"/>
              <w:bottom w:val="single" w:color="C8D8E8" w:sz="1"/>
              <w:right w:val="single" w:color="C8D8E8" w:sz="1"/>
            </w:tcBorders>
            <w:shd w:fill="FFFFFF"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bym2_prior_predictive_check.png</w:t>
            </w:r>
          </w:p>
        </w:tc>
        <w:tc>
          <w:tcPr>
            <w:tcW w:type="dxa" w:w="1000"/>
            <w:tcBorders>
              <w:top w:val="single" w:color="C8D8E8" w:sz="1"/>
              <w:left w:val="single" w:color="C8D8E8" w:sz="1"/>
              <w:bottom w:val="single" w:color="C8D8E8" w:sz="1"/>
              <w:right w:val="single" w:color="C8D8E8" w:sz="1"/>
            </w:tcBorders>
            <w:shd w:fill="FFFFFF"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PNG</w:t>
            </w:r>
          </w:p>
        </w:tc>
        <w:tc>
          <w:tcPr>
            <w:tcW w:type="dxa" w:w="3700"/>
            <w:tcBorders>
              <w:top w:val="single" w:color="C8D8E8" w:sz="1"/>
              <w:left w:val="single" w:color="C8D8E8" w:sz="1"/>
              <w:bottom w:val="single" w:color="C8D8E8" w:sz="1"/>
              <w:right w:val="single" w:color="C8D8E8" w:sz="1"/>
            </w:tcBorders>
            <w:shd w:fill="FFFFFF"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Prior predictive check figure</w:t>
            </w:r>
          </w:p>
        </w:tc>
        <w:tc>
          <w:tcPr>
            <w:tcW w:type="dxa" w:w="1060"/>
            <w:tcBorders>
              <w:top w:val="single" w:color="C8D8E8" w:sz="1"/>
              <w:left w:val="single" w:color="C8D8E8" w:sz="1"/>
              <w:bottom w:val="single" w:color="C8D8E8" w:sz="1"/>
              <w:right w:val="single" w:color="C8D8E8" w:sz="1"/>
            </w:tcBorders>
            <w:shd w:fill="FFFFFF" w:val="clear"/>
            <w:tcMar>
              <w:top w:type="dxa" w:w="70"/>
              <w:left w:type="dxa" w:w="110"/>
              <w:bottom w:type="dxa" w:w="70"/>
              <w:right w:type="dxa" w:w="110"/>
            </w:tcMar>
          </w:tcPr>
          <w:p>
            <w:r>
              <w:rPr>
                <w:rFonts w:ascii="Arial" w:cs="Arial" w:eastAsia="Arial" w:hAnsi="Arial"/>
                <w:b w:val="false"/>
                <w:bCs w:val="false"/>
                <w:i w:val="false"/>
                <w:iCs w:val="false"/>
                <w:color w:val="1A1A1A"/>
                <w:sz w:val="20"/>
                <w:szCs w:val="20"/>
              </w:rPr>
              <w:t xml:space="preserve">Complete</w:t>
            </w:r>
          </w:p>
        </w:tc>
      </w:tr>
    </w:tbl>
    <w:p>
      <w:pPr>
        <w:spacing w:after="80" w:before="0"/>
      </w:pPr>
      <w:r>
        <w:rPr>
          <w:rFonts w:ascii="Arial" w:cs="Arial" w:eastAsia="Arial" w:hAnsi="Arial"/>
          <w:b w:val="false"/>
          <w:bCs w:val="false"/>
          <w:i w:val="false"/>
          <w:iCs w:val="false"/>
          <w:color w:val="1A1A1A"/>
          <w:sz w:val="22"/>
          <w:szCs w:val="22"/>
        </w:rPr>
        <w:t xml:space="preserve"/>
      </w:r>
    </w:p>
    <w:p>
      <w:pPr>
        <w:spacing w:after="0" w:before="0"/>
      </w:pPr>
      <w:r>
        <w:br w:type="page"/>
      </w:r>
    </w:p>
    <w:p>
      <w:pPr>
        <w:pStyle w:val="Heading1"/>
        <w:pBdr>
          <w:bottom w:val="single" w:color="2E6DA4" w:sz="4"/>
        </w:pBdr>
        <w:spacing w:after="180" w:before="400"/>
      </w:pPr>
      <w:r>
        <w:rPr>
          <w:rFonts w:ascii="Arial" w:cs="Arial" w:eastAsia="Arial" w:hAnsi="Arial"/>
          <w:b/>
          <w:bCs/>
          <w:i w:val="false"/>
          <w:iCs w:val="false"/>
          <w:color w:val="0B1F3A"/>
          <w:sz w:val="32"/>
          <w:szCs w:val="32"/>
        </w:rPr>
        <w:t xml:space="preserve">10. Theory Extracts for Thesis Citation</w:t>
      </w:r>
    </w:p>
    <w:p>
      <w:pPr>
        <w:pStyle w:val="Heading2"/>
        <w:spacing w:after="130" w:before="300"/>
      </w:pPr>
      <w:r>
        <w:rPr>
          <w:rFonts w:ascii="Arial" w:cs="Arial" w:eastAsia="Arial" w:hAnsi="Arial"/>
          <w:b/>
          <w:bCs/>
          <w:i w:val="false"/>
          <w:iCs w:val="false"/>
          <w:color w:val="1A4A8A"/>
          <w:sz w:val="26"/>
          <w:szCs w:val="26"/>
        </w:rPr>
        <w:t xml:space="preserve">10.1 Composite Index Theory</w:t>
      </w:r>
    </w:p>
    <w:p>
      <w:pPr>
        <w:spacing w:after="100" w:before="60" w:line="320"/>
      </w:pPr>
      <w:r>
        <w:rPr>
          <w:rFonts w:ascii="Arial" w:cs="Arial" w:eastAsia="Arial" w:hAnsi="Arial"/>
          <w:b w:val="false"/>
          <w:bCs w:val="false"/>
          <w:i w:val="false"/>
          <w:iCs w:val="false"/>
          <w:color w:val="1A1A1A"/>
          <w:sz w:val="22"/>
          <w:szCs w:val="22"/>
        </w:rPr>
        <w:t xml:space="preserve">The OCCIM (Optimum Combinational Composite Index Model) approach integrates GIS with synthetic indices to measure spatial variation in urban conditions. A composite index for urban household living conditions is computed based on three inter-connected dimensions — housing conditions, amenities level, and asset possession — providing insight into the geographic distribution considering spatial patterns, hot spots, and cluster identification.</w:t>
      </w:r>
    </w:p>
    <w:p>
      <w:pPr>
        <w:spacing w:after="100" w:before="60" w:line="320"/>
      </w:pPr>
      <w:r>
        <w:rPr>
          <w:rFonts w:ascii="Arial" w:cs="Arial" w:eastAsia="Arial" w:hAnsi="Arial"/>
          <w:b w:val="false"/>
          <w:bCs w:val="false"/>
          <w:i w:val="false"/>
          <w:iCs w:val="false"/>
          <w:color w:val="1A1A1A"/>
          <w:sz w:val="22"/>
          <w:szCs w:val="22"/>
        </w:rPr>
        <w:t xml:space="preserve">Spatial heterogeneity is measured using Moran's I at the global level and Getis-Ord Gi* to identify influential locations through clusters and hot spot detection. Model consistency is assessed using the R-squared value of regression analysis. The UOI generalises this framework by incorporating accessibility metrics and normalising to a 0–100 scale with explicit inequality adjustment via the Kolm–Pollak EDE.</w:t>
      </w:r>
    </w:p>
    <w:p>
      <w:pPr>
        <w:spacing w:after="80" w:before="0"/>
      </w:pPr>
      <w:r>
        <w:rPr>
          <w:rFonts w:ascii="Arial" w:cs="Arial" w:eastAsia="Arial" w:hAnsi="Arial"/>
          <w:b w:val="false"/>
          <w:bCs w:val="false"/>
          <w:i w:val="false"/>
          <w:iCs w:val="false"/>
          <w:color w:val="1A1A1A"/>
          <w:sz w:val="22"/>
          <w:szCs w:val="22"/>
        </w:rPr>
        <w:t xml:space="preserve"/>
      </w:r>
    </w:p>
    <w:p>
      <w:pPr>
        <w:pStyle w:val="Heading2"/>
        <w:spacing w:after="130" w:before="300"/>
      </w:pPr>
      <w:r>
        <w:rPr>
          <w:rFonts w:ascii="Arial" w:cs="Arial" w:eastAsia="Arial" w:hAnsi="Arial"/>
          <w:b/>
          <w:bCs/>
          <w:i w:val="false"/>
          <w:iCs w:val="false"/>
          <w:color w:val="1A4A8A"/>
          <w:sz w:val="26"/>
          <w:szCs w:val="26"/>
        </w:rPr>
        <w:t xml:space="preserve">10.2 Spatial Regression Theory</w:t>
      </w:r>
    </w:p>
    <w:p>
      <w:pPr>
        <w:spacing w:after="100" w:before="60" w:line="320"/>
      </w:pPr>
      <w:r>
        <w:rPr>
          <w:rFonts w:ascii="Arial" w:cs="Arial" w:eastAsia="Arial" w:hAnsi="Arial"/>
          <w:b w:val="false"/>
          <w:bCs w:val="false"/>
          <w:i w:val="false"/>
          <w:iCs w:val="false"/>
          <w:color w:val="1A1A1A"/>
          <w:sz w:val="22"/>
          <w:szCs w:val="22"/>
        </w:rPr>
        <w:t xml:space="preserve">Spatial econometrics addresses the failure of OLS when observations are spatially autocorrelated. Residual spatial autocorrelation breaks the independence assumption, inflating Type I error rates and producing biased, inefficient coefficient estimates. The Anselin (1988) Lagrange Multiplier tests provide a data-driven procedure to select between the Spatial Lag Model and Spatial Error Model.</w:t>
      </w:r>
    </w:p>
    <w:p>
      <w:pPr>
        <w:spacing w:after="100" w:before="60" w:line="320"/>
      </w:pPr>
      <w:r>
        <w:rPr>
          <w:rFonts w:ascii="Arial" w:cs="Arial" w:eastAsia="Arial" w:hAnsi="Arial"/>
          <w:b w:val="false"/>
          <w:bCs w:val="false"/>
          <w:i w:val="false"/>
          <w:iCs w:val="false"/>
          <w:color w:val="1A1A1A"/>
          <w:sz w:val="22"/>
          <w:szCs w:val="22"/>
        </w:rPr>
        <w:t xml:space="preserve">The Spatial Lag Model incorporates the spatially-lagged dependent variable as an explanatory variable: y = ρWy + Xβ + ε. The coefficient ρ ∈ (−1, +1) quantifies spatial spillover — neighbouring ward UOI influences local UOI. This is appropriate when there are genuine neighbourhood externalities, such as a major hospital corridor benefiting multiple adjacent wards.</w:t>
      </w:r>
    </w:p>
    <w:p>
      <w:pPr>
        <w:spacing w:after="100" w:before="60" w:line="320"/>
      </w:pPr>
      <w:r>
        <w:rPr>
          <w:rFonts w:ascii="Arial" w:cs="Arial" w:eastAsia="Arial" w:hAnsi="Arial"/>
          <w:b w:val="false"/>
          <w:bCs w:val="false"/>
          <w:i w:val="false"/>
          <w:iCs w:val="false"/>
          <w:color w:val="1A1A1A"/>
          <w:sz w:val="22"/>
          <w:szCs w:val="22"/>
        </w:rPr>
        <w:t xml:space="preserve">The Spatial Error Model absorbs unmeasured spatially-clustered confounders into the error structure: y = Xβ + u, u = λWu + ε. λ ∈ (−0.99, 0.99) — a positive λ indicates residual spatial clustering from omitted variables such as historical settlement patterns or socioeconomic segregation.</w:t>
      </w:r>
    </w:p>
    <w:p>
      <w:pPr>
        <w:spacing w:after="80" w:before="0"/>
      </w:pPr>
      <w:r>
        <w:rPr>
          <w:rFonts w:ascii="Arial" w:cs="Arial" w:eastAsia="Arial" w:hAnsi="Arial"/>
          <w:b w:val="false"/>
          <w:bCs w:val="false"/>
          <w:i w:val="false"/>
          <w:iCs w:val="false"/>
          <w:color w:val="1A1A1A"/>
          <w:sz w:val="22"/>
          <w:szCs w:val="22"/>
        </w:rPr>
        <w:t xml:space="preserve"/>
      </w:r>
    </w:p>
    <w:p>
      <w:pPr>
        <w:pStyle w:val="Heading2"/>
        <w:spacing w:after="130" w:before="300"/>
      </w:pPr>
      <w:r>
        <w:rPr>
          <w:rFonts w:ascii="Arial" w:cs="Arial" w:eastAsia="Arial" w:hAnsi="Arial"/>
          <w:b/>
          <w:bCs/>
          <w:i w:val="false"/>
          <w:iCs w:val="false"/>
          <w:color w:val="1A4A8A"/>
          <w:sz w:val="26"/>
          <w:szCs w:val="26"/>
        </w:rPr>
        <w:t xml:space="preserve">10.3 BYM2 Penalised Complexity Priors</w:t>
      </w:r>
    </w:p>
    <w:p>
      <w:pPr>
        <w:spacing w:after="100" w:before="60" w:line="320"/>
      </w:pPr>
      <w:r>
        <w:rPr>
          <w:rFonts w:ascii="Arial" w:cs="Arial" w:eastAsia="Arial" w:hAnsi="Arial"/>
          <w:b w:val="false"/>
          <w:bCs w:val="false"/>
          <w:i w:val="false"/>
          <w:iCs w:val="false"/>
          <w:color w:val="1A1A1A"/>
          <w:sz w:val="22"/>
          <w:szCs w:val="22"/>
        </w:rPr>
        <w:t xml:space="preserve">The BYM2 reparameterisation (Riebler et al. 2016) makes the BYM hyperparameters directly interpretable. The marginal standard deviation σ_b measures total spatial variation, and the mixing parameter φ measures the proportion attributable to spatial structure. Penalised Complexity priors penalise deviation from the base model (constant risk over all areas), placing probability mass on simpler models unless the data demands complexity.</w:t>
      </w:r>
    </w:p>
    <w:p>
      <w:pPr>
        <w:spacing w:after="100" w:before="60" w:line="320"/>
      </w:pPr>
      <w:r>
        <w:rPr>
          <w:rFonts w:ascii="Arial" w:cs="Arial" w:eastAsia="Arial" w:hAnsi="Arial"/>
          <w:b w:val="false"/>
          <w:bCs w:val="false"/>
          <w:i w:val="false"/>
          <w:iCs w:val="false"/>
          <w:color w:val="1A1A1A"/>
          <w:sz w:val="22"/>
          <w:szCs w:val="22"/>
        </w:rPr>
        <w:t xml:space="preserve">For the marginal standard deviation, the PC prior is defined by P(σ_b &gt; U) = a. Following the rule of thumb, U = 0.5/0.31 and a = 0.01. For the mixing parameter, P(φ &lt; U) = a with sensible bounds derived from the data structure. These priors have been validated in Bayesian spatio-temporal COVID-19 analysis where BYM2 fitted better than BYM (lower DIC and WAIC) across spatial and temporal structures.</w:t>
      </w:r>
    </w:p>
    <w:p>
      <w:pPr>
        <w:spacing w:after="80" w:before="0"/>
      </w:pPr>
      <w:r>
        <w:rPr>
          <w:rFonts w:ascii="Arial" w:cs="Arial" w:eastAsia="Arial" w:hAnsi="Arial"/>
          <w:b w:val="false"/>
          <w:bCs w:val="false"/>
          <w:i w:val="false"/>
          <w:iCs w:val="false"/>
          <w:color w:val="1A1A1A"/>
          <w:sz w:val="22"/>
          <w:szCs w:val="22"/>
        </w:rPr>
        <w:t xml:space="preserve"/>
      </w:r>
    </w:p>
    <w:p>
      <w:pPr>
        <w:pStyle w:val="Heading2"/>
        <w:spacing w:after="130" w:before="300"/>
      </w:pPr>
      <w:r>
        <w:rPr>
          <w:rFonts w:ascii="Arial" w:cs="Arial" w:eastAsia="Arial" w:hAnsi="Arial"/>
          <w:b/>
          <w:bCs/>
          <w:i w:val="false"/>
          <w:iCs w:val="false"/>
          <w:color w:val="1A4A8A"/>
          <w:sz w:val="26"/>
          <w:szCs w:val="26"/>
        </w:rPr>
        <w:t xml:space="preserve">10.4 GNN for Urban Spatial Analysis</w:t>
      </w:r>
    </w:p>
    <w:p>
      <w:pPr>
        <w:spacing w:after="100" w:before="60" w:line="320"/>
      </w:pPr>
      <w:r>
        <w:rPr>
          <w:rFonts w:ascii="Arial" w:cs="Arial" w:eastAsia="Arial" w:hAnsi="Arial"/>
          <w:b w:val="false"/>
          <w:bCs w:val="false"/>
          <w:i w:val="false"/>
          <w:iCs w:val="false"/>
          <w:color w:val="1A1A1A"/>
          <w:sz w:val="22"/>
          <w:szCs w:val="22"/>
        </w:rPr>
        <w:t xml:space="preserve">Graph Neural Networks can capture both the topology of city networks and their spatial context, learning representations that encode why certain intersections become congested or why some neighbourhoods thrive while others struggle. Unlike traditional models treating locations as independent, GNNs understand that a place's character emerges from its connections — making them naturally suited for predicting everything from traffic patterns to inequality risks.</w:t>
      </w:r>
    </w:p>
    <w:p>
      <w:pPr>
        <w:spacing w:after="100" w:before="60" w:line="320"/>
      </w:pPr>
      <w:r>
        <w:rPr>
          <w:rFonts w:ascii="Arial" w:cs="Arial" w:eastAsia="Arial" w:hAnsi="Arial"/>
          <w:b w:val="false"/>
          <w:bCs w:val="false"/>
          <w:i w:val="false"/>
          <w:iCs w:val="false"/>
          <w:color w:val="1A1A1A"/>
          <w:sz w:val="22"/>
          <w:szCs w:val="22"/>
        </w:rPr>
        <w:t xml:space="preserve">city2graph (Sato 2025) provides a unified pipeline for converting geospatial datasets into GNN-ready graph representations, handling multiple edge types (contiguity, proximity, POI assignment, GTFS transit). For the BYM2 hybrid, the key role of the GNN is to provide spatially-contextualised embeddings that encode road network topology — information unavailable to the purely statistical BYM2 model.</w:t>
      </w:r>
    </w:p>
    <w:p>
      <w:pPr>
        <w:spacing w:after="80" w:before="0"/>
      </w:pPr>
      <w:r>
        <w:rPr>
          <w:rFonts w:ascii="Arial" w:cs="Arial" w:eastAsia="Arial" w:hAnsi="Arial"/>
          <w:b w:val="false"/>
          <w:bCs w:val="false"/>
          <w:i w:val="false"/>
          <w:iCs w:val="false"/>
          <w:color w:val="1A1A1A"/>
          <w:sz w:val="22"/>
          <w:szCs w:val="22"/>
        </w:rPr>
        <w:t xml:space="preserve"/>
      </w:r>
    </w:p>
    <w:p>
      <w:pPr>
        <w:pStyle w:val="Heading2"/>
        <w:spacing w:after="130" w:before="300"/>
      </w:pPr>
      <w:r>
        <w:rPr>
          <w:rFonts w:ascii="Arial" w:cs="Arial" w:eastAsia="Arial" w:hAnsi="Arial"/>
          <w:b/>
          <w:bCs/>
          <w:i w:val="false"/>
          <w:iCs w:val="false"/>
          <w:color w:val="1A4A8A"/>
          <w:sz w:val="26"/>
          <w:szCs w:val="26"/>
        </w:rPr>
        <w:t xml:space="preserve">10.5 SWMM Dynamic Wave Theory</w:t>
      </w:r>
    </w:p>
    <w:p>
      <w:pPr>
        <w:spacing w:after="100" w:before="60" w:line="320"/>
      </w:pPr>
      <w:r>
        <w:rPr>
          <w:rFonts w:ascii="Arial" w:cs="Arial" w:eastAsia="Arial" w:hAnsi="Arial"/>
          <w:b w:val="false"/>
          <w:bCs w:val="false"/>
          <w:i w:val="false"/>
          <w:iCs w:val="false"/>
          <w:color w:val="1A1A1A"/>
          <w:sz w:val="22"/>
          <w:szCs w:val="22"/>
        </w:rPr>
        <w:t xml:space="preserve">SWMM's DYNWAVE routing solves the full St Venant equations for unsteady open-channel flow. The governing equations are the continuity equation (∂A/∂t + ∂Q/∂x = q) and momentum equation (∂Q/∂t + ∂(Q²/A)/∂x + gA(∂H/∂x + S_f) = 0). DYNWAVE is the most physically rigorous routing method but requires the Courant–Friedrichs–Lewy (CFL) condition to be satisfied: Δt ≤ Δx/c, where c = √(gA/T) is the wave celerity.</w:t>
      </w:r>
    </w:p>
    <w:p>
      <w:pPr>
        <w:spacing w:after="100" w:before="60" w:line="320"/>
      </w:pPr>
      <w:r>
        <w:rPr>
          <w:rFonts w:ascii="Arial" w:cs="Arial" w:eastAsia="Arial" w:hAnsi="Arial"/>
          <w:b w:val="false"/>
          <w:bCs w:val="false"/>
          <w:i w:val="false"/>
          <w:iCs w:val="false"/>
          <w:color w:val="1A1A1A"/>
          <w:sz w:val="22"/>
          <w:szCs w:val="22"/>
        </w:rPr>
        <w:t xml:space="preserve">For the Vadodara flood simulation, the CFL constraint with the shortest major road segment (~50m) and wave speed ~3.1 m/s gives a maximum stable timestep of 16 seconds. The 5-second routing step applied in build_swm_fixed.py provides comfortable margin. The original 30-second routing step violated CFL for short segments, forcing DYNWAVE to internally substep to sub-millisecond timesteps — the primary cause of the 17-minute execution.</w:t>
      </w:r>
    </w:p>
    <w:p>
      <w:pPr>
        <w:spacing w:after="80" w:before="0"/>
      </w:pPr>
      <w:r>
        <w:rPr>
          <w:rFonts w:ascii="Arial" w:cs="Arial" w:eastAsia="Arial" w:hAnsi="Arial"/>
          <w:b w:val="false"/>
          <w:bCs w:val="false"/>
          <w:i w:val="false"/>
          <w:iCs w:val="false"/>
          <w:color w:val="1A1A1A"/>
          <w:sz w:val="22"/>
          <w:szCs w:val="22"/>
        </w:rPr>
        <w:t xml:space="preserve"/>
      </w:r>
    </w:p>
    <w:p>
      <w:pPr>
        <w:spacing w:after="0" w:before="0"/>
      </w:pPr>
      <w:r>
        <w:br w:type="page"/>
      </w:r>
    </w:p>
    <w:p>
      <w:pPr>
        <w:pStyle w:val="Heading1"/>
        <w:pBdr>
          <w:bottom w:val="single" w:color="2E6DA4" w:sz="4"/>
        </w:pBdr>
        <w:spacing w:after="180" w:before="400"/>
      </w:pPr>
      <w:r>
        <w:rPr>
          <w:rFonts w:ascii="Arial" w:cs="Arial" w:eastAsia="Arial" w:hAnsi="Arial"/>
          <w:b/>
          <w:bCs/>
          <w:i w:val="false"/>
          <w:iCs w:val="false"/>
          <w:color w:val="0B1F3A"/>
          <w:sz w:val="32"/>
          <w:szCs w:val="32"/>
        </w:rPr>
        <w:t xml:space="preserve">11. Key References</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Anselin, L. (1988). Spatial Econometrics: Methods and Models. Kluwer Academic Publishers.</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Anselin, L., Bera, A.K., Florax, R., Yoon, M.J. (1996). Simple diagnostic tests for spatial dependence. Regional Science and Urban Economics 26(1): 77–104.</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Besag, J., York, J., Mollié, A. (1991). Bayesian image restoration with two applications in spatial statistics. Annals of the Institute of Statistical Mathematics 43(1): 1–20.</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Fotheringham, A.S., Brunsdon, C., Charlton, M. (2002). Geographically Weighted Regression: The Analysis of Spatially Varying Relationships. Wiley.</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Riebler, A., Sørbye, S., Simpson, D., Rue, H. (2016). An intuitive Bayesian spatial model for disease mapping that accounts for scaling. Statistical Methods in Medical Research 25(4): 1145–1165.</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Rue, H., Martino, S., Chopin, N. (2009). Approximate Bayesian inference for latent Gaussian models using integrated nested Laplace approximations. JRSS Series B 71(2): 319–392.</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Sato, Y. (2025). city2graph: Transform geospatial relations into graphs for spatial network analysis and GNNs. doi:10.5281/zenodo.15858845.</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Boeing, G. (2025). Modeling and Analyzing Urban Networks and Amenities with OSMnx. Geographical Analysis 57(4): 567–577.</w:t>
      </w:r>
    </w:p>
    <w:p>
      <w:pPr>
        <w:pStyle w:val="ListParagraph"/>
        <w:numPr>
          <w:ilvl w:val="0"/>
          <w:numId w:val="2"/>
        </w:numPr>
        <w:spacing w:after="40" w:before="40"/>
      </w:pPr>
      <w:r>
        <w:rPr>
          <w:rFonts w:ascii="Arial" w:cs="Arial" w:eastAsia="Arial" w:hAnsi="Arial"/>
          <w:b w:val="false"/>
          <w:bCs w:val="false"/>
          <w:i w:val="false"/>
          <w:iCs w:val="false"/>
          <w:color w:val="1A1A1A"/>
          <w:sz w:val="21"/>
          <w:szCs w:val="21"/>
        </w:rPr>
        <w:t xml:space="preserve">Hurvich, C.M., Simonoff, J.S., Tsai, C.L. (1998). Smoothing parameter selection in nonparametric regression using an improved Akaike information criterion. JRSS Series B 60(2): 271–293.</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A6272"/>
        <w:sz w:val="18"/>
        <w:szCs w:val="18"/>
      </w:rPr>
      <w:t xml:space="preserve">Vadodara Urban Inequality — M.Sc. Thesis Technical Summary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8E8" w:sz="2"/>
      </w:pBdr>
      <w:spacing w:after="0"/>
    </w:pPr>
    <w:r>
      <w:rPr>
        <w:rFonts w:ascii="Arial" w:cs="Arial" w:eastAsia="Arial" w:hAnsi="Arial"/>
        <w:color w:val="5A6272"/>
        <w:sz w:val="18"/>
        <w:szCs w:val="18"/>
      </w:rPr>
      <w:t xml:space="preserve">Urban Inequality in Vadodara — Technical Summary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00"/>
      <w:outlineLvl w:val="0"/>
    </w:pPr>
    <w:rPr>
      <w:rFonts w:ascii="Arial" w:cs="Arial" w:eastAsia="Arial" w:hAnsi="Arial"/>
      <w:b/>
      <w:bCs/>
      <w:sz w:val="32"/>
      <w:szCs w:val="32"/>
    </w:rPr>
  </w:style>
  <w:style w:type="paragraph" w:styleId="Heading2">
    <w:name w:val="Heading 2"/>
    <w:basedOn w:val="Normal"/>
    <w:next w:val="Normal"/>
    <w:qFormat/>
    <w:pPr>
      <w:spacing w:after="130" w:before="300"/>
      <w:outlineLvl w:val="1"/>
    </w:pPr>
    <w:rPr>
      <w:rFonts w:ascii="Arial" w:cs="Arial" w:eastAsia="Arial" w:hAnsi="Arial"/>
      <w:b/>
      <w:bCs/>
      <w:sz w:val="26"/>
      <w:szCs w:val="26"/>
    </w:rPr>
  </w:style>
  <w:style w:type="paragraph" w:styleId="Heading3">
    <w:name w:val="Heading 3"/>
    <w:basedOn w:val="Normal"/>
    <w:next w:val="Normal"/>
    <w:qFormat/>
    <w:pPr>
      <w:spacing w:after="90" w:before="220"/>
      <w:outlineLvl w:val="2"/>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2026-04-07T05:41:10.616Z</dcterms:created>
  <dcterms:modified xsi:type="dcterms:W3CDTF">2026-04-07T05:41:10.617Z</dcterms:modified>
</cp:coreProperties>
</file>

<file path=docProps/custom.xml><?xml version="1.0" encoding="utf-8"?>
<Properties xmlns="http://schemas.openxmlformats.org/officeDocument/2006/custom-properties" xmlns:vt="http://schemas.openxmlformats.org/officeDocument/2006/docPropsVTypes"/>
</file>