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Chapter 2</w:t>
      </w:r>
      <w:r>
        <w:t xml:space="preserve"> </w:t>
      </w:r>
      <w:r>
        <w:t xml:space="preserve">Literature Review</w:t>
      </w:r>
    </w:p>
    <w:p>
      <w:pPr>
        <w:pStyle w:val="BodyText"/>
      </w:pPr>
      <w:r>
        <w:t xml:space="preserve">This chapter reviews the research that this thesis builds on. The review follows five threads. Thread 1 covers user simulator design for dialogue reinforcement learning (Pillar 2). Thread 2 covers reward shaping theory and practice (Pillar 1). Thread 3 covers gaze-based engagement signals (Pillar 3). Thread 4 covers actor-critic methods for dialogue management, and Thread 5 positions the work within the tradition of conversational museum guide agents. Each paper is evaluated on its own merits but also against the specific problems, architectures, and limitations of the baseline system developed by Bourdon (2025), hereafter referred to as Daniel’s thesis.</w:t>
      </w:r>
    </w:p>
    <w:p>
      <w:pPr>
        <w:pStyle w:val="BodyText"/>
      </w:pPr>
      <w:r>
        <w:t xml:space="preserve">2.1 User Simulator Design for Dialogue Reinforcement Learning</w:t>
      </w:r>
    </w:p>
    <w:p>
      <w:pPr>
        <w:pStyle w:val="BodyText"/>
      </w:pPr>
      <w:r>
        <w:t xml:space="preserve">The fidelity of the visitor simulator is not a background convenience; it is a first-order research variable that determines what behaviours RL agents can learn. Daniel’s thesis arrived at this conclusion empirically: the flat Actor-Critic agent learned engagement-responsive strategies under the State Machine simulator but failed to do so under the empirically-grounded Sim8, whose overlapping dwell ranges obscured the relationship between agent actions and visitor engagement (§9.4). This section traces how the field arrived at the same insight and identifies the simulator design decisions that need improvement.</w:t>
      </w:r>
    </w:p>
    <w:p>
      <w:pPr>
        <w:pStyle w:val="BodyText"/>
      </w:pPr>
      <w:r>
        <w:t xml:space="preserve">2.1.1 The Role of User Simulators in Dialogue RL</w:t>
      </w:r>
    </w:p>
    <w:p>
      <w:pPr>
        <w:pStyle w:val="BodyText"/>
      </w:pPr>
      <w:r>
        <w:t xml:space="preserve">Reinforcement learning for dialogue policy optimisation requires interaction with an environment. Because deploying partially trained agents with real users is costly, slow, and potentially harmful to user experience, user simulators have become the standard training environment for dialogue RL (Li et al., 2017; Schatzmann et al., 2007). Li et al. (2017) provide a foundational framework for this paradigm. Their simulator, designed for the movie-booking domain, combines rule-based agenda management with corpus-derived statistics to produce structured user behaviour at the dialogue-act level. The simulator supports two tasks (ticket booking and movie seeking) and provides a publicly available testbed for comparing RL agents under controlled conditions.</w:t>
      </w:r>
    </w:p>
    <w:p>
      <w:pPr>
        <w:pStyle w:val="BodyText"/>
      </w:pPr>
      <w:r>
        <w:t xml:space="preserve">The key architectural idea in Li et al. (2017) is separating user goals from user behaviour: the simulator maintains an explicit user goal (a set of constraints and requests) and generates dialogue acts that pursue this goal in a structured, sequential manner. This goal-based design has been widely adopted. Daniel’s State Machine simulator echoes it in a transformed way, with visitor engagement states playing the role of task-oriented goals: they define what the visitor</w:t>
      </w:r>
      <w:r>
        <w:t xml:space="preserve"> </w:t>
      </w:r>
      <w:r>
        <w:t xml:space="preserve">“</w:t>
      </w:r>
      <w:r>
        <w:t xml:space="preserve">wants</w:t>
      </w:r>
      <w:r>
        <w:t xml:space="preserve">”</w:t>
      </w:r>
      <w:r>
        <w:t xml:space="preserve"> </w:t>
      </w:r>
      <w:r>
        <w:t xml:space="preserve">at each moment, and the simulator generates engagement signals accordingly.</w:t>
      </w:r>
    </w:p>
    <w:p>
      <w:pPr>
        <w:pStyle w:val="BodyText"/>
      </w:pPr>
      <w:r>
        <w:t xml:space="preserve">But the Li et al. framework also reveals a limitation that this thesis aims to address. Their simulator was designed for slot-filling dialogue, where success is binary (the task is completed or not) and the user’s goal is static across a session. Museum engagement is different on every axis: it is continuous (dwell time varies smoothly), multi-objective (engagement, novelty, and coverage must be balanced), and dynamically evolving (a visitor’s interest changes across exhibits and across the conversation). Applying agenda-based architectures to engagement-driven dialogue therefore requires substantial adaptation, precisely the kind that Daniel’s simulators attempted and that this thesis seeks to refine.</w:t>
      </w:r>
    </w:p>
    <w:p>
      <w:pPr>
        <w:pStyle w:val="BodyText"/>
      </w:pPr>
      <w:r>
        <w:t xml:space="preserve">2.1.2 Systematic Evaluation of Simulator Design Choices</w:t>
      </w:r>
    </w:p>
    <w:p>
      <w:pPr>
        <w:pStyle w:val="BodyText"/>
      </w:pPr>
      <w:r>
        <w:t xml:space="preserve">Shi et al. (2019) move beyond the question of how to build a simulator to the question of how simulator design decisions propagate into policy quality. Their study implements six user simulators in the restaurant search domain, varying along two dimensions: dialogue planning method (rule-based agenda vs. supervised learning) and language generation method (template vs. model-based). They evaluate these simulators both directly (corpus-level metrics such as F-score, precision, and recall of generated dialogue acts) and indirectly (success rate, reward, and dialogue length of RL policies trained on each simulator). They also include human evaluation: human raters assess simulated dialogues, and human users interact with the trained systems.</w:t>
      </w:r>
    </w:p>
    <w:p>
      <w:pPr>
        <w:pStyle w:val="BodyText"/>
      </w:pPr>
      <w:r>
        <w:t xml:space="preserve">The central finding is that direct and indirect evaluation metrics do not always agree. A simulator that closely matches corpus statistics (high direct evaluation scores) does not necessarily produce the best RL policy. Shi et al. (2019) observe that simulators with moderate statistical fidelity but richer behavioural variation can train more robust policies than those that are statistically accurate but behaviourally narrow. The parallel to this thesis is clear. Daniel’s Sim8 simulator preserves the statistical properties of the original VR training data (overlapping dwell ranges, persona-specific distributions), yet produces policies that are less diverse and less engagement-responsive than those trained on the State Machine, which sacrifices statistical realism for signal clarity.</w:t>
      </w:r>
    </w:p>
    <w:p>
      <w:pPr>
        <w:pStyle w:val="BodyText"/>
      </w:pPr>
      <w:r>
        <w:t xml:space="preserve">Shi et al. (2019) also expose a gap between automatic metrics and real human satisfaction. Policies that score well against their training simulator may perform poorly with actual users. Daniel’s thesis acknowledges this (§10.3): without human-in-the-loop evaluation, there is no way to know whether simulation improvements transfer to deployment. This thesis does not resolve that limitation; it remains simulator-based. But the controlled improvement ladder (SM-v1 through SM-v4) aims to make the simulator behaviourally faithful enough to reduce the gap.</w:t>
      </w:r>
    </w:p>
    <w:p>
      <w:pPr>
        <w:pStyle w:val="BodyText"/>
      </w:pPr>
      <w:r>
        <w:t xml:space="preserve">2.1.3 Empirical Evidence That Simulator Realism Drives Policy Quality</w:t>
      </w:r>
    </w:p>
    <w:p>
      <w:pPr>
        <w:pStyle w:val="BodyText"/>
      </w:pPr>
      <w:r>
        <w:t xml:space="preserve">Keizer et al. (2019) provide the most direct empirical evidence that simulator realism causes measurable policy gains. They train neural user simulators using two methods: maximum likelihood estimation (MLE), which optimises for statistical accuracy against a corpus, and adversarial learning (GAN-based training), which adds a discriminator that encourages the generator to produce more varied and realistic behaviour. In policy cross-evaluation experiments, where policies trained on one simulator are tested against all others, they find that adversarially trained simulators produce policies with 8.3% higher task success rate than those trained with MLE simulators. Subjective human evaluation confirms this result.</w:t>
      </w:r>
    </w:p>
    <w:p>
      <w:pPr>
        <w:pStyle w:val="BodyText"/>
      </w:pPr>
      <w:r>
        <w:t xml:space="preserve">The mechanism is worth unpacking. MLE-trained simulators achieve superior corpus-level metrics (higher F-score, lower KL-divergence from the training distribution), but they have lower entropy: less behavioural variation. GAN-trained simulators sacrifice some statistical accuracy but generate richer, more diverse user behaviour. Policies trained against the richer simulators encounter a broader range of user patterns and learn more robust strategies. The degree of GAN pre-training also matters: heavy pre-training pushes the simulator toward the MLE solution (high accuracy, low entropy), while less pre-training lets the adversarial diversity survive.</w:t>
      </w:r>
    </w:p>
    <w:p>
      <w:pPr>
        <w:pStyle w:val="BodyText"/>
      </w:pPr>
      <w:r>
        <w:t xml:space="preserve">The same accuracy-diversity trade-off appears in the Sim8 vs. State Machine comparison in Daniel’s thesis. Sim8 has higher ecological validity (its dwell ranges come from real VR data) but produces ambiguous signals that overlap across engagement states. The State Machine has lower ecological validity (its boundaries are hand-crafted and non-overlapping) but provides clearer, more discriminative feedback. The Keizer et al. results suggest that what matters for policy quality is not statistical fidelity per se but the extent to which the simulator produces discriminative, behaviourally varied signals that the RL agent can learn from.</w:t>
      </w:r>
    </w:p>
    <w:p>
      <w:pPr>
        <w:pStyle w:val="BodyText"/>
      </w:pPr>
      <w:r>
        <w:t xml:space="preserve">This is what motivates the simulator improvement ladder. Rather than choosing between ecological validity (Sim8) and signal clarity (State Machine), the ladder progressively enriches the State Machine’s behavioural repertoire: cross-exhibit memory, persona-specific dynamics, temporal drift, and partially overlapping dwell ranges, each added while monitoring the downstream effect on policy learning. If Keizer et al.’s findings generalise to the engagement-driven museum domain, moderate fidelity improvements should help policy learning up to a point, beyond which ambiguity starts to degrade credit assignment.</w:t>
      </w:r>
    </w:p>
    <w:p>
      <w:pPr>
        <w:pStyle w:val="BodyText"/>
      </w:pPr>
      <w:r>
        <w:t xml:space="preserve">2.1.4 Alternative Paradigms: Inverse Reinforcement Learning for User Simulation</w:t>
      </w:r>
    </w:p>
    <w:p>
      <w:pPr>
        <w:pStyle w:val="BodyText"/>
      </w:pPr>
      <w:r>
        <w:t xml:space="preserve">Chandramohan et al. (2011) introduce a conceptually distinct approach to user simulation grounded in inverse reinforcement learning (IRL). Rather than specifying user behaviour through rules or training a generative model from data, they cast user simulation as an imitation learning problem: given a corpus of human dialogue trajectories, IRL recovers the reward function that best explains the observed behaviour, and a forward RL algorithm then optimises a policy against this inferred reward. The user simulator thus acquires goal-directed, adaptive behaviour rather than frequency-based action selection.</w:t>
      </w:r>
    </w:p>
    <w:p>
      <w:pPr>
        <w:pStyle w:val="BodyText"/>
      </w:pPr>
      <w:r>
        <w:t xml:space="preserve">What makes IRL-based simulation appealing in theory is its capacity to generalise beyond observed data. Because the method learns a reward function, which induces a Q-function over all states, it can in principle produce reasonable behaviour in states not encountered in the training corpus. Chandramohan et al. evaluate their approach on a simple 3-slot town-information task and show that the IRL-trained simulator produces dialogue behaviour that correlates well with a hand-crafted expert model (similarity score of 0.48, close to the optimal 0.5) and achieves comparable average rewards and dialogue lengths.</w:t>
      </w:r>
    </w:p>
    <w:p>
      <w:pPr>
        <w:pStyle w:val="BodyText"/>
      </w:pPr>
      <w:r>
        <w:t xml:space="preserve">The experimental results are preliminary and limited to a small-scale domain. Still, the IRL paradigm makes an important conceptual point: a user simulator should reflect the user’s underlying objectives rather than just reproduce surface-level statistics. In the museum context, this means that a faithful simulator should capture not just what visitors do (produce certain dwell times given certain agent actions) but why they do it (because they are pursuing some latent goal such as learning, satisfying curiosity, or managing cognitive load). The simulator improvement ladder in this thesis moves toward this principle, not through IRL, but through explicit state modelling that encodes visitor motivations (curiosity, fatigue, overload) as distinct engagement states with interpretable transition dynamics.</w:t>
      </w:r>
    </w:p>
    <w:p>
      <w:pPr>
        <w:pStyle w:val="BodyText"/>
      </w:pPr>
      <w:r>
        <w:t xml:space="preserve">2.1.5 LLM-Based User Simulation and Persona Fidelity</w:t>
      </w:r>
    </w:p>
    <w:p>
      <w:pPr>
        <w:pStyle w:val="BodyText"/>
      </w:pPr>
      <w:r>
        <w:t xml:space="preserve">A recent and complementary direction in user simulation uses large language models (LLMs) to generate simulated user behaviour. The work on modelling human-like user simulators explores this paradigm by formulating user simulation as a dialogue refactoring task: given a target dialogue, the system extracts an implicit user profile (covering demographic attributes, personality traits, language styles, and task-specific goals) and then prompts an LLM to reproduce the dialogue while maintaining fidelity to that profile. The emphasis is on both utterance-level fidelity (does each simulated turn match the ground truth?) and dialogue-level fidelity (does the overall conversation follow a consistent persona?).</w:t>
      </w:r>
    </w:p>
    <w:p>
      <w:pPr>
        <w:pStyle w:val="BodyText"/>
      </w:pPr>
      <w:r>
        <w:t xml:space="preserve">Two aspects are relevant here. The persona schema, which includes Big Five personality traits, language styles, and scene-specific attributes, is more granular than Daniel’s persona system, which varies only a few parameters (confusion rate, engagement thresholds) across visitor types. In future work, the profile extraction approach could inform how personas are defined in the simulator improvement ladder, although this thesis sticks with hand-crafted personas. The fidelity metrics developed (utterance-level and dialogue-level distance) also suggest evaluation criteria beyond the coverage and engagement metrics used in Daniel’s thesis, though they were designed for task-oriented rather than engagement-driven dialogue.</w:t>
      </w:r>
    </w:p>
    <w:p>
      <w:pPr>
        <w:pStyle w:val="BodyText"/>
      </w:pPr>
      <w:r>
        <w:t xml:space="preserve">2.1.6 Broader Context: Surveys and Synthesis</w:t>
      </w:r>
    </w:p>
    <w:p>
      <w:pPr>
        <w:pStyle w:val="BodyText"/>
      </w:pPr>
      <w:r>
        <w:t xml:space="preserve">Kwan et al. (2023) provide a broad survey of RL methods for task-oriented dialogue policy learning that situates user simulation within the larger RL-for-dialogue field. Their review covers agenda-based simulators (Schatzmann and Young, 2009; Li et al., 2017), multi-agent approaches where system and user policies are learned concurrently (Takanobu et al., 2020), and the persistent gap between simulator-trained and human-evaluated performance. They note that most work in the field operates at the dialogue-act level with manually defined reward functions that give large positive and negative rewards for success and failure, plus a small negative per-turn reward to encourage shorter dialogues.</w:t>
      </w:r>
    </w:p>
    <w:p>
      <w:pPr>
        <w:pStyle w:val="BodyText"/>
      </w:pPr>
      <w:r>
        <w:t xml:space="preserve">Daniel’s formulation is different in kind. There is no binary success criterion; the reward function is continuous (engagement + novelty). In task-oriented dialogue, the simulator’s primary job is to generate plausible user acts so the agent can practice reaching goal states. In engagement-driven dialogue, the simulator’s job is to generate plausible engagement signals so the agent can practice maintaining attention. The demands on the simulator are therefore different. Engagement simulators must produce smooth, continuous feedback that varies meaningfully with agent behaviour, whereas task-oriented simulators need only produce realistic sequences of dialogue acts. This distinction supports the thesis argument that simulator fidelity improvements must be evaluated not by standard task-completion metrics but by their downstream effect on policy diversity and engagement-responsiveness.</w:t>
      </w:r>
    </w:p>
    <w:p>
      <w:pPr>
        <w:pStyle w:val="BodyText"/>
      </w:pPr>
      <w:r>
        <w:t xml:space="preserve">2.1.7 Summary and Gap Identification</w:t>
      </w:r>
    </w:p>
    <w:p>
      <w:pPr>
        <w:pStyle w:val="BodyText"/>
      </w:pPr>
      <w:r>
        <w:t xml:space="preserve">Three conclusions run through this literature. Simulator design is a first-order research variable, not a background assumption (Shi et al., 2019; Keizer et al., 2019). Statistical fidelity to a corpus does not guarantee good policy training; behavioural diversity and signal discriminability may matter more (Keizer et al., 2019). And the gap between simulator-trained and human-evaluated performance remains an open problem (Shi et al., 2019; Kwan et al., 2023).</w:t>
      </w:r>
    </w:p>
    <w:p>
      <w:pPr>
        <w:pStyle w:val="BodyText"/>
      </w:pPr>
      <w:r>
        <w:t xml:space="preserve">Daniel’s thesis contributes to this literature by demonstrating the fidelity-clarity trade-off in a new domain (museum engagement), but it does so with only two simulators (Sim8 and the State Machine) at opposite ends of the spectrum. The gap this thesis fills is a systematic, controlled investigation of how specific fidelity improvements, such as cross-exhibit memory, persona-specific dynamics, temporal drift, and partially overlapping dwell ranges, affect policy learning when introduced incrementally. No prior work has conducted such a controlled simulator improvement study in the engagement-driven dialogue context.</w:t>
      </w:r>
    </w:p>
    <w:p>
      <w:pPr>
        <w:pStyle w:val="BodyText"/>
      </w:pPr>
      <w:r>
        <w:t xml:space="preserve">2.2 Reward Shaping in Reinforcement Learning</w:t>
      </w:r>
    </w:p>
    <w:p>
      <w:pPr>
        <w:pStyle w:val="BodyText"/>
      </w:pPr>
      <w:r>
        <w:t xml:space="preserve">Pillar 1 of this thesis addresses two pathologies in Daniel’s reward function: the asymmetric (always non-negative) engagement reward and the structural novelty bias that causes 88.3% option collapse toward ExplainNewFact. Both proposed corrections, a centred engagement reward and a broadened novelty reward with staleness penalty, must be evaluated against the theoretical constraints established by the reward shaping literature. This section provides that theoretical grounding.</w:t>
      </w:r>
    </w:p>
    <w:p>
      <w:pPr>
        <w:pStyle w:val="BodyText"/>
      </w:pPr>
      <w:r>
        <w:t xml:space="preserve">2.2.1 The Theoretical Foundation: Policy Invariance Under Reward Transformations</w:t>
      </w:r>
    </w:p>
    <w:p>
      <w:pPr>
        <w:pStyle w:val="BodyText"/>
      </w:pPr>
      <w:r>
        <w:t xml:space="preserve">Ng et al. (1999) establish the foundational result for reward shaping. They prove that the only class of reward transformations that preserves the optimal policy across all MDPs is potential-based shaping: for a bounded real-valued function Φ : S → ℝ, the shaping reward F(s, a, s′) = γΦ(s′) − Φ(s) guarantees that every optimal policy in the shaped MDP is also optimal in the original, and vice versa. This is both a sufficiency and a necessity result: any shaping function not expressible in this potential-based form may induce suboptimal policies.</w:t>
      </w:r>
    </w:p>
    <w:p>
      <w:pPr>
        <w:pStyle w:val="BodyText"/>
      </w:pPr>
      <w:r>
        <w:t xml:space="preserve">Two</w:t>
      </w:r>
      <w:r>
        <w:t xml:space="preserve"> </w:t>
      </w:r>
      <w:r>
        <w:t xml:space="preserve">“</w:t>
      </w:r>
      <w:r>
        <w:t xml:space="preserve">bugs</w:t>
      </w:r>
      <w:r>
        <w:t xml:space="preserve">”</w:t>
      </w:r>
      <w:r>
        <w:t xml:space="preserve"> </w:t>
      </w:r>
      <w:r>
        <w:t xml:space="preserve">described by Ng et al. make the practical significance concrete. In one case, a bicycle-riding agent given positive rewards for progress toward a goal learned to ride in tiny circles near the start, because no penalty was incurred for riding away from the goal. In another, a soccer-playing robot given rewards for touching the ball learned to vibrate next to the ball, touching it as frequently as possible rather than playing soccer. Both failures arose from non-potential-based shaping: the rewards created positive-reward cycles that diverted the agent from the true objective.</w:t>
      </w:r>
    </w:p>
    <w:p>
      <w:pPr>
        <w:pStyle w:val="BodyText"/>
      </w:pPr>
      <w:r>
        <w:t xml:space="preserve">Both failures are relevant to Daniel’s reward function. The engagement reward r_eng = w_e · dwell_t is always non-negative (since dwell ∈ [0, 1]), meaning the agent is never penalised for losing attention; it simply receives less reward. This is not a positive-reward cycle in the strict sense, but it creates an analogous problem: any action that produces some engagement is indistinguishable from a</w:t>
      </w:r>
      <w:r>
        <w:t xml:space="preserve"> </w:t>
      </w:r>
      <w:r>
        <w:t xml:space="preserve">“</w:t>
      </w:r>
      <w:r>
        <w:t xml:space="preserve">neutral</w:t>
      </w:r>
      <w:r>
        <w:t xml:space="preserve">”</w:t>
      </w:r>
      <w:r>
        <w:t xml:space="preserve"> </w:t>
      </w:r>
      <w:r>
        <w:t xml:space="preserve">outcome. The proposed centred engagement reward subtracts a running baseline (the rolling mean of recent dwell times) so that below-average dwell produces genuinely negative rewards. This transformation can be expressed as potential-based shaping if the baseline is defined as a function of state, since the subtracted baseline is a state-dependent constant.</w:t>
      </w:r>
    </w:p>
    <w:p>
      <w:pPr>
        <w:pStyle w:val="BodyText"/>
      </w:pPr>
      <w:r>
        <w:t xml:space="preserve">The novelty reward r_nov = α · (|F_used(t)| − |F_used(t−1)|) is also always non-negative: it can only be positive (when a new fact is introduced) or zero (when no new fact is introduced). Because only ExplainNewFact can introduce new facts, this reward structurally biases the policy toward that action. The proposed broadened novelty reward introduces a staleness penalty for repetitive actions, creating negative rewards for action sequences that fail to diversify. This penalty is not straightforwardly expressible as potential-based shaping (it depends on the action taken, not just the state transition), which means it may alter the optimal policy. This is flagged as a theoretical risk throughout the thesis: the staleness penalty is a deliberate, targeted departure from policy invariance, and its effects must be evaluated empirically.</w:t>
      </w:r>
    </w:p>
    <w:p>
      <w:pPr>
        <w:pStyle w:val="BodyText"/>
      </w:pPr>
      <w:r>
        <w:t xml:space="preserve">2.2.2 Reward Shaping in Spoken Dialogue Systems</w:t>
      </w:r>
    </w:p>
    <w:p>
      <w:pPr>
        <w:pStyle w:val="BodyText"/>
      </w:pPr>
      <w:r>
        <w:t xml:space="preserve">Su et al. (2017) directly apply the Ng et al. framework to spoken dialogue policy learning. They train recurrent neural networks (RNNs), including basic RNN, LSTM, and GRU variants, to predict dialogue-level return from turn-level features, and then use the turn-level predictions as potential-based shaping rewards: F(b_t, a, b_{t+1}) = γΦ(b_{t+1}) − Φ(b_t), where Φ is the RNN’s predicted dialogue return at each belief state. The approach learns the shaping potential from data rather than hand-crafting it, and it does so under the constraint that ensures policy invariance.</w:t>
      </w:r>
    </w:p>
    <w:p>
      <w:pPr>
        <w:pStyle w:val="BodyText"/>
      </w:pPr>
      <w:r>
        <w:t xml:space="preserve">The results show that RNN-based reward shaping accelerates policy learning in both simulated and real-user settings. The GRU variant achieves slightly better performance, and the data-learned potential outperforms a hand-crafted baseline (Ferreira and Lefèvre, 2013) that relied on prior knowledge of the user’s task. Su et al. also demonstrate that the approach generalises from simulator training to real-user deployment, with the RNN-based shaping reward maintaining its accelerating effect on learning speed when the policy is trained online with human users.</w:t>
      </w:r>
    </w:p>
    <w:p>
      <w:pPr>
        <w:pStyle w:val="BodyText"/>
      </w:pPr>
      <w:r>
        <w:t xml:space="preserve">There is a methodological lesson and a cautionary one. Methodologically, Su et al. show that even in a setting like the museum domain, it would be possible to learn the shaping potential from data (e.g., using dialogue-level visitor satisfaction scores to predict per-turn shaping signals). This thesis takes a simpler route, hand-designing the centred baseline, because learned potentials require substantial data and the museum domain lacks a large annotated dialogue corpus. The caution is that Su et al. rigorously maintain the potential-based form. The broadened novelty reward proposed here departs from it. If shaping within the potential-based form is sufficient to accelerate learning, that departure needs to earn its keep through clear empirical benefits.</w:t>
      </w:r>
    </w:p>
    <w:p>
      <w:pPr>
        <w:pStyle w:val="BodyText"/>
      </w:pPr>
      <w:r>
        <w:t xml:space="preserve">2.2.3 Intrinsic Motivation and Curiosity-Driven Exploration</w:t>
      </w:r>
    </w:p>
    <w:p>
      <w:pPr>
        <w:pStyle w:val="BodyText"/>
      </w:pPr>
      <w:r>
        <w:t xml:space="preserve">Pathak et al. (2017) introduce the Intrinsic Curiosity Module (ICM), which formalises novelty as an intrinsic reward signal. The idea is that an agent should be rewarded for encountering states it cannot yet predict: the forward model predicts the next state’s feature representation given the current state and action, and the prediction error is the intrinsic reward. The model operates in a learned feature space (trained by an inverse dynamics model that predicts the action from consecutive states), not in raw pixel space. This makes the curiosity signal robust to irrelevant environmental variation: the agent is curious about aspects of the environment that are affected by its actions, not about uncontrollable noise.</w:t>
      </w:r>
    </w:p>
    <w:p>
      <w:pPr>
        <w:pStyle w:val="BodyText"/>
      </w:pPr>
      <w:r>
        <w:t xml:space="preserve">The ICM framework is evaluated on VizDoom and Super Mario Bros, where agents trained with curiosity rewards alone (no extrinsic reward) learn to explore effectively, and agents pre-trained with curiosity and then fine-tuned with extrinsic rewards learn faster than those trained from scratch. The results are strongest in environments with sparse extrinsic rewards, where curiosity provides the only gradient signal during early training.</w:t>
      </w:r>
    </w:p>
    <w:p>
      <w:pPr>
        <w:pStyle w:val="BodyText"/>
      </w:pPr>
      <w:r>
        <w:t xml:space="preserve">The connection to Daniel’s novelty reward is conceptual, not architectural. Daniel’s r_nov rewards the agent for introducing new facts, which is a form of novelty, but it is a hand-crafted, binary signal (a fact is either new or not) rather than a learned prediction-error signal. The ICM framework suggests a principled alternative: the novelty reward could be defined as the prediction error of a model that learns to predict visitor engagement states from agent actions. States that the model cannot predict well are novel from the agent’s perspective, and the agent would be driven to explore diverse strategies. But the ICM approach requires substantially more infrastructure than the simple increment-based novelty reward, and in a museum setting with a small, fixed knowledge base (21 facts across 5 exhibits), the benefits of learned curiosity may not outweigh the costs.</w:t>
      </w:r>
    </w:p>
    <w:p>
      <w:pPr>
        <w:pStyle w:val="BodyText"/>
      </w:pPr>
      <w:r>
        <w:t xml:space="preserve">What matters more for this thesis is the ICM insight that intrinsic and extrinsic rewards interact. Pathak et al. show that curiosity-driven behaviour transfers to goal-directed tasks: an agent pre-trained with curiosity explores more efficiently when extrinsic rewards are later introduced. The option collapse problem in Daniel’s thesis has the same structure: the novelty reward (intrinsic) overwhelms the engagement reward (extrinsic-like) because the former is always achievable (there are always new facts to explain) while the latter is noisy and ambiguous (dwell ranges overlap). The broadened novelty reward proposed in this thesis can be understood as an attempt to rebalance this interaction. By penalising repetitive action sequences, the reward function creates negative intrinsic signals that offset the persistent positive bias of fact introduction, giving the engagement signal greater relative influence on policy learning.</w:t>
      </w:r>
    </w:p>
    <w:p>
      <w:pPr>
        <w:pStyle w:val="BodyText"/>
      </w:pPr>
      <w:r>
        <w:t xml:space="preserve">2.2.4 Summary and Theoretical Positioning</w:t>
      </w:r>
    </w:p>
    <w:p>
      <w:pPr>
        <w:pStyle w:val="BodyText"/>
      </w:pPr>
      <w:r>
        <w:t xml:space="preserve">Where does this leave the proposed reward corrections? The centred engagement reward is expressible as potential-based shaping (subtracting a state-dependent baseline) and therefore preserves the optimal policy under the Ng et al. (1999) guarantee. The broadened novelty reward with staleness penalty is not straightforwardly potential-based, because it depends on the action sequence rather than the state alone. This means it may alter the optimal policy, and that risk must be monitored experimentally. Su et al. (2017) show that potential-based shaping can accelerate dialogue policy learning, giving a baseline against which the staleness penalty can be compared. Pathak et al. (2017) supply the conceptual frame for understanding novelty as an intrinsic reward that needs to be balanced against extrinsic engagement signals.</w:t>
      </w:r>
    </w:p>
    <w:p>
      <w:pPr>
        <w:pStyle w:val="BodyText"/>
      </w:pPr>
      <w:r>
        <w:t xml:space="preserve">2.3 Gaze and Eye-Tracking as Engagement Signals</w:t>
      </w:r>
    </w:p>
    <w:p>
      <w:pPr>
        <w:pStyle w:val="BodyText"/>
      </w:pPr>
      <w:r>
        <w:t xml:space="preserve">Pillar 3 of this thesis proposes a systematic comparison of individual and combined gaze features as engagement signals for RL policy learning. Daniel’s thesis uses only dwell time (the proportion of a turn’s duration that the visitor’s gaze remains within the exhibit Area of Interest), despite Sim8 generating six gaze features per turn: scanpath length, saccade span, gaze entropy, fixation change rate, dominant object ratio, and entry latency. This section reviews the evidence for the information content of these features and establishes the empirical grounding for the multi-feature comparison.</w:t>
      </w:r>
    </w:p>
    <w:p>
      <w:pPr>
        <w:pStyle w:val="BodyText"/>
      </w:pPr>
      <w:r>
        <w:t xml:space="preserve">2.3.1 Gaze Patterns in Museum Contexts</w:t>
      </w:r>
    </w:p>
    <w:p>
      <w:pPr>
        <w:pStyle w:val="BodyText"/>
      </w:pPr>
      <w:r>
        <w:t xml:space="preserve">Warwick et al. (2025) report a study at the Bowes Museum using both fixed and mobile eye tracking to understand how visitors view art. They used mobile eye trackers with 125 volunteers, a fine-tuned YOLOv8 model for automatic gaze-painting overlap detection, and a RetinaFace model for face fixation analysis, capturing gaze behaviour in a realistic gallery setting rather than under controlled laboratory conditions.</w:t>
      </w:r>
    </w:p>
    <w:p>
      <w:pPr>
        <w:pStyle w:val="BodyText"/>
      </w:pPr>
      <w:r>
        <w:t xml:space="preserve">Several findings matter here. Fixation-based analysis (counting and timing fixations on specific paintings and features within paintings) provides meaningful engagement data in real museum conditions, which supports the ecological validity of the gaze features generated by Daniel’s simulator. Visitors did not recall seeing some of the most important paintings in the gallery, despite having been in the same room. Physical presence does not imply attention, and this volatility is exactly what the RL agent is designed to handle. The study also reports that visitor experience improved with changes in labelling, which suggests that how information is presented (a function the conversational agent controls) does affect engagement.</w:t>
      </w:r>
    </w:p>
    <w:p>
      <w:pPr>
        <w:pStyle w:val="BodyText"/>
      </w:pPr>
      <w:r>
        <w:t xml:space="preserve">The study also shows the feasibility of combining gaze metrics with automated analysis in physical gallery settings. Although Warwick et al. focus on post-hoc analysis rather than real-time integration, the technical infrastructure they describe (mobile eye tracking, automated AOI detection, automated fixation timing) is closely aligned with the VR-based infrastructure that Daniel’s simulator models. The gap is closing the loop: using gaze data not just for evaluation but for real-time policy learning, which is the contribution of Pillar 3.</w:t>
      </w:r>
    </w:p>
    <w:p>
      <w:pPr>
        <w:pStyle w:val="BodyText"/>
      </w:pPr>
      <w:r>
        <w:t xml:space="preserve">2.3.2 Gaze Features as Cognitive State Indicators</w:t>
      </w:r>
    </w:p>
    <w:p>
      <w:pPr>
        <w:pStyle w:val="BodyText"/>
      </w:pPr>
      <w:r>
        <w:t xml:space="preserve">Daniel’s thesis draws on a substantial body of work linking gaze features to cognitive and engagement states. Dwell time on an Area of Interest is an established proxy for on-task attention in VR and educational settings (Bozkir et al., 2021; Dubovi, 2022; Mikhailenko et al., 2022). Fixation duration and fixation rate have been linked to cognitive processing depth (Kim et al., 2023; Wang et al., 2023), though their reliability depends on detection algorithm parameters. Gaze entropy, the spatial distribution of attention, tracks attentional shifts and elements of cognitive load (Gugerty et al., 2017; Nguyen et al., 2024; Lee et al., 2024), with higher entropy indicating more dispersed, scanning-like attention and lower entropy indicating focused scrutiny.</w:t>
      </w:r>
    </w:p>
    <w:p>
      <w:pPr>
        <w:pStyle w:val="BodyText"/>
      </w:pPr>
      <w:r>
        <w:t xml:space="preserve">The literature on cognitive load assessment in interactive settings is particularly relevant to Pillar 3. Research shows that gaze-based features, including pupil dilation, fixation duration, and saccade rate, are strong indicators of cognitive load and engagement state across interactive tasks. These findings support the thesis’s hypothesis that using gaze entropy and saccade span alongside dwell time may provide a richer, more discriminative engagement signal for RL policy learning.</w:t>
      </w:r>
    </w:p>
    <w:p>
      <w:pPr>
        <w:pStyle w:val="BodyText"/>
      </w:pPr>
      <w:r>
        <w:t xml:space="preserve">Put simply, dwell time alone captures only the temporal dimension of engagement (how long the visitor looks) and not the qualitative dimensions (how the visitor looks). A visitor with high dwell time but high gaze entropy may be scanning the exhibit without deep engagement, while a visitor with moderate dwell time but low entropy and long fixations may be deeply absorbed. By comparing individual features and feature combinations as RL reward signals, Pillar 3 tests whether these qualitative distinctions carry information that the policy can exploit.</w:t>
      </w:r>
    </w:p>
    <w:p>
      <w:pPr>
        <w:pStyle w:val="BodyText"/>
      </w:pPr>
      <w:r>
        <w:t xml:space="preserve">2.3.3 Summary and Motivation for Pillar 3</w:t>
      </w:r>
    </w:p>
    <w:p>
      <w:pPr>
        <w:pStyle w:val="BodyText"/>
      </w:pPr>
      <w:r>
        <w:t xml:space="preserve">The gaze literature establishes that multiple eye-tracking features carry engagement-relevant information, but no prior work has systematically compared these features as reward signals for RL policy learning in a dialogue context. Daniel’s thesis generates six gaze features but uses only one (dwell time), explicitly identifying this as a limitation and recommending multi-feature exploration (§4.4). This thesis fills that gap by treating gaze feature selection as a first-class research question: which features, individually and in combination, provide the most informative signal for learning engagement-adaptive dialogue policies?</w:t>
      </w:r>
    </w:p>
    <w:p>
      <w:pPr>
        <w:pStyle w:val="BodyText"/>
      </w:pPr>
      <w:r>
        <w:t xml:space="preserve">2.4 Actor-Critic Methods for Dialogue Management</w:t>
      </w:r>
    </w:p>
    <w:p>
      <w:pPr>
        <w:pStyle w:val="BodyText"/>
      </w:pPr>
      <w:r>
        <w:t xml:space="preserve">This section provides the methodological grounding for the flat A2C architecture used in Daniel’s codebase and retained in this thesis.</w:t>
      </w:r>
    </w:p>
    <w:p>
      <w:pPr>
        <w:pStyle w:val="BodyText"/>
      </w:pPr>
      <w:r>
        <w:t xml:space="preserve">2.4.1 Sample-Efficient Actor-Critic Methods</w:t>
      </w:r>
    </w:p>
    <w:p>
      <w:pPr>
        <w:pStyle w:val="BodyText"/>
      </w:pPr>
      <w:r>
        <w:t xml:space="preserve">Su et al. (2017b) introduce three actor-critic methods for dialogue management: Advantage Actor-Critic (A2C), Trust Region Actor-Critic (TRACER), and episodic Natural Actor-Critic with Experience Replay (eNACER). The contribution is combining policy-based learning (for stable convergence) with value-based critics (for variance reduction) and experience replay (for sample efficiency). A2C uses the advantage function A(b, a) = Q(b, a) − V(b) to reduce gradient variance, while TRACER adds a trust region constraint to prevent destructively large policy updates.</w:t>
      </w:r>
    </w:p>
    <w:p>
      <w:pPr>
        <w:pStyle w:val="BodyText"/>
      </w:pPr>
      <w:r>
        <w:t xml:space="preserve">The paper also demonstrates a two-stage training paradigm: supervised learning pre-training followed by RL fine-tuning. Policies pre-trained on a small dialogue corpus and then fine-tuned with RL outperform policies trained from scratch, achieving faster initial learning and higher final performance. The combination of TRACER with supervised pre-training produces the best overall results: robust initial performance, rapid learning, and high final success rate.</w:t>
      </w:r>
    </w:p>
    <w:p>
      <w:pPr>
        <w:pStyle w:val="BodyText"/>
      </w:pPr>
      <w:r>
        <w:t xml:space="preserve">This work grounds the architectural choice in Daniel’s thesis. His flat Actor-Critic agent uses A2C (the simplest of the three methods), without supervised pre-training. The Su et al. results suggest two potential improvements that are beyond the scope of this thesis but worth noting: replacing A2C with TRACER for more stable learning under noisy engagement signals, and using supervised pre-training from recorded museum dialogues to provide a better initial policy.</w:t>
      </w:r>
    </w:p>
    <w:p>
      <w:pPr>
        <w:pStyle w:val="BodyText"/>
      </w:pPr>
      <w:r>
        <w:t xml:space="preserve">2.4.2 Scaling Actor-Critic to Large Action Spaces</w:t>
      </w:r>
    </w:p>
    <w:p>
      <w:pPr>
        <w:pStyle w:val="BodyText"/>
      </w:pPr>
      <w:r>
        <w:t xml:space="preserve">Weisz et al. (2018) extend actor-critic methods to dialogue tasks with large action spaces. Their implementation of ACER (Actor-Critic with Experience Replay) combines truncated importance sampling, bias correction, the Retrace algorithm for efficient off-policy target computation, and a trust region constraint. They show that ACER trains significantly faster than existing neural network-based policy optimisers and, importantly, can operate directly in the</w:t>
      </w:r>
      <w:r>
        <w:t xml:space="preserve"> </w:t>
      </w:r>
      <w:r>
        <w:t xml:space="preserve">“</w:t>
      </w:r>
      <w:r>
        <w:t xml:space="preserve">master</w:t>
      </w:r>
      <w:r>
        <w:t xml:space="preserve">”</w:t>
      </w:r>
      <w:r>
        <w:t xml:space="preserve"> </w:t>
      </w:r>
      <w:r>
        <w:t xml:space="preserve">action space (the full set of system responses) rather than requiring hand-coded mappings to a reduced summary action space.</w:t>
      </w:r>
    </w:p>
    <w:p>
      <w:pPr>
        <w:pStyle w:val="BodyText"/>
      </w:pPr>
      <w:r>
        <w:t xml:space="preserve">The relevance to the museum domain is indirect but real. Daniel’s action space is relatively small (seven subactions across four options), but the thesis’s simulator improvement ladder may eventually introduce richer action sets (e.g., different explanation styles, adaptive questioning strategies). The Weisz et al. results establish that actor-critic methods can scale to substantially larger action spaces when equipped with appropriate off-policy corrections, providing a methodological safety net for future extensions.</w:t>
      </w:r>
    </w:p>
    <w:p>
      <w:pPr>
        <w:pStyle w:val="BodyText"/>
      </w:pPr>
      <w:r>
        <w:t xml:space="preserve">2.4.3 Engagement-Adaptive RL Dialogue as an Active Research Area</w:t>
      </w:r>
    </w:p>
    <w:p>
      <w:pPr>
        <w:pStyle w:val="BodyText"/>
      </w:pPr>
      <w:r>
        <w:t xml:space="preserve">Two recent papers confirm that engagement-adaptive RL dialogue is an active and growing area of research. Nandakishor and Anjali (2025) describe a Continuous Learning Conversational AI (CLCA) framework that uses A2C to optimise dialogue actions quantified by engagement and value-delivery metrics. Their system trains on synthetic sales dialogues generated by an LLM, with the A2C agent learning a policy that maps dialogue state representations (including dialogue embeddings and history statistics) to desired action metrics. At inference time, the A2C agent scores LLM-generated candidate responses against the learned policy, selecting the response that best aligns with the agent’s strategy.</w:t>
      </w:r>
    </w:p>
    <w:p>
      <w:pPr>
        <w:pStyle w:val="BodyText"/>
      </w:pPr>
      <w:r>
        <w:t xml:space="preserve">The CLCA framework shares several structural features with Daniel’s thesis: both use A2C as the RL algorithm, both define engagement as a continuous reward signal rather than a binary outcome, and both use LLM-generated text as the medium of agent output. The main difference is that CLCA optimises for sales-oriented metrics (engagement, value delivery, rapport) in a text-based domain, while Daniel’s system optimises for museum-specific metrics (gaze dwell, content coverage, visitor state transitions) in a VR/simulated domain. The CLCA work validates the general approach of using A2C to steer LLM-based conversational agents toward engagement objectives.</w:t>
      </w:r>
    </w:p>
    <w:p>
      <w:pPr>
        <w:pStyle w:val="BodyText"/>
      </w:pPr>
      <w:r>
        <w:t xml:space="preserve">Tang and Shang (2025) present AURA, a reinforcement-learning framework for adaptive conversational surveys. AURA quantifies engagement through a four-dimensional LSDE metric (Length, Self-disclosure, Emotion, and Specificity) and uses an ε-greedy policy to select follow-up question types that maximise predicted quality improvement. AURA also implements within-session learning: it begins each conversation with priors derived from 96 prior interactions and adapts in real time, discovering personalised strategies within 10-15 exchanges.</w:t>
      </w:r>
    </w:p>
    <w:p>
      <w:pPr>
        <w:pStyle w:val="BodyText"/>
      </w:pPr>
      <w:r>
        <w:t xml:space="preserve">For this thesis, AURA’s contribution is conceptual. It shows that within-session engagement adaptation via RL is feasible and produces measurable quality improvements (+0.076 mean gain, p = 0.044, d = 0.66). Its multi-dimensional engagement metric (LSDE) echoes Pillar 3’s push to move beyond single-feature engagement signals: just as AURA uses four linguistic quality dimensions instead of a single engagement score, this thesis proposes using multiple gaze features instead of dwell time alone. AURA does operate in a very different domain (text-based surveys with linguistic engagement signals) and uses a simple tabular RL method rather than a neural actor-critic. The distance between AURA’s linguistic engagement metrics and the gaze-based metrics in this thesis is a reminder that engagement means something different when measured through language versus through eye movements; domain-specific signal design is not optional.</w:t>
      </w:r>
    </w:p>
    <w:p>
      <w:pPr>
        <w:pStyle w:val="BodyText"/>
      </w:pPr>
      <w:r>
        <w:t xml:space="preserve">2.5 Museum Guide Agents</w:t>
      </w:r>
    </w:p>
    <w:p>
      <w:pPr>
        <w:pStyle w:val="BodyText"/>
      </w:pPr>
      <w:r>
        <w:t xml:space="preserve">Conversational museum guide agents have a research history spanning more than two decades, though the vast majority of systems are rule-based rather than learned. Early systems such as those developed by Kopp et al. (2005) demonstrated the feasibility of embodied conversational agents in museum settings, with hand-authored dialogue scripts and fixed interaction patterns. These systems established the application domain and showed visitor interest in conversational guidance, but they could not adapt to individual visitor needs, engagement levels, or pacing preferences.</w:t>
      </w:r>
    </w:p>
    <w:p>
      <w:pPr>
        <w:pStyle w:val="BodyText"/>
      </w:pPr>
      <w:r>
        <w:t xml:space="preserve">Daniel’s thesis brings together three previously separate capabilities: RL-based dialogue policy learning, gaze-based engagement sensing, and museum domain knowledge. His system is, to the best of available knowledge, the first to close the loop between gaze-based engagement signals and RL-based dialogue policy learning in a museum context. Prior systems either used gaze for post-hoc analysis (studying where visitors looked after the visit), used RL for task-oriented dialogue (where success is binary task completion rather than continuous engagement), or used rule-based dialogue in museums (where the guide script is fixed regardless of visitor behaviour).</w:t>
      </w:r>
    </w:p>
    <w:p>
      <w:pPr>
        <w:pStyle w:val="BodyText"/>
      </w:pPr>
      <w:r>
        <w:t xml:space="preserve">The gap that Daniel’s thesis fills, and that this thesis extends, is the integration of these components into a single adaptive system. The limitations that this thesis addresses (simulator fidelity, reward pathologies, single-feature engagement) are not specific to the museum domain but show up most clearly there, because museum engagement is continuous, multi-dimensional, and sensitive to pacing and content delivery. These properties expose the limitations of simple simulators, non-negative rewards, and single-feature signals more sharply than binary task-completion settings would.</w:t>
      </w:r>
    </w:p>
    <w:p>
      <w:pPr>
        <w:pStyle w:val="BodyText"/>
      </w:pPr>
      <w:r>
        <w:t xml:space="preserve">2.6 Cross-Thread Connections and Synthesis</w:t>
      </w:r>
    </w:p>
    <w:p>
      <w:pPr>
        <w:pStyle w:val="BodyText"/>
      </w:pPr>
      <w:r>
        <w:t xml:space="preserve">The five threads above are not independent. Several connections between them shape the design of this thesis.</w:t>
      </w:r>
    </w:p>
    <w:p>
      <w:pPr>
        <w:pStyle w:val="BodyText"/>
      </w:pPr>
      <w:r>
        <w:t xml:space="preserve">Start with the interaction between simulator fidelity and reward design. A reward function is only as good as the signal it processes. A perfectly designed reward function cannot compensate for a simulator that produces ambiguous engagement signals. If dwell ranges overlap so heavily that the agent cannot distinguish engaged from confused visitors, no reward transformation will resolve the credit assignment problem. Conversely, a clear, discriminative simulator signal may make sophisticated reward shaping unnecessary. This interaction motivates the thesis’s experimental design: the reward reformulation (Pillar 1) and the simulator improvement ladder (Pillar 2) must be evaluated jointly to determine whether their benefits are additive, redundant, or synergistic.</w:t>
      </w:r>
    </w:p>
    <w:p>
      <w:pPr>
        <w:pStyle w:val="BodyText"/>
      </w:pPr>
      <w:r>
        <w:t xml:space="preserve">Gaze features sit at the junction of engagement rewards and simulator design. Which gaze feature is used as the engagement signal (Pillar 3) affects the reward function (which takes gaze-derived values as input) and the simulator (which must generate realistic values for the chosen features). Dwell time is the simplest feature to simulate because it is a single scalar derived from an easily modelled process (proportion of time within an AOI). Gaze entropy and saccade span are more complex to simulate because they depend on spatial gaze distributions that require more detailed modelling. Adopting multi-feature engagement signals may therefore create new demands on simulator fidelity, and that tension needs to be managed.</w:t>
      </w:r>
    </w:p>
    <w:p>
      <w:pPr>
        <w:pStyle w:val="BodyText"/>
      </w:pPr>
      <w:r>
        <w:t xml:space="preserve">There is also a constraint from potential-based shaping theory. The Ng et al. (1999) guarantee holds for MDPs, and simulators define the transition dynamics of the MDP that the agent learns in. If the simulator’s transitions are unrealistic, the optimal policy in the shaped MDP may not be optimal in the real environment, even if the shaping is potential-based. This means that policy invariance is necessary but not sufficient for good reward design: the guarantee is relative to the MDP defined by the simulator, not to the real world. Improving simulator fidelity therefore strengthens the value of theoretically grounded reward shaping, because the MDP over which invariance is guaranteed becomes a closer approximation to reality.</w:t>
      </w:r>
    </w:p>
    <w:p>
      <w:pPr>
        <w:pStyle w:val="BodyText"/>
      </w:pPr>
      <w:r>
        <w:t xml:space="preserve">Finally, the actor-critic architecture constrains what the agent can actually learn from. The flat A2C architecture processes a 143-dimensional state vector at each turn. The richness of the simulator’s engagement signals and the structure of the reward function must be compatible with the agent’s capacity to represent and learn from this information. Very high-fidelity simulators that produce subtle, multi-feature engagement signals may require richer state representations or more powerful function approximators than the current architecture provides. This thesis does not change the architecture, which means that simulator and reward improvements must remain within the learning capacity of the flat A2C agent.</w:t>
      </w:r>
    </w:p>
    <w:p>
      <w:pPr>
        <w:pStyle w:val="BodyText"/>
      </w:pPr>
      <w:r>
        <w:t xml:space="preserve">2.7 Summary</w:t>
      </w:r>
    </w:p>
    <w:p>
      <w:pPr>
        <w:pStyle w:val="BodyText"/>
      </w:pPr>
      <w:r>
        <w:t xml:space="preserve">Three gaps emerge from this review. The simulator design literature shows that fidelity is a first-order variable for policy quality (Shi et al., 2019; Keizer et al., 2019), but no one has run a controlled, incremental study of how specific fidelity improvements affect engagement-adaptive dialogue policies. That is Pillar 2. The reward shaping literature provides a rigorous theoretical framework (Ng et al., 1999) and dialogue-specific applications (Su et al., 2017), but the specific pathologies in Daniel’s reward function (asymmetric engagement, structural novelty bias) remain unaddressed. That is Pillar 1. The gaze literature shows that multiple eye-tracking features carry engagement-relevant information (Warwick et al., 2025; Bozkir et al., 2021; Kim et al., 2023), but no one has compared these features as RL reward signals for dialogue policy learning. That is Pillar 3. These gaps motivate the three research questions that structure the remainder of this thesis.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2026-03-23T20:54:30Z</dcterms:created>
  <dcterms:modified xsi:type="dcterms:W3CDTF">2026-03-23T20:54:30Z</dcterms:modified>
</cp:coreProperties>
</file>

<file path=docProps/custom.xml><?xml version="1.0" encoding="utf-8"?>
<Properties xmlns="http://schemas.openxmlformats.org/officeDocument/2006/custom-properties" xmlns:vt="http://schemas.openxmlformats.org/officeDocument/2006/docPropsVTypes"/>
</file>