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Times New Roman" w:cs="Times New Roman" w:eastAsia="Times New Roman" w:hAnsi="Times New Roman"/>
          <w:b/>
          <w:bCs/>
          <w:sz w:val="32"/>
          <w:szCs w:val="32"/>
        </w:rPr>
        <w:t xml:space="preserve">Against the Magash Consensus:</w:t>
      </w:r>
    </w:p>
    <w:p>
      <w:pPr>
        <w:spacing w:before="0" w:after="120"/>
        <w:jc w:val="center"/>
      </w:pPr>
      <w:r>
        <w:rPr>
          <w:rFonts w:ascii="Times New Roman" w:cs="Times New Roman" w:eastAsia="Times New Roman" w:hAnsi="Times New Roman"/>
          <w:b/>
          <w:bCs/>
          <w:sz w:val="28"/>
          <w:szCs w:val="28"/>
        </w:rPr>
        <w:t xml:space="preserve">Toward a Polyphonic Reading of the Spacer Ballad “Mouthpiece”</w:t>
      </w:r>
    </w:p>
    <w:p>
      <w:pPr>
        <w:spacing w:before="120" w:after="60"/>
        <w:jc w:val="center"/>
      </w:pPr>
      <w:r>
        <w:rPr>
          <w:rFonts w:ascii="Times New Roman" w:cs="Times New Roman" w:eastAsia="Times New Roman" w:hAnsi="Times New Roman"/>
          <w:i/>
          <w:iCs/>
          <w:sz w:val="24"/>
          <w:szCs w:val="24"/>
        </w:rPr>
        <w:t xml:space="preserve">Presented by: Torvald Ekke-Senn, Lecturer in Wilds-Era Oral Tradition</w:t>
      </w:r>
    </w:p>
    <w:p>
      <w:pPr>
        <w:spacing w:before="0" w:after="60"/>
        <w:jc w:val="center"/>
      </w:pPr>
      <w:r>
        <w:rPr>
          <w:rFonts w:ascii="Times New Roman" w:cs="Times New Roman" w:eastAsia="Times New Roman" w:hAnsi="Times New Roman"/>
          <w:i/>
          <w:iCs/>
          <w:sz w:val="24"/>
          <w:szCs w:val="24"/>
        </w:rPr>
        <w:t xml:space="preserve">Institute for Comparative Vernacular Studies, University of Rhylanor</w:t>
      </w:r>
    </w:p>
    <w:p>
      <w:pPr>
        <w:spacing w:before="0" w:after="240"/>
        <w:jc w:val="center"/>
      </w:pPr>
      <w:r>
        <w:rPr>
          <w:rFonts w:ascii="Times New Roman" w:cs="Times New Roman" w:eastAsia="Times New Roman" w:hAnsi="Times New Roman"/>
          <w:sz w:val="22"/>
          <w:szCs w:val="22"/>
        </w:rPr>
        <w:t xml:space="preserve">Response Paper, Symposium on Vernacular Astropolitics, Republic of Regina Cultural Institute, 1902</w:t>
      </w:r>
    </w:p>
    <w:p>
      <w:r>
        <w:t xml:space="preserve"/>
      </w:r>
    </w:p>
    <w:p>
      <w:pPr>
        <w:spacing w:before="360" w:after="180"/>
      </w:pPr>
      <w:r>
        <w:rPr>
          <w:rFonts w:ascii="Times New Roman" w:cs="Times New Roman" w:eastAsia="Times New Roman" w:hAnsi="Times New Roman"/>
          <w:b/>
          <w:bCs/>
          <w:sz w:val="28"/>
          <w:szCs w:val="28"/>
        </w:rPr>
        <w:t xml:space="preserve">Abstract</w:t>
      </w:r>
    </w:p>
    <w:p>
      <w:pPr>
        <w:spacing w:before="0" w:after="160"/>
        <w:jc w:val="both"/>
      </w:pPr>
      <w:r>
        <w:rPr>
          <w:rFonts w:ascii="Times New Roman" w:cs="Times New Roman" w:eastAsia="Times New Roman" w:hAnsi="Times New Roman"/>
          <w:sz w:val="24"/>
          <w:szCs w:val="24"/>
        </w:rPr>
        <w:t xml:space="preserve">The paper delivered by Associate Lecturer Sochava-Ault to this symposium represents a confident and in many respects admirable piece of close reading. This response does not dispute its scholarship so much as its certainty. The Magash-consensus interpretation of “Mouthpiece” — the reading that treats the song as a systematic political critique of the Limmu Bukara, encoded in vernacular idiom for grey-market audiences — has accumulated sufficient institutional momentum to have begun foreclosing rather than opening inquiry. This paper argues for three alternative interpretive frameworks, each of which accounts for the evidence as well as or better than the standard reading, and each of which the Magash-consensus has systematically suppressed, dismissed, or failed to consider. The three frameworks are: (I) the Vincennes-Elegy interpretation, which locates the song’s affective center not in Magash but in the abandoned system of Vincennes and reads the song as a lament in the tradition of the Grey-Port dirge cycle; (II) the Lurent-Contact hypothesis, which argues that the song’s distinctive prosody and structural grammar derive from Lurent worldship oral culture, making it a hybrid text that encodes non-human epistemology as much as human political critique; and (III) the Anti-Regina reading, which takes seriously the possibility that the song’s political target is not the Sabine Empire but the Republic of Regina itself, whose self-presentation as the legitimate inheritor of Imperial order is subjected to the same satirical dissolution that the Magash-consensus attributes to Mora. The paper concludes that “Mouthpiece” is most productively understood as a polysemic text whose interpretive openness is a deliberate structural feature, not an obstacle to be overcome.</w:t>
      </w:r>
    </w:p>
    <w:p>
      <w:r>
        <w:t xml:space="preserve"/>
      </w:r>
    </w:p>
    <w:p>
      <w:pPr>
        <w:spacing w:before="360" w:after="180"/>
      </w:pPr>
      <w:r>
        <w:rPr>
          <w:rFonts w:ascii="Times New Roman" w:cs="Times New Roman" w:eastAsia="Times New Roman" w:hAnsi="Times New Roman"/>
          <w:b/>
          <w:bCs/>
          <w:sz w:val="28"/>
          <w:szCs w:val="28"/>
        </w:rPr>
        <w:t xml:space="preserve">I. Introduction: The Problem of the Comfortable Consensus</w:t>
      </w:r>
    </w:p>
    <w:p>
      <w:pPr>
        <w:spacing w:before="0" w:after="160"/>
        <w:jc w:val="both"/>
      </w:pPr>
      <w:r>
        <w:rPr>
          <w:rFonts w:ascii="Times New Roman" w:cs="Times New Roman" w:eastAsia="Times New Roman" w:hAnsi="Times New Roman"/>
          <w:sz w:val="24"/>
          <w:szCs w:val="24"/>
        </w:rPr>
        <w:t xml:space="preserve">There is a certain kind of academic paper that arrives at a symposium already knowing its conclusion. The evidence marshalled is real, the close reading often genuinely illuminating, the political claims internally coherent — and yet the analysis has, somewhere between the abstract and the bibliography, sealed itself against surprise. Associate Lecturer Sochava-Ault’s paper on “Mouthpiece” is such a paper. It is excellent scholarship in the service of an interpretation that has, in the decade since the song entered wider academic circulation, become the default reading so completely that to question it now requires a certain willingness to appear contrarian.</w:t>
      </w:r>
    </w:p>
    <w:p>
      <w:pPr>
        <w:spacing w:before="0" w:after="160"/>
        <w:jc w:val="both"/>
      </w:pPr>
      <w:r>
        <w:rPr>
          <w:rFonts w:ascii="Times New Roman" w:cs="Times New Roman" w:eastAsia="Times New Roman" w:hAnsi="Times New Roman"/>
          <w:sz w:val="24"/>
          <w:szCs w:val="24"/>
        </w:rPr>
        <w:t xml:space="preserve">This paper is willing to appear contrarian.</w:t>
      </w:r>
    </w:p>
    <w:p>
      <w:pPr>
        <w:spacing w:before="0" w:after="160"/>
        <w:jc w:val="both"/>
      </w:pPr>
      <w:r>
        <w:rPr>
          <w:rFonts w:ascii="Times New Roman" w:cs="Times New Roman" w:eastAsia="Times New Roman" w:hAnsi="Times New Roman"/>
          <w:sz w:val="24"/>
          <w:szCs w:val="24"/>
        </w:rPr>
        <w:t xml:space="preserve">The Magash-consensus reading has a seductive coherence. The song circulates in spaces adjacent to the Sabine Empire’s grey markets. It references, or appears to reference, the tripartite structure of the Limmu Bukara. Its language of “rust” and “silver,” of cargo that “hums,” of riddled gates and deals half-dead, maps neatly onto what we know — or think we know — of Magash’s Startown. The problem is that a song sufficiently rich in political ambiguity will map neatly onto almost anything the analyst is prepared to project onto it, particularly when the analyst begins with a thesis and works backward through the text. The Magash-consensus interpretation has seventeen oral transcriptions; it also has the institutional prestige of the Republic of Regina Cultural Institute as sponsor, which is to say it has a funder whose political interests are not served by a reading of the song that turns its satirical eye toward Regina rather than toward the trailing-border empire that threatens Rhylanor’s defenses.</w:t>
      </w:r>
    </w:p>
    <w:p>
      <w:pPr>
        <w:spacing w:before="0" w:after="160"/>
        <w:jc w:val="both"/>
      </w:pPr>
      <w:r>
        <w:rPr>
          <w:rFonts w:ascii="Times New Roman" w:cs="Times New Roman" w:eastAsia="Times New Roman" w:hAnsi="Times New Roman"/>
          <w:sz w:val="24"/>
          <w:szCs w:val="24"/>
        </w:rPr>
        <w:t xml:space="preserve">I raise the funding question not to impugn Sochava-Ault’s integrity, which I have no reason to doubt, but because interpretive frameworks do not emerge from a vacuum, and the Magash-consensus did not become the default reading through purely scholarly processes. It became the default reading in part because it is useful to the Republic, which has reasons to prefer analyses of Wilds-era vernacular culture that locate predation and disorder firmly in the Sabine Empire rather than distributing them more evenhandedly among all the major polities, including itself. A song that condemns Magash is a song that serves Regina’s foreign policy. A song that condemns everyone equally is considerably more embarrassing.</w:t>
      </w:r>
    </w:p>
    <w:p>
      <w:pPr>
        <w:spacing w:before="0" w:after="160"/>
        <w:jc w:val="both"/>
      </w:pPr>
      <w:r>
        <w:rPr>
          <w:rFonts w:ascii="Times New Roman" w:cs="Times New Roman" w:eastAsia="Times New Roman" w:hAnsi="Times New Roman"/>
          <w:sz w:val="24"/>
          <w:szCs w:val="24"/>
        </w:rPr>
        <w:t xml:space="preserve">With that caveat registered, let me proceed to the substance of the three alternative readings this paper proposes.</w:t>
      </w:r>
    </w:p>
    <w:p>
      <w:r>
        <w:t xml:space="preserve"/>
      </w:r>
    </w:p>
    <w:p>
      <w:pPr>
        <w:spacing w:before="360" w:after="180"/>
      </w:pPr>
      <w:r>
        <w:rPr>
          <w:rFonts w:ascii="Times New Roman" w:cs="Times New Roman" w:eastAsia="Times New Roman" w:hAnsi="Times New Roman"/>
          <w:b/>
          <w:bCs/>
          <w:sz w:val="28"/>
          <w:szCs w:val="28"/>
        </w:rPr>
        <w:t xml:space="preserve">II. The Vincennes-Elegy Interpretation</w:t>
      </w:r>
    </w:p>
    <w:p>
      <w:pPr>
        <w:spacing w:before="240" w:after="120"/>
      </w:pPr>
      <w:r>
        <w:rPr>
          <w:rFonts w:ascii="Times New Roman" w:cs="Times New Roman" w:eastAsia="Times New Roman" w:hAnsi="Times New Roman"/>
          <w:b/>
          <w:bCs/>
          <w:i/>
          <w:iCs/>
          <w:sz w:val="24"/>
          <w:szCs w:val="24"/>
        </w:rPr>
        <w:t xml:space="preserve">II.i The Problem of the Named System</w:t>
      </w:r>
    </w:p>
    <w:p>
      <w:pPr>
        <w:spacing w:before="0" w:after="160"/>
        <w:jc w:val="both"/>
      </w:pPr>
      <w:r>
        <w:rPr>
          <w:rFonts w:ascii="Times New Roman" w:cs="Times New Roman" w:eastAsia="Times New Roman" w:hAnsi="Times New Roman"/>
          <w:sz w:val="24"/>
          <w:szCs w:val="24"/>
        </w:rPr>
        <w:t xml:space="preserve">In Sochava-Ault’s reading, Vincennes appears in the second verse as an example of geopolitical abandonment — a named victim whose fall illustrates the broader thesis about great-power non-interference. The paper spends approximately two paragraphs on Vincennes before moving on to what it treats as the more philosophically substantial material of the bridge and final verse. This is, I would argue, exactly the wrong allocation of analytical attention.</w:t>
      </w:r>
    </w:p>
    <w:p>
      <w:pPr>
        <w:spacing w:before="0" w:after="160"/>
        <w:jc w:val="both"/>
      </w:pPr>
      <w:r>
        <w:rPr>
          <w:rFonts w:ascii="Times New Roman" w:cs="Times New Roman" w:eastAsia="Times New Roman" w:hAnsi="Times New Roman"/>
          <w:sz w:val="24"/>
          <w:szCs w:val="24"/>
        </w:rPr>
        <w:t xml:space="preserve">Vincennes is the only named victim in the song. Mora and Regina appear by name as well, but they appear as agents — Mora’s velvet hand, Regina’s quiet fade, Regina’s shade — as actors within the song’s political economy. Vincennes appears only once, only passively, only as the object of betrayal: “What’s Vincennes, if not betrayed.” It is the only proper noun in the song that has nothing done by it, only things done to it. In a text that has otherwise distributed agency with considerable care — naming three worlds without naming them, referencing a figure of authority without naming her, gesturing toward sovereign-gold laundering without identifying any specific polity as the launderer — the eruption of a passive, victimized proper noun is a structural anomaly of considerable interpretive importance. The Magash-consensus treats it as merely the most pointed example in a series of examples. I want to argue that it is, rather, the emotional center around which the rest of the song organizes itself.</w:t>
      </w:r>
    </w:p>
    <w:p>
      <w:pPr>
        <w:spacing w:before="0" w:after="160"/>
        <w:jc w:val="both"/>
      </w:pPr>
      <w:r>
        <w:rPr>
          <w:rFonts w:ascii="Times New Roman" w:cs="Times New Roman" w:eastAsia="Times New Roman" w:hAnsi="Times New Roman"/>
          <w:sz w:val="24"/>
          <w:szCs w:val="24"/>
        </w:rPr>
        <w:t xml:space="preserve">Consider the prosodic shift at the moment Vincennes is named. The second verse’s rhetorical questions have maintained a consistent interrogative rhythm up to that point — the accumulation of “who wore,” “who smiled,” “what’s wild,” “what’s pirate” establishes a chant-like momentum of accusation without target. When Vincennes appears, it breaks that rhythm:</w:t>
      </w:r>
    </w:p>
    <w:p>
      <w:pPr>
        <w:spacing w:before="80" w:after="80"/>
        <w:ind w:left="720" w:right="720"/>
        <w:jc w:val="both"/>
      </w:pPr>
      <w:r>
        <w:rPr>
          <w:rFonts w:ascii="Times New Roman" w:cs="Times New Roman" w:eastAsia="Times New Roman" w:hAnsi="Times New Roman"/>
          <w:i/>
          <w:iCs/>
          <w:sz w:val="22"/>
          <w:szCs w:val="22"/>
        </w:rPr>
        <w:t xml:space="preserve">What’s Vincennes, if not betrayed / By Mora’s hush and Regina’s shade?</w:t>
      </w:r>
    </w:p>
    <w:p>
      <w:pPr>
        <w:spacing w:before="0" w:after="160"/>
        <w:jc w:val="both"/>
      </w:pPr>
      <w:r>
        <w:rPr>
          <w:rFonts w:ascii="Times New Roman" w:cs="Times New Roman" w:eastAsia="Times New Roman" w:hAnsi="Times New Roman"/>
          <w:sz w:val="24"/>
          <w:szCs w:val="24"/>
        </w:rPr>
        <w:t xml:space="preserve">This is not a rhetorical question. It has the grammatical form of one, but it functions as an assertion: Vincennes is betrayal. It is not asking what Vincennes is; it is stating what Vincennes means. The named system is the wound around which the song’s accusatory energy has been organizing from the beginning.</w:t>
      </w:r>
    </w:p>
    <w:p>
      <w:pPr>
        <w:spacing w:before="240" w:after="120"/>
      </w:pPr>
      <w:r>
        <w:rPr>
          <w:rFonts w:ascii="Times New Roman" w:cs="Times New Roman" w:eastAsia="Times New Roman" w:hAnsi="Times New Roman"/>
          <w:b/>
          <w:bCs/>
          <w:i/>
          <w:iCs/>
          <w:sz w:val="24"/>
          <w:szCs w:val="24"/>
        </w:rPr>
        <w:t xml:space="preserve">II.ii Vincennes as Primary Subject</w:t>
      </w:r>
    </w:p>
    <w:p>
      <w:pPr>
        <w:spacing w:before="0" w:after="160"/>
        <w:jc w:val="both"/>
      </w:pPr>
      <w:r>
        <w:rPr>
          <w:rFonts w:ascii="Times New Roman" w:cs="Times New Roman" w:eastAsia="Times New Roman" w:hAnsi="Times New Roman"/>
          <w:sz w:val="24"/>
          <w:szCs w:val="24"/>
        </w:rPr>
        <w:t xml:space="preserve">If we read the song’s primary subject not as Magash-as-predator but as Vincennes-as-abandoned, the structural organization of the text changes significantly. The opening’s transactional pragmatism — “only what you’ll give” — becomes less a characterization of grey-market commerce and more a bitter description of what the great powers offered a collapsing system: exactly what they chose to give, which was nothing. The “mouth” that knows and trades and forgets nothing is not Magash’s Startown but the accumulated historical record of abandonment — the song itself, which performs the function of memory that the powers prefer to deny.</w:t>
      </w:r>
    </w:p>
    <w:p>
      <w:pPr>
        <w:spacing w:before="0" w:after="160"/>
        <w:jc w:val="both"/>
      </w:pPr>
      <w:r>
        <w:rPr>
          <w:rFonts w:ascii="Times New Roman" w:cs="Times New Roman" w:eastAsia="Times New Roman" w:hAnsi="Times New Roman"/>
          <w:sz w:val="24"/>
          <w:szCs w:val="24"/>
        </w:rPr>
        <w:t xml:space="preserve">The Grey-Port dirge cycle, with which the song clearly shares formal elements — the call-and-response structure, the rhetorical accumulation of unanswered questions, the epigrammatic closing — is a tradition organized around exactly this kind of memorial function. Songs in the dirge cycle preserve the names of systems and communities that official records have allowed to fade, and they do so specifically by refusing to offer comfort. The dirge does not mourn; it accuses. It keeps the name alive precisely because keeping the name alive is itself an act of political resistance against the forgetting that serves the powerful.</w:t>
      </w:r>
    </w:p>
    <w:p>
      <w:pPr>
        <w:spacing w:before="0" w:after="160"/>
        <w:jc w:val="both"/>
      </w:pPr>
      <w:r>
        <w:rPr>
          <w:rFonts w:ascii="Times New Roman" w:cs="Times New Roman" w:eastAsia="Times New Roman" w:hAnsi="Times New Roman"/>
          <w:sz w:val="24"/>
          <w:szCs w:val="24"/>
        </w:rPr>
        <w:t xml:space="preserve">Under this reading, the song’s practical final stanza — its apparent instruction manual for grey-market access — is a kind of bitter irony: the only advice available to the inhabitants of a Vincennes-type system, having been abandoned by both Mora and Regina, is to learn the grammar of the grey market. Because that is what is left. The mouth does not shout; it hums. The survivors learn to hum with it, or they do not survive.</w:t>
      </w:r>
    </w:p>
    <w:p>
      <w:r>
        <w:t xml:space="preserve"/>
      </w:r>
    </w:p>
    <w:p>
      <w:pPr>
        <w:spacing w:before="360" w:after="180"/>
      </w:pPr>
      <w:r>
        <w:rPr>
          <w:rFonts w:ascii="Times New Roman" w:cs="Times New Roman" w:eastAsia="Times New Roman" w:hAnsi="Times New Roman"/>
          <w:b/>
          <w:bCs/>
          <w:sz w:val="28"/>
          <w:szCs w:val="28"/>
        </w:rPr>
        <w:t xml:space="preserve">III. The Lurent-Contact Hypothesis</w:t>
      </w:r>
    </w:p>
    <w:p>
      <w:pPr>
        <w:spacing w:before="240" w:after="120"/>
      </w:pPr>
      <w:r>
        <w:rPr>
          <w:rFonts w:ascii="Times New Roman" w:cs="Times New Roman" w:eastAsia="Times New Roman" w:hAnsi="Times New Roman"/>
          <w:b/>
          <w:bCs/>
          <w:i/>
          <w:iCs/>
          <w:sz w:val="24"/>
          <w:szCs w:val="24"/>
        </w:rPr>
        <w:t xml:space="preserve">III.i Prosodic Anomalies and Their Sources</w:t>
      </w:r>
    </w:p>
    <w:p>
      <w:pPr>
        <w:spacing w:before="0" w:after="160"/>
        <w:jc w:val="both"/>
      </w:pPr>
      <w:r>
        <w:rPr>
          <w:rFonts w:ascii="Times New Roman" w:cs="Times New Roman" w:eastAsia="Times New Roman" w:hAnsi="Times New Roman"/>
          <w:sz w:val="24"/>
          <w:szCs w:val="24"/>
        </w:rPr>
        <w:t xml:space="preserve">The Magash-consensus reads the song’s formal properties — its call-and-response structure, its tolerance for unanswered questions, its non-linear movement between political critique and practical instruction — as features of the Grey-Port oral tradition. I do not dispute that these features overlap with Grey-Port conventions. I want to argue that they overlap equally well, and perhaps better, with the oral traditions documented in the handful of scholars who have managed to spend time aboard Lurent worldships.</w:t>
      </w:r>
    </w:p>
    <w:p>
      <w:pPr>
        <w:spacing w:before="0" w:after="160"/>
        <w:jc w:val="both"/>
      </w:pPr>
      <w:r>
        <w:rPr>
          <w:rFonts w:ascii="Times New Roman" w:cs="Times New Roman" w:eastAsia="Times New Roman" w:hAnsi="Times New Roman"/>
          <w:sz w:val="24"/>
          <w:szCs w:val="24"/>
        </w:rPr>
        <w:t xml:space="preserve">The Lurent are among the most understudied sophont groups in the Wilds. This is partly a consequence of their operational secrecy, partly a consequence of the risk involved in seeking them out, and partly a consequence of the institutional indifference of academic bodies — including, I note, the Republic of Regina Cultural Institute — toward non-human oral traditions. What we do know is that Lurent worldship culture organizes knowledge transmission around a distinctive oral form that combines interrogative accumulation, non-resolution, and what the few published accounts describe as an aesthetics of “cargo-music” — a practice of encoding navigational and commercial information within song, specifically so that the information can be transmitted across inter-clan contact situations without being immediately legible to hostile observers.</w:t>
      </w:r>
    </w:p>
    <w:p>
      <w:pPr>
        <w:spacing w:before="0" w:after="160"/>
        <w:jc w:val="both"/>
      </w:pPr>
      <w:r>
        <w:rPr>
          <w:rFonts w:ascii="Times New Roman" w:cs="Times New Roman" w:eastAsia="Times New Roman" w:hAnsi="Times New Roman"/>
          <w:sz w:val="24"/>
          <w:szCs w:val="24"/>
        </w:rPr>
        <w:t xml:space="preserve">The parallels with “Mouthpiece” are not superficial. The song’s most distinctive formal property — its use of rhetorical questions whose answers are never supplied, forcing the listener to either supply them from existing knowledge or acknowledge ignorance — is precisely the technique that cargo-music uses to restrict information access. Someone who knows the answers hears a song full of content. Someone who does not know the answers hears only questions.</w:t>
      </w:r>
    </w:p>
    <w:p>
      <w:pPr>
        <w:spacing w:before="240" w:after="120"/>
      </w:pPr>
      <w:r>
        <w:rPr>
          <w:rFonts w:ascii="Times New Roman" w:cs="Times New Roman" w:eastAsia="Times New Roman" w:hAnsi="Times New Roman"/>
          <w:b/>
          <w:bCs/>
          <w:i/>
          <w:iCs/>
          <w:sz w:val="24"/>
          <w:szCs w:val="24"/>
        </w:rPr>
        <w:t xml:space="preserve">III.ii The 1883 Vincennes Oort Incident and Compositional Dating</w:t>
      </w:r>
    </w:p>
    <w:p>
      <w:pPr>
        <w:spacing w:before="0" w:after="160"/>
        <w:jc w:val="both"/>
      </w:pPr>
      <w:r>
        <w:rPr>
          <w:rFonts w:ascii="Times New Roman" w:cs="Times New Roman" w:eastAsia="Times New Roman" w:hAnsi="Times New Roman"/>
          <w:sz w:val="24"/>
          <w:szCs w:val="24"/>
        </w:rPr>
        <w:t xml:space="preserve">If the Lurent-contact hypothesis has merit, it has implications for the dating of the song that the Magash-consensus has not considered. Sochava-Ault places composition “around three decades” before 1902, which would suggest origin sometime around the early 1870s. The Lurent-contact hypothesis suggests a more specific compositional anchor: the 1883 incident in the Vincennes Oort, when the worldship Stone Horizon was lost to corsair attack. This date falls tantalizingly close to the range Sochava-Ault’s estimate allows — a decade later, but well within the margin of error one must allow for a song whose transmission history is entirely oral — and where the Magash-consensus can offer only a milieu, the Lurent hypothesis offers an event. Clan Yavrek, devastated by that loss and absorbed into allied clans, would have had both the motive and the cultural practice to encode the loss of the Stone Horizon in a song that named Vincennes while obscuring its Lurent origins. The surviving clan members, scattered across the worldship network and making contact with human grey-market communities, would have transmitted the song into human oral circulation, where its Lurent structural features were gradually domesticated into the Grey-Port idiom.</w:t>
      </w:r>
    </w:p>
    <w:p>
      <w:pPr>
        <w:spacing w:before="0" w:after="160"/>
        <w:jc w:val="both"/>
      </w:pPr>
      <w:r>
        <w:rPr>
          <w:rFonts w:ascii="Times New Roman" w:cs="Times New Roman" w:eastAsia="Times New Roman" w:hAnsi="Times New Roman"/>
          <w:sz w:val="24"/>
          <w:szCs w:val="24"/>
        </w:rPr>
        <w:t xml:space="preserve">This would make “Mouthpiece” not a song about Magash composed by a human grey-market regular, but a Lurent memorial for Clan Yavrek that was subsequently absorbed into human oral tradition and reinterpreted. The mouth that ‘hums through wreckage’ would be, on this reading, the worldship itself — the Stone Horizon humming through the wreckage of the Vincennes Oort, its reactor still cycling as it fell. The “smuggler’s ring” that the song demands as entry credential may be a literal inter-clan recognition signal, not a metaphor for underworld connection.</w:t>
      </w:r>
    </w:p>
    <w:p>
      <w:pPr>
        <w:spacing w:before="0" w:after="160"/>
        <w:jc w:val="both"/>
      </w:pPr>
      <w:r>
        <w:rPr>
          <w:rFonts w:ascii="Times New Roman" w:cs="Times New Roman" w:eastAsia="Times New Roman" w:hAnsi="Times New Roman"/>
          <w:sz w:val="24"/>
          <w:szCs w:val="24"/>
        </w:rPr>
        <w:t xml:space="preserve">I offer this hypothesis with the caution that all Lurent-contact scholarship demands: the evidence is thin, the inference chain is long, and the people who could confirm or deny it are understandably reluctant to speak to Republic-affiliated researchers. But the hypothesis is not less supported by evidence than the Magash-consensus. It is supported by different evidence, which the consensus has simply not looked for.</w:t>
      </w:r>
    </w:p>
    <w:p>
      <w:r>
        <w:t xml:space="preserve"/>
      </w:r>
    </w:p>
    <w:p>
      <w:pPr>
        <w:spacing w:before="360" w:after="180"/>
      </w:pPr>
      <w:r>
        <w:rPr>
          <w:rFonts w:ascii="Times New Roman" w:cs="Times New Roman" w:eastAsia="Times New Roman" w:hAnsi="Times New Roman"/>
          <w:b/>
          <w:bCs/>
          <w:sz w:val="28"/>
          <w:szCs w:val="28"/>
        </w:rPr>
        <w:t xml:space="preserve">IV. The Anti-Regina Reading</w:t>
      </w:r>
    </w:p>
    <w:p>
      <w:pPr>
        <w:spacing w:before="240" w:after="120"/>
      </w:pPr>
      <w:r>
        <w:rPr>
          <w:rFonts w:ascii="Times New Roman" w:cs="Times New Roman" w:eastAsia="Times New Roman" w:hAnsi="Times New Roman"/>
          <w:b/>
          <w:bCs/>
          <w:i/>
          <w:iCs/>
          <w:sz w:val="24"/>
          <w:szCs w:val="24"/>
        </w:rPr>
        <w:t xml:space="preserve">IV.i The Politics of the Interpreter</w:t>
      </w:r>
    </w:p>
    <w:p>
      <w:pPr>
        <w:spacing w:before="0" w:after="160"/>
        <w:jc w:val="both"/>
      </w:pPr>
      <w:r>
        <w:rPr>
          <w:rFonts w:ascii="Times New Roman" w:cs="Times New Roman" w:eastAsia="Times New Roman" w:hAnsi="Times New Roman"/>
          <w:sz w:val="24"/>
          <w:szCs w:val="24"/>
        </w:rPr>
        <w:t xml:space="preserve">The third alternative interpretation is, I anticipate, the one most likely to generate resistance in this room, partly because it is the most politically uncomfortable and partly because it requires us to consider whether the scholarly apparatus that has built the Magash-consensus is itself part of the text’s political meaning.</w:t>
      </w:r>
    </w:p>
    <w:p>
      <w:pPr>
        <w:spacing w:before="0" w:after="160"/>
        <w:jc w:val="both"/>
      </w:pPr>
      <w:r>
        <w:rPr>
          <w:rFonts w:ascii="Times New Roman" w:cs="Times New Roman" w:eastAsia="Times New Roman" w:hAnsi="Times New Roman"/>
          <w:sz w:val="24"/>
          <w:szCs w:val="24"/>
        </w:rPr>
        <w:t xml:space="preserve">Sochava-Ault’s paper notes, with what appears to be unconscious irony, that the song “is nowhere in the official record” and that its value lies precisely in encoding knowledge that official documentation cannot. The paper then proceeds to produce a reading of the song that aligns very neatly with the official record of the Republic of Regina — that the Sabine Empire is dangerous, that Mora is corrupt, that the grey markets are a product of Wilds lawlessness rather than of deliberate political choices made by respectable states. The song’s critique, in the Magash-consensus, stops precisely where it would become most uncomfortable for a paper presented at a Republic of Regina Cultural Institute symposium.</w:t>
      </w:r>
    </w:p>
    <w:p>
      <w:pPr>
        <w:spacing w:before="0" w:after="160"/>
        <w:jc w:val="both"/>
      </w:pPr>
      <w:r>
        <w:rPr>
          <w:rFonts w:ascii="Times New Roman" w:cs="Times New Roman" w:eastAsia="Times New Roman" w:hAnsi="Times New Roman"/>
          <w:sz w:val="24"/>
          <w:szCs w:val="24"/>
        </w:rPr>
        <w:t xml:space="preserve">Let us try the song differently. Let us ask: what if the “mouth” is the Republic’s own apparatus of legitimation?</w:t>
      </w:r>
    </w:p>
    <w:p>
      <w:pPr>
        <w:spacing w:before="240" w:after="120"/>
      </w:pPr>
      <w:r>
        <w:rPr>
          <w:rFonts w:ascii="Times New Roman" w:cs="Times New Roman" w:eastAsia="Times New Roman" w:hAnsi="Times New Roman"/>
          <w:b/>
          <w:bCs/>
          <w:i/>
          <w:iCs/>
          <w:sz w:val="24"/>
          <w:szCs w:val="24"/>
        </w:rPr>
        <w:t xml:space="preserve">IV.ii The Republic as the Mouth</w:t>
      </w:r>
    </w:p>
    <w:p>
      <w:pPr>
        <w:spacing w:before="0" w:after="160"/>
        <w:jc w:val="both"/>
      </w:pPr>
      <w:r>
        <w:rPr>
          <w:rFonts w:ascii="Times New Roman" w:cs="Times New Roman" w:eastAsia="Times New Roman" w:hAnsi="Times New Roman"/>
          <w:sz w:val="24"/>
          <w:szCs w:val="24"/>
        </w:rPr>
        <w:t xml:space="preserve">Reread the opening against this hypothesis:</w:t>
      </w:r>
    </w:p>
    <w:p>
      <w:pPr>
        <w:spacing w:before="80" w:after="80"/>
        <w:ind w:left="720" w:right="720"/>
        <w:jc w:val="both"/>
      </w:pPr>
      <w:r>
        <w:rPr>
          <w:rFonts w:ascii="Times New Roman" w:cs="Times New Roman" w:eastAsia="Times New Roman" w:hAnsi="Times New Roman"/>
          <w:i/>
          <w:iCs/>
          <w:sz w:val="22"/>
          <w:szCs w:val="22"/>
        </w:rPr>
        <w:t xml:space="preserve">Who’s there? Just the mouth. / What’s it want? Only what you’ll give.</w:t>
      </w:r>
    </w:p>
    <w:p>
      <w:pPr>
        <w:spacing w:before="0" w:after="160"/>
        <w:jc w:val="both"/>
      </w:pPr>
      <w:r>
        <w:rPr>
          <w:rFonts w:ascii="Times New Roman" w:cs="Times New Roman" w:eastAsia="Times New Roman" w:hAnsi="Times New Roman"/>
          <w:sz w:val="24"/>
          <w:szCs w:val="24"/>
        </w:rPr>
        <w:t xml:space="preserve">The Republic of Regina presents itself as a neutral commercial and political space: a place that asks only for trade, only for compliance, only for what you choose to offer. Its grey-market tolerance — the smuggling opportunities that its own publications acknowledge are created by its embargo of Mora — is presented as an unfortunate side effect of necessary policy rather than a structural feature. But the embargo creates the smuggling market, and the Republic benefits from the smuggling market through taxation, through intelligence, through the grey-market connections that give its Wild Traders access to Wilds-space networks that formal diplomatic channels cannot reach. The mouth says it wants only what you’ll give. It has arranged the situation so that what you’ll give is exactly what it needs.</w:t>
      </w:r>
    </w:p>
    <w:p>
      <w:pPr>
        <w:spacing w:before="0" w:after="160"/>
        <w:jc w:val="both"/>
      </w:pPr>
      <w:r>
        <w:rPr>
          <w:rFonts w:ascii="Times New Roman" w:cs="Times New Roman" w:eastAsia="Times New Roman" w:hAnsi="Times New Roman"/>
          <w:sz w:val="24"/>
          <w:szCs w:val="24"/>
        </w:rPr>
        <w:t xml:space="preserve">The verse’s charge that someone “stitched the stars with stolen thread / then sold the map to those misled” describes the Republic’s own astrogation practices in the Wilds with reasonable precision. The navigation data that Republic-affiliated traders use to transit the Wilds is not all legitimately acquired. Some of it was captured, some purchased at morally questionable prices from systems in distress, some derived from Old Imperial surveys conducted under the authority of a state that no longer exists and whose heirs have never been asked for their consent. The Republic has sold access to this data as though it owns it, because possession in the Wilds is, as the song says, the basis of sovereignty.</w:t>
      </w:r>
    </w:p>
    <w:p>
      <w:pPr>
        <w:spacing w:before="0" w:after="160"/>
        <w:jc w:val="both"/>
      </w:pPr>
      <w:r>
        <w:rPr>
          <w:rFonts w:ascii="Times New Roman" w:cs="Times New Roman" w:eastAsia="Times New Roman" w:hAnsi="Times New Roman"/>
          <w:sz w:val="24"/>
          <w:szCs w:val="24"/>
        </w:rPr>
        <w:t xml:space="preserve">The charge that someone “smiled at Regina’s quiet fade, then built their walls from debts unpaid” is read by the Magash-consensus as a description of Magash’s response to the Republic’s declining power in the trailing border. But the phrase “Regina’s quiet fade” is odd as a description of a period when Regina was, apparently, powerful enough to be smiled at. It makes more sense as a description of the period of the Republic’s own formation, when the fading of the old Regency authority created the conditions under which the new Republic built its institutional walls — from the debts of incorporation that client systems are still paying off in the form of the tech embargo and its associated smuggling market.</w:t>
      </w:r>
    </w:p>
    <w:p>
      <w:pPr>
        <w:spacing w:before="240" w:after="120"/>
      </w:pPr>
      <w:r>
        <w:rPr>
          <w:rFonts w:ascii="Times New Roman" w:cs="Times New Roman" w:eastAsia="Times New Roman" w:hAnsi="Times New Roman"/>
          <w:b/>
          <w:bCs/>
          <w:i/>
          <w:iCs/>
          <w:sz w:val="24"/>
          <w:szCs w:val="24"/>
        </w:rPr>
        <w:t xml:space="preserve">IV.iii The Border Gates and Who Decides Them</w:t>
      </w:r>
    </w:p>
    <w:p>
      <w:pPr>
        <w:spacing w:before="0" w:after="160"/>
        <w:jc w:val="both"/>
      </w:pPr>
      <w:r>
        <w:rPr>
          <w:rFonts w:ascii="Times New Roman" w:cs="Times New Roman" w:eastAsia="Times New Roman" w:hAnsi="Times New Roman"/>
          <w:sz w:val="24"/>
          <w:szCs w:val="24"/>
        </w:rPr>
        <w:t xml:space="preserve">The final verse’s question — “who decides the border gates?” — is read by the Magash-consensus as the song’s political thesis: the answer is whoever has the guns, and Magash has the guns on the trailing border. But the question has another, equally valid answer for a Wilds-era audience: the Republic decides its own border gates, including the gate that defines what enters legitimate commerce and what enters the grey market. The Republic’s embargo is itself a border gate. Its licensing of Wild Traders is a border gate. Its decision about which systems it chooses to recognize and which it abandons to the Wilds — Vincennes among them — is a border gate.</w:t>
      </w:r>
    </w:p>
    <w:p>
      <w:pPr>
        <w:spacing w:before="0" w:after="160"/>
        <w:jc w:val="both"/>
      </w:pPr>
      <w:r>
        <w:rPr>
          <w:rFonts w:ascii="Times New Roman" w:cs="Times New Roman" w:eastAsia="Times New Roman" w:hAnsi="Times New Roman"/>
          <w:sz w:val="24"/>
          <w:szCs w:val="24"/>
        </w:rPr>
        <w:t xml:space="preserve">If the Anti-Regina reading is correct, the song’s final warning — “mind the price it asks of you” — is addressed not to someone approaching Magash’s Startown but to someone approaching the Republic of Regina’s institutional embrace. The price is real: it is paid in the form of dependence, in the acceptance of the Republic’s tech embargo and its consequences, in the acknowledgment of a legitimacy that the Republic asserts without having entirely earned. The Republic is the mouth. It smiles in rust and spits in silver. It answers only if you bring the right credentials. And it does not post its rates.</w:t>
      </w:r>
    </w:p>
    <w:p>
      <w:r>
        <w:t xml:space="preserve"/>
      </w:r>
    </w:p>
    <w:p>
      <w:pPr>
        <w:spacing w:before="360" w:after="180"/>
      </w:pPr>
      <w:r>
        <w:rPr>
          <w:rFonts w:ascii="Times New Roman" w:cs="Times New Roman" w:eastAsia="Times New Roman" w:hAnsi="Times New Roman"/>
          <w:b/>
          <w:bCs/>
          <w:sz w:val="28"/>
          <w:szCs w:val="28"/>
        </w:rPr>
        <w:t xml:space="preserve">V. Conclusion: In Defense of the Open Text</w:t>
      </w:r>
    </w:p>
    <w:p>
      <w:pPr>
        <w:spacing w:before="0" w:after="160"/>
        <w:jc w:val="both"/>
      </w:pPr>
      <w:r>
        <w:rPr>
          <w:rFonts w:ascii="Times New Roman" w:cs="Times New Roman" w:eastAsia="Times New Roman" w:hAnsi="Times New Roman"/>
          <w:sz w:val="24"/>
          <w:szCs w:val="24"/>
        </w:rPr>
        <w:t xml:space="preserve">I have not argued that any of these three readings is definitively correct. I have argued that each of them accounts for the textual evidence as well as the Magash-consensus, that each of them attends to features of the song that the consensus underweights or ignores, and that the selection among them is not a purely scholarly question but is inflected by institutional interests that the field has not sufficiently examined.</w:t>
      </w:r>
    </w:p>
    <w:p>
      <w:pPr>
        <w:spacing w:before="0" w:after="160"/>
        <w:jc w:val="both"/>
      </w:pPr>
      <w:r>
        <w:rPr>
          <w:rFonts w:ascii="Times New Roman" w:cs="Times New Roman" w:eastAsia="Times New Roman" w:hAnsi="Times New Roman"/>
          <w:sz w:val="24"/>
          <w:szCs w:val="24"/>
        </w:rPr>
        <w:t xml:space="preserve">The song’s compositional anonymity is, in the end, not an accident to be lamented or a problem to be solved by the identification of a probable milieu. It is a feature. A song that belongs to no one can be sung by anyone. A song that cannot be pinned to a specific political critique cannot be suppressed by the parties it offends. The Mouth does not shout. It hums. Scholars who shout on its behalf — who insist that the song means one thing, accuses one party, originates in one tradition — are, with the best of intentions, doing the work of those who would prefer the song’s polyphony collapsed into a single, manageable voice.</w:t>
      </w:r>
    </w:p>
    <w:p>
      <w:pPr>
        <w:spacing w:before="0" w:after="160"/>
        <w:jc w:val="both"/>
      </w:pPr>
      <w:r>
        <w:rPr>
          <w:rFonts w:ascii="Times New Roman" w:cs="Times New Roman" w:eastAsia="Times New Roman" w:hAnsi="Times New Roman"/>
          <w:sz w:val="24"/>
          <w:szCs w:val="24"/>
        </w:rPr>
        <w:t xml:space="preserve">What “Mouthpiece” ultimately offers is not a theory of Magash. It offers a theory of the Wilds as a space in which every mouth is also a mouthpiece — in which every spokesperson is fronting for interests it does not fully disclose, in which every named thing is also concealing the unnamed thing behind it. The scholarly apparatus that confidently decodes the song is itself enacting the song’s subject matter: it speaks for the text, in the Republic’s institutions, at the Republic’s symposia, and it tells us what the song means. Perhaps we should mind the price it asks of us.</w:t>
      </w:r>
    </w:p>
    <w:p>
      <w:r>
        <w:t xml:space="preserve"/>
      </w:r>
    </w:p>
    <w:p>
      <w:pPr>
        <w:spacing w:before="360" w:after="180"/>
      </w:pPr>
      <w:r>
        <w:rPr>
          <w:rFonts w:ascii="Times New Roman" w:cs="Times New Roman" w:eastAsia="Times New Roman" w:hAnsi="Times New Roman"/>
          <w:b/>
          <w:bCs/>
          <w:sz w:val="28"/>
          <w:szCs w:val="28"/>
        </w:rPr>
        <w:t xml:space="preserve">Bibliographic Note</w:t>
      </w:r>
    </w:p>
    <w:p>
      <w:pPr>
        <w:spacing w:before="0" w:after="160"/>
        <w:jc w:val="both"/>
      </w:pPr>
      <w:r>
        <w:rPr>
          <w:rFonts w:ascii="Times New Roman" w:cs="Times New Roman" w:eastAsia="Times New Roman" w:hAnsi="Times New Roman"/>
          <w:sz w:val="24"/>
          <w:szCs w:val="24"/>
        </w:rPr>
        <w:t xml:space="preserve">The author acknowledges the foundational contributions of the Sochava-Ault paper to this debate and thanks the symposium organizers for the opportunity to respond. The Lurent-contact hypothesis advanced in Section III draws on the limited published scholarship on Lurent oral culture, which the author acknowledges is insufficient to sustain a strong version of the claim; the hypothesis is offered as a direction for inquiry rather than a conclusion. The author has no institutional affiliation with the Sabine Empire or any of its associated commercial entities, and notes that this declaration would be required of any scholar advancing a reading sympathetic to the Sabine Empire regardless of its accuracy, which is itself a data point about the institutional politics of the field.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2026-03-11T17:36:40.934Z</dcterms:created>
  <dcterms:modified xsi:type="dcterms:W3CDTF">2026-03-11T17:36:40.935Z</dcterms:modified>
</cp:coreProperties>
</file>

<file path=docProps/custom.xml><?xml version="1.0" encoding="utf-8"?>
<Properties xmlns="http://schemas.openxmlformats.org/officeDocument/2006/custom-properties" xmlns:vt="http://schemas.openxmlformats.org/officeDocument/2006/docPropsVTypes"/>
</file>