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b w:val="0"/>
          <w:i w:val="0"/>
          <w:color w:val="0F1B2D"/>
          <w:sz w:val="22"/>
        </w:rPr>
      </w:r>
    </w:p>
    <w:p>
      <w:pPr>
        <w:spacing w:after="240" w:before="0"/>
      </w:pPr>
      <w:r>
        <w:rPr>
          <w:b w:val="0"/>
          <w:i w:val="0"/>
          <w:color w:val="0F1B2D"/>
          <w:sz w:val="22"/>
        </w:rPr>
      </w:r>
    </w:p>
    <w:p>
      <w:pPr>
        <w:spacing w:after="240" w:before="0"/>
      </w:pPr>
      <w:r>
        <w:rPr>
          <w:b w:val="0"/>
          <w:i w:val="0"/>
          <w:color w:val="0F1B2D"/>
          <w:sz w:val="22"/>
        </w:rPr>
      </w:r>
    </w:p>
    <w:p>
      <w:pPr>
        <w:spacing w:after="40" w:before="0"/>
        <w:jc w:val="center"/>
      </w:pPr>
      <w:r>
        <w:rPr>
          <w:b/>
          <w:i w:val="0"/>
          <w:color w:val="0E8F8A"/>
          <w:sz w:val="28"/>
        </w:rPr>
        <w:t>CHRIST UNIVERSITY</w:t>
      </w:r>
    </w:p>
    <w:p>
      <w:pPr>
        <w:spacing w:after="720" w:before="0"/>
        <w:jc w:val="center"/>
      </w:pPr>
      <w:r>
        <w:rPr>
          <w:b w:val="0"/>
          <w:i w:val="0"/>
          <w:color w:val="5B6B80"/>
          <w:sz w:val="26"/>
        </w:rPr>
        <w:t>Department of Computer Science</w:t>
      </w:r>
    </w:p>
    <w:p>
      <w:pPr>
        <w:spacing w:after="120" w:before="0"/>
        <w:jc w:val="center"/>
      </w:pPr>
      <w:r>
        <w:rPr>
          <w:rFonts w:ascii="Cambria" w:hAnsi="Cambria" w:eastAsia="Cambria"/>
          <w:b/>
          <w:i w:val="0"/>
          <w:color w:val="0F1B2D"/>
          <w:sz w:val="56"/>
        </w:rPr>
        <w:t>RESEARCH WORK DIARY</w:t>
      </w:r>
    </w:p>
    <w:p>
      <w:pPr>
        <w:spacing w:after="720" w:before="0"/>
        <w:jc w:val="center"/>
      </w:pPr>
      <w:r>
        <w:rPr>
          <w:b w:val="0"/>
          <w:i w:val="0"/>
          <w:color w:val="5B6B80"/>
          <w:sz w:val="28"/>
        </w:rPr>
        <w:t>Research Implementation, Review 1</w:t>
      </w:r>
    </w:p>
    <w:p>
      <w:pPr>
        <w:spacing w:after="40" w:before="0"/>
        <w:jc w:val="center"/>
      </w:pPr>
      <w:r>
        <w:rPr>
          <w:b/>
          <w:i w:val="0"/>
          <w:color w:val="0E8F8A"/>
          <w:sz w:val="22"/>
        </w:rPr>
        <w:t>Project title</w:t>
      </w:r>
    </w:p>
    <w:p>
      <w:pPr>
        <w:spacing w:after="40" w:before="0"/>
        <w:jc w:val="center"/>
      </w:pPr>
      <w:r>
        <w:rPr>
          <w:rFonts w:ascii="Cambria" w:hAnsi="Cambria" w:eastAsia="Cambria"/>
          <w:b/>
          <w:i w:val="0"/>
          <w:color w:val="0F1B2D"/>
          <w:sz w:val="40"/>
        </w:rPr>
        <w:t>Synthetic Silence 2.0</w:t>
      </w:r>
    </w:p>
    <w:p>
      <w:pPr>
        <w:spacing w:after="720" w:before="0"/>
        <w:jc w:val="center"/>
      </w:pPr>
      <w:r>
        <w:rPr>
          <w:b w:val="0"/>
          <w:i/>
          <w:color w:val="0F1B2D"/>
          <w:sz w:val="24"/>
        </w:rPr>
        <w:t>Auditing Language Model Answers Against Sources: Deterministic Verdict Rules, Provable Properties, and a Validation on FEVER</w:t>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4819"/>
        <w:gridCol w:w="4819"/>
      </w:tblGrid>
      <w:tr>
        <w:trPr>
          <w:trHeight w:val="567"/>
        </w:trPr>
        <w:tc>
          <w:tcPr>
            <w:tcW w:type="dxa" w:w="2835"/>
            <w:vAlign w:val="top"/>
          </w:tcPr>
          <w:p>
            <w:pPr>
              <w:spacing w:after="40"/>
            </w:pPr>
            <w:r/>
            <w:r>
              <w:rPr>
                <w:b/>
                <w:color w:val="5B6B80"/>
                <w:sz w:val="22"/>
              </w:rPr>
              <w:t>Student</w:t>
            </w:r>
          </w:p>
        </w:tc>
        <w:tc>
          <w:tcPr>
            <w:tcW w:type="dxa" w:w="6803"/>
            <w:vAlign w:val="top"/>
          </w:tcPr>
          <w:p>
            <w:pPr>
              <w:spacing w:after="40"/>
            </w:pPr>
            <w:r/>
            <w:r>
              <w:rPr>
                <w:b w:val="0"/>
                <w:color w:val="0F1B2D"/>
                <w:sz w:val="22"/>
              </w:rPr>
              <w:t>Piush Kole    piushkole@msds.christuniversity.in</w:t>
            </w:r>
          </w:p>
        </w:tc>
      </w:tr>
      <w:tr>
        <w:trPr>
          <w:trHeight w:val="567"/>
        </w:trPr>
        <w:tc>
          <w:tcPr>
            <w:tcW w:type="dxa" w:w="2835"/>
            <w:vAlign w:val="top"/>
          </w:tcPr>
          <w:p>
            <w:pPr>
              <w:spacing w:after="40"/>
            </w:pPr>
            <w:r/>
            <w:r>
              <w:rPr>
                <w:b/>
                <w:color w:val="5B6B80"/>
                <w:sz w:val="22"/>
              </w:rPr>
              <w:t>Student</w:t>
            </w:r>
          </w:p>
        </w:tc>
        <w:tc>
          <w:tcPr>
            <w:tcW w:type="dxa" w:w="6803"/>
            <w:vAlign w:val="top"/>
          </w:tcPr>
          <w:p>
            <w:pPr>
              <w:spacing w:after="40"/>
            </w:pPr>
            <w:r/>
            <w:r>
              <w:rPr>
                <w:b w:val="0"/>
                <w:color w:val="0F1B2D"/>
                <w:sz w:val="22"/>
              </w:rPr>
              <w:t>Thrilok M    thrilok.m@msds.christuniversity.in</w:t>
            </w:r>
          </w:p>
        </w:tc>
      </w:tr>
      <w:tr>
        <w:trPr>
          <w:trHeight w:val="567"/>
        </w:trPr>
        <w:tc>
          <w:tcPr>
            <w:tcW w:type="dxa" w:w="2835"/>
            <w:vAlign w:val="top"/>
          </w:tcPr>
          <w:p>
            <w:pPr>
              <w:spacing w:after="40"/>
            </w:pPr>
            <w:r/>
            <w:r>
              <w:rPr>
                <w:b/>
                <w:color w:val="5B6B80"/>
                <w:sz w:val="22"/>
              </w:rPr>
              <w:t>Research guide</w:t>
            </w:r>
          </w:p>
        </w:tc>
        <w:tc>
          <w:tcPr>
            <w:tcW w:type="dxa" w:w="6803"/>
            <w:vAlign w:val="top"/>
          </w:tcPr>
          <w:p>
            <w:pPr>
              <w:spacing w:after="40"/>
            </w:pPr>
            <w:r/>
            <w:r>
              <w:rPr>
                <w:b w:val="0"/>
                <w:color w:val="0F1B2D"/>
                <w:sz w:val="22"/>
              </w:rPr>
            </w:r>
          </w:p>
        </w:tc>
      </w:tr>
    </w:tbl>
    <w:p>
      <w:pPr>
        <w:spacing w:after="480" w:before="0"/>
      </w:pPr>
      <w:r>
        <w:rPr>
          <w:b w:val="0"/>
          <w:i w:val="0"/>
          <w:color w:val="0F1B2D"/>
          <w:sz w:val="22"/>
        </w:rPr>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3213"/>
        <w:gridCol w:w="3213"/>
        <w:gridCol w:w="3213"/>
      </w:tblGrid>
      <w:tr>
        <w:trPr>
          <w:trHeight w:val="737"/>
        </w:trPr>
        <w:tc>
          <w:tcPr>
            <w:tcW w:type="dxa" w:w="3402"/>
            <w:vAlign w:val="top"/>
          </w:tcPr>
          <w:p>
            <w:pPr>
              <w:spacing w:after="40"/>
            </w:pPr>
            <w:r/>
            <w:r>
              <w:rPr>
                <w:b/>
                <w:color w:val="5B6B80"/>
                <w:sz w:val="20"/>
              </w:rPr>
              <w:t>Guide signature:</w:t>
            </w:r>
          </w:p>
        </w:tc>
        <w:tc>
          <w:tcPr>
            <w:tcW w:type="dxa" w:w="3118"/>
            <w:vAlign w:val="top"/>
          </w:tcPr>
          <w:p>
            <w:pPr>
              <w:spacing w:after="40"/>
            </w:pPr>
            <w:r/>
            <w:r>
              <w:rPr>
                <w:b/>
                <w:color w:val="5B6B80"/>
                <w:sz w:val="20"/>
              </w:rPr>
              <w:t>Date:</w:t>
            </w:r>
          </w:p>
        </w:tc>
        <w:tc>
          <w:tcPr>
            <w:tcW w:type="dxa" w:w="3118"/>
            <w:vAlign w:val="top"/>
          </w:tcPr>
          <w:p>
            <w:pPr>
              <w:spacing w:after="40"/>
            </w:pPr>
            <w:r/>
            <w:r>
              <w:rPr>
                <w:b/>
                <w:color w:val="5B6B80"/>
                <w:sz w:val="20"/>
              </w:rPr>
              <w:t>Remarks (if any):</w:t>
            </w:r>
          </w:p>
        </w:tc>
      </w:tr>
    </w:tbl>
    <w:p>
      <w:r>
        <w:br w:type="page"/>
      </w:r>
    </w:p>
    <w:p>
      <w:pPr>
        <w:keepNext/>
        <w:spacing w:after="120" w:before="0"/>
      </w:pPr>
      <w:r>
        <w:rPr>
          <w:rFonts w:ascii="Cambria" w:hAnsi="Cambria" w:eastAsia="Cambria"/>
          <w:b/>
          <w:i w:val="0"/>
          <w:color w:val="0F1B2D"/>
          <w:sz w:val="30"/>
        </w:rPr>
        <w:t>1. Project summary</w:t>
      </w:r>
    </w:p>
    <w:p>
      <w:pPr>
        <w:spacing w:after="120" w:before="0"/>
      </w:pPr>
      <w:r>
        <w:rPr>
          <w:b w:val="0"/>
          <w:i w:val="0"/>
          <w:color w:val="0F1B2D"/>
          <w:sz w:val="22"/>
        </w:rPr>
        <w:t>People read answers written by language models in their web browser, where a specific falsehood looks like a specific fact. This project builds and validates an audit that splits an answer into claims, retrieves sources, records what each source says about each claim together with a verbatim quote, and maps these per-source stances to one of five verdicts by deterministic rules.</w:t>
      </w:r>
    </w:p>
    <w:p>
      <w:pPr>
        <w:keepNext/>
        <w:spacing w:after="120" w:before="0"/>
      </w:pPr>
      <w:r>
        <w:rPr>
          <w:rFonts w:ascii="Cambria" w:hAnsi="Cambria" w:eastAsia="Cambria"/>
          <w:b/>
          <w:i w:val="0"/>
          <w:color w:val="0F1B2D"/>
          <w:sz w:val="24"/>
        </w:rPr>
        <w:t>Objectives</w:t>
      </w:r>
    </w:p>
    <w:p>
      <w:pPr>
        <w:pStyle w:val="ListBullet"/>
        <w:spacing w:after="40"/>
      </w:pPr>
      <w:r>
        <w:rPr>
          <w:sz w:val="22"/>
        </w:rPr>
        <w:t>A verdict procedure over per-source stances with a verbatim quote requirement and five outcomes.</w:t>
      </w:r>
    </w:p>
    <w:p>
      <w:pPr>
        <w:pStyle w:val="ListBullet"/>
        <w:spacing w:after="40"/>
      </w:pPr>
      <w:r>
        <w:rPr>
          <w:sz w:val="22"/>
        </w:rPr>
        <w:t>Proofs of five properties of the rules and of two scores from earlier work, each checked against the code.</w:t>
      </w:r>
    </w:p>
    <w:p>
      <w:pPr>
        <w:pStyle w:val="ListBullet"/>
        <w:spacing w:after="40"/>
      </w:pPr>
      <w:r>
        <w:rPr>
          <w:sz w:val="22"/>
        </w:rPr>
        <w:t>A validation on FEVER with confusion matrices, Wilson intervals and paired exact tests.</w:t>
      </w:r>
    </w:p>
    <w:p>
      <w:pPr>
        <w:pStyle w:val="ListBullet"/>
        <w:spacing w:after="40"/>
      </w:pPr>
      <w:r>
        <w:rPr>
          <w:sz w:val="22"/>
        </w:rPr>
        <w:t>Explicit failure semantics: an outage is an error for that claim, never an empty result.</w:t>
      </w:r>
    </w:p>
    <w:p>
      <w:pPr>
        <w:pStyle w:val="ListBullet"/>
        <w:spacing w:after="40"/>
      </w:pPr>
      <w:r>
        <w:rPr>
          <w:sz w:val="22"/>
        </w:rPr>
        <w:t>A working Chrome extension on a FastAPI backend, and a cross-model audit protocol.</w:t>
      </w:r>
    </w:p>
    <w:p>
      <w:pPr>
        <w:keepNext/>
        <w:spacing w:after="120" w:before="160"/>
      </w:pPr>
      <w:r>
        <w:rPr>
          <w:rFonts w:ascii="Cambria" w:hAnsi="Cambria" w:eastAsia="Cambria"/>
          <w:b/>
          <w:i w:val="0"/>
          <w:color w:val="0F1B2D"/>
          <w:sz w:val="24"/>
        </w:rPr>
        <w:t>Where the work stands</w:t>
      </w:r>
    </w:p>
    <w:p>
      <w:pPr>
        <w:spacing w:after="120" w:before="0"/>
      </w:pPr>
      <w:r>
        <w:rPr>
          <w:b w:val="0"/>
          <w:i w:val="0"/>
          <w:color w:val="0F1B2D"/>
          <w:sz w:val="22"/>
        </w:rPr>
        <w:t>The extension and backend work and are tested (backend 117, extension 44 unit tests and 35 real-Chrome end-to-end checks). On 100 balanced FEVER claims, Wikipedia retrieval raised accuracy on SUPPORTS and REFUTES claims from 66.7% to 79.7% (paired p = 0.064), a pooled entailment score never abstained, and a first per-source variant abstained but was significantly worse on decisive claims. The cross-model audit is specified and tested but has not been run.</w:t>
      </w:r>
    </w:p>
    <w:p>
      <w:r>
        <w:br w:type="page"/>
      </w:r>
    </w:p>
    <w:p>
      <w:pPr>
        <w:keepNext/>
        <w:spacing w:after="120" w:before="0"/>
      </w:pPr>
      <w:r>
        <w:rPr>
          <w:rFonts w:ascii="Cambria" w:hAnsi="Cambria" w:eastAsia="Cambria"/>
          <w:b/>
          <w:i w:val="0"/>
          <w:color w:val="0F1B2D"/>
          <w:sz w:val="30"/>
        </w:rPr>
        <w:t>2. Research phase, up to 8 October 2026</w:t>
      </w:r>
    </w:p>
    <w:p>
      <w:pPr>
        <w:spacing w:after="120" w:before="0"/>
      </w:pPr>
      <w:r>
        <w:rPr>
          <w:b w:val="0"/>
          <w:i/>
          <w:color w:val="5B6B80"/>
          <w:sz w:val="20"/>
        </w:rPr>
        <w:t>Dates of individual steps in this phase are not recorded in the repository; it was committed on 8 October 2026.</w:t>
      </w:r>
    </w:p>
    <w:tbl>
      <w:tblPr>
        <w:tblW w:type="auto" w:w="0"/>
        <w:tblLayout w:type="fixed"/>
        <w:tblLook w:firstColumn="1" w:firstRow="1" w:lastColumn="0" w:lastRow="0" w:noHBand="0" w:noVBand="1" w:val="04A0"/>
        <w:tblLayout w:type="fixed"/>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Pr>
      <w:tblGrid>
        <w:gridCol w:w="3213"/>
        <w:gridCol w:w="3213"/>
        <w:gridCol w:w="3213"/>
      </w:tblGrid>
      <w:tr>
        <w:trPr>
          <w:tblHeader w:val="true"/>
        </w:trPr>
        <w:tc>
          <w:tcPr>
            <w:tcW w:type="dxa" w:w="1361"/>
            <w:vAlign w:val="top"/>
            <w:shd w:val="clear" w:color="auto" w:fill="0F1B2D"/>
          </w:tcPr>
          <w:p>
            <w:pPr>
              <w:spacing w:after="40"/>
            </w:pPr>
            <w:r/>
            <w:r>
              <w:rPr>
                <w:b/>
                <w:color w:val="FFFFFF"/>
                <w:sz w:val="20"/>
              </w:rPr>
              <w:t>Date</w:t>
            </w:r>
          </w:p>
        </w:tc>
        <w:tc>
          <w:tcPr>
            <w:tcW w:type="dxa" w:w="5556"/>
            <w:vAlign w:val="top"/>
            <w:shd w:val="clear" w:color="auto" w:fill="0F1B2D"/>
          </w:tcPr>
          <w:p>
            <w:pPr>
              <w:spacing w:after="40"/>
            </w:pPr>
            <w:r/>
            <w:r>
              <w:rPr>
                <w:b/>
                <w:color w:val="FFFFFF"/>
                <w:sz w:val="20"/>
              </w:rPr>
              <w:t>Work done</w:t>
            </w:r>
          </w:p>
        </w:tc>
        <w:tc>
          <w:tcPr>
            <w:tcW w:type="dxa" w:w="2721"/>
            <w:vAlign w:val="top"/>
            <w:shd w:val="clear" w:color="auto" w:fill="0F1B2D"/>
          </w:tcPr>
          <w:p>
            <w:pPr>
              <w:spacing w:after="40"/>
            </w:pPr>
            <w:r/>
            <w:r>
              <w:rPr>
                <w:b/>
                <w:color w:val="FFFFFF"/>
                <w:sz w:val="20"/>
              </w:rPr>
              <w:t>Evidence in the repository</w:t>
            </w:r>
          </w:p>
        </w:tc>
      </w:tr>
      <w:tr>
        <w:trPr>
          <w:cantSplit/>
        </w:trPr>
        <w:tc>
          <w:tcPr>
            <w:tcW w:type="dxa" w:w="1361"/>
            <w:vAlign w:val="top"/>
          </w:tcPr>
          <w:p>
            <w:pPr>
              <w:spacing w:after="40"/>
            </w:pPr>
            <w:r/>
            <w:r>
              <w:rPr>
                <w:b/>
                <w:color w:val="0F1B2D"/>
                <w:sz w:val="20"/>
              </w:rPr>
              <w:t>Phase 1</w:t>
            </w:r>
          </w:p>
        </w:tc>
        <w:tc>
          <w:tcPr>
            <w:tcW w:type="dxa" w:w="5556"/>
            <w:vAlign w:val="top"/>
          </w:tcPr>
          <w:p>
            <w:pPr>
              <w:spacing w:after="40"/>
            </w:pPr>
            <w:r/>
            <w:r>
              <w:rPr>
                <w:b w:val="0"/>
                <w:color w:val="0F1B2D"/>
                <w:sz w:val="20"/>
              </w:rPr>
              <w:t>Stated the hypothesis that evidence insufficiency appears as a density shift in representation space. Built the kNN claim-space density pipeline (density, entropy, engine modules).</w:t>
            </w:r>
          </w:p>
        </w:tc>
        <w:tc>
          <w:tcPr>
            <w:tcW w:type="dxa" w:w="2721"/>
            <w:vAlign w:val="top"/>
          </w:tcPr>
          <w:p>
            <w:pPr>
              <w:spacing w:after="40"/>
            </w:pPr>
            <w:r/>
            <w:r>
              <w:rPr>
                <w:b w:val="0"/>
                <w:color w:val="5B6B80"/>
                <w:sz w:val="18"/>
              </w:rPr>
              <w:t>backend/app/services/algo/density.py, engine.py, uncertainty.py</w:t>
            </w:r>
          </w:p>
        </w:tc>
      </w:tr>
      <w:tr>
        <w:trPr>
          <w:cantSplit/>
        </w:trPr>
        <w:tc>
          <w:tcPr>
            <w:tcW w:type="dxa" w:w="1361"/>
            <w:vAlign w:val="top"/>
          </w:tcPr>
          <w:p>
            <w:pPr>
              <w:spacing w:after="40"/>
            </w:pPr>
            <w:r/>
            <w:r>
              <w:rPr>
                <w:b/>
                <w:color w:val="0F1B2D"/>
                <w:sz w:val="20"/>
              </w:rPr>
              <w:t>Phase 2</w:t>
            </w:r>
          </w:p>
        </w:tc>
        <w:tc>
          <w:tcPr>
            <w:tcW w:type="dxa" w:w="5556"/>
            <w:vAlign w:val="top"/>
          </w:tcPr>
          <w:p>
            <w:pPr>
              <w:spacing w:after="40"/>
            </w:pPr>
            <w:r/>
            <w:r>
              <w:rPr>
                <w:b w:val="0"/>
                <w:color w:val="0F1B2D"/>
                <w:sz w:val="20"/>
              </w:rPr>
              <w:t>E0 on FEVER: modest association, AUROC 0.5463. E1 on AVeriTeC: the signal inverted, AUROC 0.2754 for insufficiency (0.3545 overall). Post-hoc diagnostics of domain, geometry and style confounds. Froze the original evaluations.</w:t>
            </w:r>
          </w:p>
        </w:tc>
        <w:tc>
          <w:tcPr>
            <w:tcW w:type="dxa" w:w="2721"/>
            <w:vAlign w:val="top"/>
          </w:tcPr>
          <w:p>
            <w:pPr>
              <w:spacing w:after="40"/>
            </w:pPr>
            <w:r/>
            <w:r>
              <w:rPr>
                <w:b w:val="0"/>
                <w:color w:val="5B6B80"/>
                <w:sz w:val="18"/>
              </w:rPr>
              <w:t>docs/E0_GATE_REPORT.md, docs/E1_GATE_REPORT.md, results/E1_post_analysis, results/FINAL_RESEARCH_FREEZE</w:t>
            </w:r>
          </w:p>
        </w:tc>
      </w:tr>
      <w:tr>
        <w:trPr>
          <w:cantSplit/>
        </w:trPr>
        <w:tc>
          <w:tcPr>
            <w:tcW w:type="dxa" w:w="1361"/>
            <w:vAlign w:val="top"/>
          </w:tcPr>
          <w:p>
            <w:pPr>
              <w:spacing w:after="40"/>
            </w:pPr>
            <w:r/>
            <w:r>
              <w:rPr>
                <w:b/>
                <w:color w:val="0F1B2D"/>
                <w:sz w:val="20"/>
              </w:rPr>
              <w:t>Phase 3</w:t>
            </w:r>
          </w:p>
        </w:tc>
        <w:tc>
          <w:tcPr>
            <w:tcW w:type="dxa" w:w="5556"/>
            <w:vAlign w:val="top"/>
          </w:tcPr>
          <w:p>
            <w:pPr>
              <w:spacing w:after="40"/>
            </w:pPr>
            <w:r/>
            <w:r>
              <w:rPr>
                <w:b w:val="0"/>
                <w:color w:val="0F1B2D"/>
                <w:sz w:val="20"/>
              </w:rPr>
              <w:t>F1 cross-manifold test: both cross-domain signals fell to chance. F2 matched negative controls (29 pairs, matched on length and lexical diversity): inversion persisted, AUROC 0.3353. Stopped optimising and wrote up the bounded conclusion.</w:t>
            </w:r>
          </w:p>
        </w:tc>
        <w:tc>
          <w:tcPr>
            <w:tcW w:type="dxa" w:w="2721"/>
            <w:vAlign w:val="top"/>
          </w:tcPr>
          <w:p>
            <w:pPr>
              <w:spacing w:after="40"/>
            </w:pPr>
            <w:r/>
            <w:r>
              <w:rPr>
                <w:b w:val="0"/>
                <w:color w:val="5B6B80"/>
                <w:sz w:val="18"/>
              </w:rPr>
              <w:t>results/F1_cross_manifold, results/F2_matched_controls, results/FINAL_PAPER_PACKAGE</w:t>
            </w:r>
          </w:p>
        </w:tc>
      </w:tr>
      <w:tr>
        <w:trPr>
          <w:cantSplit/>
        </w:trPr>
        <w:tc>
          <w:tcPr>
            <w:tcW w:type="dxa" w:w="1361"/>
            <w:vAlign w:val="top"/>
          </w:tcPr>
          <w:p>
            <w:pPr>
              <w:spacing w:after="40"/>
            </w:pPr>
            <w:r/>
            <w:r>
              <w:rPr>
                <w:b/>
                <w:color w:val="0F1B2D"/>
                <w:sz w:val="20"/>
              </w:rPr>
              <w:t>8 Oct 2026</w:t>
            </w:r>
          </w:p>
        </w:tc>
        <w:tc>
          <w:tcPr>
            <w:tcW w:type="dxa" w:w="5556"/>
            <w:vAlign w:val="top"/>
          </w:tcPr>
          <w:p>
            <w:pPr>
              <w:spacing w:after="40"/>
            </w:pPr>
            <w:r/>
            <w:r>
              <w:rPr>
                <w:b w:val="0"/>
                <w:color w:val="0F1B2D"/>
                <w:sz w:val="20"/>
              </w:rPr>
              <w:t>Committed the research package and the first paper drafts to the repository.</w:t>
            </w:r>
          </w:p>
        </w:tc>
        <w:tc>
          <w:tcPr>
            <w:tcW w:type="dxa" w:w="2721"/>
            <w:vAlign w:val="top"/>
          </w:tcPr>
          <w:p>
            <w:pPr>
              <w:spacing w:after="40"/>
            </w:pPr>
            <w:r/>
            <w:r>
              <w:rPr>
                <w:b w:val="0"/>
                <w:color w:val="5B6B80"/>
                <w:sz w:val="18"/>
              </w:rPr>
              <w:t>Commits 52c60f6 and c7f8c57</w:t>
            </w:r>
          </w:p>
        </w:tc>
      </w:tr>
    </w:tbl>
    <w:p>
      <w:pPr>
        <w:spacing w:after="0" w:before="0"/>
      </w:pPr>
      <w:r>
        <w:rPr>
          <w:b w:val="0"/>
          <w:i w:val="0"/>
          <w:color w:val="0F1B2D"/>
          <w:sz w:val="12"/>
        </w:rPr>
      </w:r>
    </w:p>
    <w:p>
      <w:pPr>
        <w:keepNext/>
        <w:spacing w:after="120" w:before="0"/>
      </w:pPr>
      <w:r>
        <w:rPr>
          <w:rFonts w:ascii="Cambria" w:hAnsi="Cambria" w:eastAsia="Cambria"/>
          <w:b/>
          <w:i w:val="0"/>
          <w:color w:val="0F1B2D"/>
          <w:sz w:val="22"/>
        </w:rPr>
        <w:t>Guide meeting and remarks for this period</w:t>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4819"/>
        <w:gridCol w:w="4819"/>
      </w:tblGrid>
      <w:tr>
        <w:trPr>
          <w:trHeight w:val="567"/>
        </w:trPr>
        <w:tc>
          <w:tcPr>
            <w:tcW w:type="dxa" w:w="2268"/>
            <w:vAlign w:val="top"/>
          </w:tcPr>
          <w:p>
            <w:pPr>
              <w:spacing w:after="40"/>
            </w:pPr>
            <w:r/>
            <w:r>
              <w:rPr>
                <w:b/>
                <w:color w:val="5B6B80"/>
                <w:sz w:val="20"/>
              </w:rPr>
              <w:t>Meeting date</w:t>
            </w:r>
          </w:p>
        </w:tc>
        <w:tc>
          <w:tcPr>
            <w:tcW w:type="dxa" w:w="7370"/>
          </w:tcPr>
          <w:p/>
        </w:tc>
      </w:tr>
      <w:tr>
        <w:trPr>
          <w:trHeight w:val="567"/>
        </w:trPr>
        <w:tc>
          <w:tcPr>
            <w:tcW w:type="dxa" w:w="2268"/>
            <w:vAlign w:val="top"/>
          </w:tcPr>
          <w:p>
            <w:pPr>
              <w:spacing w:after="40"/>
            </w:pPr>
            <w:r/>
            <w:r>
              <w:rPr>
                <w:b/>
                <w:color w:val="5B6B80"/>
                <w:sz w:val="20"/>
              </w:rPr>
              <w:t>Points discussed</w:t>
            </w:r>
          </w:p>
        </w:tc>
        <w:tc>
          <w:tcPr>
            <w:tcW w:type="dxa" w:w="7370"/>
          </w:tcPr>
          <w:p/>
        </w:tc>
      </w:tr>
      <w:tr>
        <w:trPr>
          <w:trHeight w:val="567"/>
        </w:trPr>
        <w:tc>
          <w:tcPr>
            <w:tcW w:type="dxa" w:w="2268"/>
            <w:vAlign w:val="top"/>
          </w:tcPr>
          <w:p>
            <w:pPr>
              <w:spacing w:after="40"/>
            </w:pPr>
            <w:r/>
            <w:r>
              <w:rPr>
                <w:b/>
                <w:color w:val="5B6B80"/>
                <w:sz w:val="20"/>
              </w:rPr>
              <w:t>Guide remarks</w:t>
            </w:r>
          </w:p>
        </w:tc>
        <w:tc>
          <w:tcPr>
            <w:tcW w:type="dxa" w:w="7370"/>
          </w:tcPr>
          <w:p/>
        </w:tc>
      </w:tr>
    </w:tbl>
    <w:p>
      <w:pPr>
        <w:spacing w:after="0" w:before="0"/>
      </w:pPr>
      <w:r>
        <w:rPr>
          <w:b w:val="0"/>
          <w:i w:val="0"/>
          <w:color w:val="0F1B2D"/>
          <w:sz w:val="12"/>
        </w:rPr>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3213"/>
        <w:gridCol w:w="3213"/>
        <w:gridCol w:w="3213"/>
      </w:tblGrid>
      <w:tr>
        <w:trPr>
          <w:trHeight w:val="737"/>
        </w:trPr>
        <w:tc>
          <w:tcPr>
            <w:tcW w:type="dxa" w:w="3402"/>
            <w:vAlign w:val="top"/>
          </w:tcPr>
          <w:p>
            <w:pPr>
              <w:spacing w:after="40"/>
            </w:pPr>
            <w:r/>
            <w:r>
              <w:rPr>
                <w:b/>
                <w:color w:val="5B6B80"/>
                <w:sz w:val="20"/>
              </w:rPr>
              <w:t>Guide signature:</w:t>
            </w:r>
          </w:p>
        </w:tc>
        <w:tc>
          <w:tcPr>
            <w:tcW w:type="dxa" w:w="3118"/>
            <w:vAlign w:val="top"/>
          </w:tcPr>
          <w:p>
            <w:pPr>
              <w:spacing w:after="40"/>
            </w:pPr>
            <w:r/>
            <w:r>
              <w:rPr>
                <w:b/>
                <w:color w:val="5B6B80"/>
                <w:sz w:val="20"/>
              </w:rPr>
              <w:t>Date:</w:t>
            </w:r>
          </w:p>
        </w:tc>
        <w:tc>
          <w:tcPr>
            <w:tcW w:type="dxa" w:w="3118"/>
            <w:vAlign w:val="top"/>
          </w:tcPr>
          <w:p>
            <w:pPr>
              <w:spacing w:after="40"/>
            </w:pPr>
            <w:r/>
            <w:r>
              <w:rPr>
                <w:b/>
                <w:color w:val="5B6B80"/>
                <w:sz w:val="20"/>
              </w:rPr>
              <w:t>Remarks (if any):</w:t>
            </w:r>
          </w:p>
        </w:tc>
      </w:tr>
    </w:tbl>
    <w:p>
      <w:r>
        <w:br w:type="page"/>
      </w:r>
    </w:p>
    <w:p>
      <w:pPr>
        <w:keepNext/>
        <w:spacing w:after="120" w:before="0"/>
      </w:pPr>
      <w:r>
        <w:rPr>
          <w:rFonts w:ascii="Cambria" w:hAnsi="Cambria" w:eastAsia="Cambria"/>
          <w:b/>
          <w:i w:val="0"/>
          <w:color w:val="0F1B2D"/>
          <w:sz w:val="30"/>
        </w:rPr>
        <w:t>3. Week of 12 to 18 October 2026</w:t>
      </w:r>
    </w:p>
    <w:p>
      <w:pPr>
        <w:spacing w:after="120" w:before="0"/>
      </w:pPr>
      <w:r>
        <w:rPr>
          <w:b w:val="0"/>
          <w:i/>
          <w:color w:val="5B6B80"/>
          <w:sz w:val="20"/>
        </w:rPr>
        <w:t>From the earlier result we changed the question: give the reader a per-claim verdict backed by a quote, and build a working tool.</w:t>
      </w:r>
    </w:p>
    <w:tbl>
      <w:tblPr>
        <w:tblW w:type="auto" w:w="0"/>
        <w:tblLayout w:type="fixed"/>
        <w:tblLook w:firstColumn="1" w:firstRow="1" w:lastColumn="0" w:lastRow="0" w:noHBand="0" w:noVBand="1" w:val="04A0"/>
        <w:tblLayout w:type="fixed"/>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Pr>
      <w:tblGrid>
        <w:gridCol w:w="3213"/>
        <w:gridCol w:w="3213"/>
        <w:gridCol w:w="3213"/>
      </w:tblGrid>
      <w:tr>
        <w:trPr>
          <w:tblHeader w:val="true"/>
        </w:trPr>
        <w:tc>
          <w:tcPr>
            <w:tcW w:type="dxa" w:w="1361"/>
            <w:vAlign w:val="top"/>
            <w:shd w:val="clear" w:color="auto" w:fill="0F1B2D"/>
          </w:tcPr>
          <w:p>
            <w:pPr>
              <w:spacing w:after="40"/>
            </w:pPr>
            <w:r/>
            <w:r>
              <w:rPr>
                <w:b/>
                <w:color w:val="FFFFFF"/>
                <w:sz w:val="20"/>
              </w:rPr>
              <w:t>Date</w:t>
            </w:r>
          </w:p>
        </w:tc>
        <w:tc>
          <w:tcPr>
            <w:tcW w:type="dxa" w:w="5556"/>
            <w:vAlign w:val="top"/>
            <w:shd w:val="clear" w:color="auto" w:fill="0F1B2D"/>
          </w:tcPr>
          <w:p>
            <w:pPr>
              <w:spacing w:after="40"/>
            </w:pPr>
            <w:r/>
            <w:r>
              <w:rPr>
                <w:b/>
                <w:color w:val="FFFFFF"/>
                <w:sz w:val="20"/>
              </w:rPr>
              <w:t>Work done</w:t>
            </w:r>
          </w:p>
        </w:tc>
        <w:tc>
          <w:tcPr>
            <w:tcW w:type="dxa" w:w="2721"/>
            <w:vAlign w:val="top"/>
            <w:shd w:val="clear" w:color="auto" w:fill="0F1B2D"/>
          </w:tcPr>
          <w:p>
            <w:pPr>
              <w:spacing w:after="40"/>
            </w:pPr>
            <w:r/>
            <w:r>
              <w:rPr>
                <w:b/>
                <w:color w:val="FFFFFF"/>
                <w:sz w:val="20"/>
              </w:rPr>
              <w:t>Evidence in the repository</w:t>
            </w:r>
          </w:p>
        </w:tc>
      </w:tr>
      <w:tr>
        <w:trPr>
          <w:cantSplit/>
        </w:trPr>
        <w:tc>
          <w:tcPr>
            <w:tcW w:type="dxa" w:w="1361"/>
            <w:vAlign w:val="top"/>
          </w:tcPr>
          <w:p>
            <w:pPr>
              <w:spacing w:after="40"/>
            </w:pPr>
            <w:r/>
            <w:r>
              <w:rPr>
                <w:b/>
                <w:color w:val="0F1B2D"/>
                <w:sz w:val="20"/>
              </w:rPr>
              <w:t>13 Oct 2026</w:t>
            </w:r>
          </w:p>
        </w:tc>
        <w:tc>
          <w:tcPr>
            <w:tcW w:type="dxa" w:w="5556"/>
            <w:vAlign w:val="top"/>
          </w:tcPr>
          <w:p>
            <w:pPr>
              <w:spacing w:after="40"/>
            </w:pPr>
            <w:r/>
            <w:r>
              <w:rPr>
                <w:b w:val="0"/>
                <w:color w:val="0F1B2D"/>
                <w:sz w:val="20"/>
              </w:rPr>
              <w:t>Cloned the repository and reviewed it; the backend pipeline was not wired. Built the Chrome extension (popup and side panel, Manifest V3, TypeScript) and wired the FastAPI backend: OpenRouter LLM provider, routes, claim extraction, retrieval and verdict pipeline. Added unit and integration tests.</w:t>
            </w:r>
          </w:p>
        </w:tc>
        <w:tc>
          <w:tcPr>
            <w:tcW w:type="dxa" w:w="2721"/>
            <w:vAlign w:val="top"/>
          </w:tcPr>
          <w:p>
            <w:pPr>
              <w:spacing w:after="40"/>
            </w:pPr>
            <w:r/>
            <w:r>
              <w:rPr>
                <w:b w:val="0"/>
                <w:color w:val="5B6B80"/>
                <w:sz w:val="18"/>
              </w:rPr>
              <w:t>extension/, backend/app/, backend/tests/</w:t>
            </w:r>
          </w:p>
        </w:tc>
      </w:tr>
      <w:tr>
        <w:trPr>
          <w:cantSplit/>
        </w:trPr>
        <w:tc>
          <w:tcPr>
            <w:tcW w:type="dxa" w:w="1361"/>
            <w:vAlign w:val="top"/>
          </w:tcPr>
          <w:p>
            <w:pPr>
              <w:spacing w:after="40"/>
            </w:pPr>
            <w:r/>
            <w:r>
              <w:rPr>
                <w:b/>
                <w:color w:val="0F1B2D"/>
                <w:sz w:val="20"/>
              </w:rPr>
              <w:t>13 Oct 2026</w:t>
            </w:r>
          </w:p>
        </w:tc>
        <w:tc>
          <w:tcPr>
            <w:tcW w:type="dxa" w:w="5556"/>
            <w:vAlign w:val="top"/>
          </w:tcPr>
          <w:p>
            <w:pPr>
              <w:spacing w:after="40"/>
            </w:pPr>
            <w:r/>
            <w:r>
              <w:rPr>
                <w:b w:val="0"/>
                <w:color w:val="0F1B2D"/>
                <w:sz w:val="20"/>
              </w:rPr>
              <w:t>Wrote the verdict-evaluation harness on FEVER (balanced sample, seed 42, Wilson intervals, exact McNemar, paired bootstrap). The baseline run with OpenAlex stopped after 100 of 150 claims because the anonymous request budget was used up; added a Wikipedia retriever and a composite retriever so the system reports exhaustion as an error, not as 'no sources'.</w:t>
            </w:r>
          </w:p>
        </w:tc>
        <w:tc>
          <w:tcPr>
            <w:tcW w:type="dxa" w:w="2721"/>
            <w:vAlign w:val="top"/>
          </w:tcPr>
          <w:p>
            <w:pPr>
              <w:spacing w:after="40"/>
            </w:pPr>
            <w:r/>
            <w:r>
              <w:rPr>
                <w:b w:val="0"/>
                <w:color w:val="5B6B80"/>
                <w:sz w:val="18"/>
              </w:rPr>
              <w:t>backend/experiments/verdict_eval.py, scripts/eval_verdict.py, results/verdict_eval/</w:t>
            </w:r>
          </w:p>
        </w:tc>
      </w:tr>
      <w:tr>
        <w:trPr>
          <w:cantSplit/>
        </w:trPr>
        <w:tc>
          <w:tcPr>
            <w:tcW w:type="dxa" w:w="1361"/>
            <w:vAlign w:val="top"/>
          </w:tcPr>
          <w:p>
            <w:pPr>
              <w:spacing w:after="40"/>
            </w:pPr>
            <w:r/>
            <w:r>
              <w:rPr>
                <w:b/>
                <w:color w:val="0F1B2D"/>
                <w:sz w:val="20"/>
              </w:rPr>
              <w:t>13 Oct 2026</w:t>
            </w:r>
          </w:p>
        </w:tc>
        <w:tc>
          <w:tcPr>
            <w:tcW w:type="dxa" w:w="5556"/>
            <w:vAlign w:val="top"/>
          </w:tcPr>
          <w:p>
            <w:pPr>
              <w:spacing w:after="40"/>
            </w:pPr>
            <w:r/>
            <w:r>
              <w:rPr>
                <w:b w:val="0"/>
                <w:color w:val="0F1B2D"/>
                <w:sz w:val="20"/>
              </w:rPr>
              <w:t>Implemented per-source stance with a verbatim-quote check and five deterministic verdict rules. Ran three variants on the same 100 claims. Found that 13 of 36 REFUTES claims were called supported; traced it to two causes (a normalised claim that dropped the key detail, and a lenient prompt), fixed both and added a regression test.</w:t>
            </w:r>
          </w:p>
        </w:tc>
        <w:tc>
          <w:tcPr>
            <w:tcW w:type="dxa" w:w="2721"/>
            <w:vAlign w:val="top"/>
          </w:tcPr>
          <w:p>
            <w:pPr>
              <w:spacing w:after="40"/>
            </w:pPr>
            <w:r/>
            <w:r>
              <w:rPr>
                <w:b w:val="0"/>
                <w:color w:val="5B6B80"/>
                <w:sz w:val="18"/>
              </w:rPr>
              <w:t>backend/app/services/algo/stance.py, verdict.py, docs/VERDICT_EVALUATION.md</w:t>
            </w:r>
          </w:p>
        </w:tc>
      </w:tr>
      <w:tr>
        <w:trPr>
          <w:cantSplit/>
        </w:trPr>
        <w:tc>
          <w:tcPr>
            <w:tcW w:type="dxa" w:w="1361"/>
            <w:vAlign w:val="top"/>
          </w:tcPr>
          <w:p>
            <w:pPr>
              <w:spacing w:after="40"/>
            </w:pPr>
            <w:r/>
            <w:r>
              <w:rPr>
                <w:b/>
                <w:color w:val="0F1B2D"/>
                <w:sz w:val="20"/>
              </w:rPr>
              <w:t>13 Oct 2026</w:t>
            </w:r>
          </w:p>
        </w:tc>
        <w:tc>
          <w:tcPr>
            <w:tcW w:type="dxa" w:w="5556"/>
            <w:vAlign w:val="top"/>
          </w:tcPr>
          <w:p>
            <w:pPr>
              <w:spacing w:after="40"/>
            </w:pPr>
            <w:r/>
            <w:r>
              <w:rPr>
                <w:b w:val="0"/>
                <w:color w:val="0F1B2D"/>
                <w:sz w:val="20"/>
              </w:rPr>
              <w:t>Added a result cache, streaming (NDJSON) results, a typed API contract generated from OpenAPI, a real-Chrome end-to-end test (35 checks) and a 40-prompt cross-model audit harness. The audit has not been run: the model account returned HTTP 402 (no credit).</w:t>
            </w:r>
          </w:p>
        </w:tc>
        <w:tc>
          <w:tcPr>
            <w:tcW w:type="dxa" w:w="2721"/>
            <w:vAlign w:val="top"/>
          </w:tcPr>
          <w:p>
            <w:pPr>
              <w:spacing w:after="40"/>
            </w:pPr>
            <w:r/>
            <w:r>
              <w:rPr>
                <w:b w:val="0"/>
                <w:color w:val="5B6B80"/>
                <w:sz w:val="18"/>
              </w:rPr>
              <w:t>extension/e2e/chrome-e2e.mjs, scripts/eval_llm_responses.py, data/llm_eval/prompts.json</w:t>
            </w:r>
          </w:p>
        </w:tc>
      </w:tr>
      <w:tr>
        <w:trPr>
          <w:cantSplit/>
        </w:trPr>
        <w:tc>
          <w:tcPr>
            <w:tcW w:type="dxa" w:w="1361"/>
            <w:vAlign w:val="top"/>
          </w:tcPr>
          <w:p>
            <w:pPr>
              <w:spacing w:after="40"/>
            </w:pPr>
            <w:r/>
            <w:r>
              <w:rPr>
                <w:b/>
                <w:color w:val="0F1B2D"/>
                <w:sz w:val="20"/>
              </w:rPr>
              <w:t>14 Oct 2026</w:t>
            </w:r>
          </w:p>
        </w:tc>
        <w:tc>
          <w:tcPr>
            <w:tcW w:type="dxa" w:w="5556"/>
            <w:vAlign w:val="top"/>
          </w:tcPr>
          <w:p>
            <w:pPr>
              <w:spacing w:after="40"/>
            </w:pPr>
            <w:r/>
            <w:r>
              <w:rPr>
                <w:b w:val="0"/>
                <w:color w:val="0F1B2D"/>
                <w:sz w:val="20"/>
              </w:rPr>
              <w:t>Proved five properties (verdict rules, entropy, single-query density, shrinkage, Wilson interval) and checked each against the deployed code (27,930 exhaustive and 15,000 random source configurations). Drafted the IEEE paper and the journal-format paper (TACL style) with figures, confusion matrices, proofs and verified references.</w:t>
            </w:r>
          </w:p>
        </w:tc>
        <w:tc>
          <w:tcPr>
            <w:tcW w:type="dxa" w:w="2721"/>
            <w:vAlign w:val="top"/>
          </w:tcPr>
          <w:p>
            <w:pPr>
              <w:spacing w:after="40"/>
            </w:pPr>
            <w:r/>
            <w:r>
              <w:rPr>
                <w:b w:val="0"/>
                <w:color w:val="5B6B80"/>
                <w:sz w:val="18"/>
              </w:rPr>
              <w:t>paper/test_propositions.py, paper/out/*.pdf</w:t>
            </w:r>
          </w:p>
        </w:tc>
      </w:tr>
      <w:tr>
        <w:trPr>
          <w:cantSplit/>
        </w:trPr>
        <w:tc>
          <w:tcPr>
            <w:tcW w:type="dxa" w:w="1361"/>
            <w:vAlign w:val="top"/>
          </w:tcPr>
          <w:p>
            <w:pPr>
              <w:spacing w:after="40"/>
            </w:pPr>
            <w:r/>
            <w:r>
              <w:rPr>
                <w:b/>
                <w:color w:val="0F1B2D"/>
                <w:sz w:val="20"/>
              </w:rPr>
              <w:t>15 Oct 2026</w:t>
            </w:r>
          </w:p>
        </w:tc>
        <w:tc>
          <w:tcPr>
            <w:tcW w:type="dxa" w:w="5556"/>
            <w:vAlign w:val="top"/>
          </w:tcPr>
          <w:p>
            <w:pPr>
              <w:spacing w:after="40"/>
            </w:pPr>
            <w:r/>
            <w:r>
              <w:rPr>
                <w:b w:val="0"/>
                <w:color w:val="0F1B2D"/>
                <w:sz w:val="20"/>
              </w:rPr>
              <w:t>Committed the extension, backend services, evaluation harness and journal paper to the repository.</w:t>
            </w:r>
          </w:p>
        </w:tc>
        <w:tc>
          <w:tcPr>
            <w:tcW w:type="dxa" w:w="2721"/>
            <w:vAlign w:val="top"/>
          </w:tcPr>
          <w:p>
            <w:pPr>
              <w:spacing w:after="40"/>
            </w:pPr>
            <w:r/>
            <w:r>
              <w:rPr>
                <w:b w:val="0"/>
                <w:color w:val="5B6B80"/>
                <w:sz w:val="18"/>
              </w:rPr>
              <w:t>Commit ffde438</w:t>
            </w:r>
          </w:p>
        </w:tc>
      </w:tr>
    </w:tbl>
    <w:p>
      <w:pPr>
        <w:spacing w:after="0" w:before="0"/>
      </w:pPr>
      <w:r>
        <w:rPr>
          <w:b w:val="0"/>
          <w:i w:val="0"/>
          <w:color w:val="0F1B2D"/>
          <w:sz w:val="12"/>
        </w:rPr>
      </w:r>
    </w:p>
    <w:p>
      <w:pPr>
        <w:keepNext/>
        <w:spacing w:after="120" w:before="0"/>
      </w:pPr>
      <w:r>
        <w:rPr>
          <w:rFonts w:ascii="Cambria" w:hAnsi="Cambria" w:eastAsia="Cambria"/>
          <w:b/>
          <w:i w:val="0"/>
          <w:color w:val="0F1B2D"/>
          <w:sz w:val="22"/>
        </w:rPr>
        <w:t>Guide meeting and remarks for this period</w:t>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4819"/>
        <w:gridCol w:w="4819"/>
      </w:tblGrid>
      <w:tr>
        <w:trPr>
          <w:trHeight w:val="567"/>
        </w:trPr>
        <w:tc>
          <w:tcPr>
            <w:tcW w:type="dxa" w:w="2268"/>
            <w:vAlign w:val="top"/>
          </w:tcPr>
          <w:p>
            <w:pPr>
              <w:spacing w:after="40"/>
            </w:pPr>
            <w:r/>
            <w:r>
              <w:rPr>
                <w:b/>
                <w:color w:val="5B6B80"/>
                <w:sz w:val="20"/>
              </w:rPr>
              <w:t>Meeting date</w:t>
            </w:r>
          </w:p>
        </w:tc>
        <w:tc>
          <w:tcPr>
            <w:tcW w:type="dxa" w:w="7370"/>
          </w:tcPr>
          <w:p/>
        </w:tc>
      </w:tr>
      <w:tr>
        <w:trPr>
          <w:trHeight w:val="567"/>
        </w:trPr>
        <w:tc>
          <w:tcPr>
            <w:tcW w:type="dxa" w:w="2268"/>
            <w:vAlign w:val="top"/>
          </w:tcPr>
          <w:p>
            <w:pPr>
              <w:spacing w:after="40"/>
            </w:pPr>
            <w:r/>
            <w:r>
              <w:rPr>
                <w:b/>
                <w:color w:val="5B6B80"/>
                <w:sz w:val="20"/>
              </w:rPr>
              <w:t>Points discussed</w:t>
            </w:r>
          </w:p>
        </w:tc>
        <w:tc>
          <w:tcPr>
            <w:tcW w:type="dxa" w:w="7370"/>
          </w:tcPr>
          <w:p/>
        </w:tc>
      </w:tr>
      <w:tr>
        <w:trPr>
          <w:trHeight w:val="567"/>
        </w:trPr>
        <w:tc>
          <w:tcPr>
            <w:tcW w:type="dxa" w:w="2268"/>
            <w:vAlign w:val="top"/>
          </w:tcPr>
          <w:p>
            <w:pPr>
              <w:spacing w:after="40"/>
            </w:pPr>
            <w:r/>
            <w:r>
              <w:rPr>
                <w:b/>
                <w:color w:val="5B6B80"/>
                <w:sz w:val="20"/>
              </w:rPr>
              <w:t>Guide remarks</w:t>
            </w:r>
          </w:p>
        </w:tc>
        <w:tc>
          <w:tcPr>
            <w:tcW w:type="dxa" w:w="7370"/>
          </w:tcPr>
          <w:p/>
        </w:tc>
      </w:tr>
    </w:tbl>
    <w:p>
      <w:pPr>
        <w:spacing w:after="0" w:before="0"/>
      </w:pPr>
      <w:r>
        <w:rPr>
          <w:b w:val="0"/>
          <w:i w:val="0"/>
          <w:color w:val="0F1B2D"/>
          <w:sz w:val="12"/>
        </w:rPr>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3213"/>
        <w:gridCol w:w="3213"/>
        <w:gridCol w:w="3213"/>
      </w:tblGrid>
      <w:tr>
        <w:trPr>
          <w:trHeight w:val="737"/>
        </w:trPr>
        <w:tc>
          <w:tcPr>
            <w:tcW w:type="dxa" w:w="3402"/>
            <w:vAlign w:val="top"/>
          </w:tcPr>
          <w:p>
            <w:pPr>
              <w:spacing w:after="40"/>
            </w:pPr>
            <w:r/>
            <w:r>
              <w:rPr>
                <w:b/>
                <w:color w:val="5B6B80"/>
                <w:sz w:val="20"/>
              </w:rPr>
              <w:t>Guide signature:</w:t>
            </w:r>
          </w:p>
        </w:tc>
        <w:tc>
          <w:tcPr>
            <w:tcW w:type="dxa" w:w="3118"/>
            <w:vAlign w:val="top"/>
          </w:tcPr>
          <w:p>
            <w:pPr>
              <w:spacing w:after="40"/>
            </w:pPr>
            <w:r/>
            <w:r>
              <w:rPr>
                <w:b/>
                <w:color w:val="5B6B80"/>
                <w:sz w:val="20"/>
              </w:rPr>
              <w:t>Date:</w:t>
            </w:r>
          </w:p>
        </w:tc>
        <w:tc>
          <w:tcPr>
            <w:tcW w:type="dxa" w:w="3118"/>
            <w:vAlign w:val="top"/>
          </w:tcPr>
          <w:p>
            <w:pPr>
              <w:spacing w:after="40"/>
            </w:pPr>
            <w:r/>
            <w:r>
              <w:rPr>
                <w:b/>
                <w:color w:val="5B6B80"/>
                <w:sz w:val="20"/>
              </w:rPr>
              <w:t>Remarks (if any):</w:t>
            </w:r>
          </w:p>
        </w:tc>
      </w:tr>
    </w:tbl>
    <w:p>
      <w:r>
        <w:br w:type="page"/>
      </w:r>
    </w:p>
    <w:p>
      <w:pPr>
        <w:keepNext/>
        <w:spacing w:after="120" w:before="0"/>
      </w:pPr>
      <w:r>
        <w:rPr>
          <w:rFonts w:ascii="Cambria" w:hAnsi="Cambria" w:eastAsia="Cambria"/>
          <w:b/>
          <w:i w:val="0"/>
          <w:color w:val="0F1B2D"/>
          <w:sz w:val="30"/>
        </w:rPr>
        <w:t>4. Week of 26 October to 1 November 2026</w:t>
      </w:r>
    </w:p>
    <w:p>
      <w:pPr>
        <w:spacing w:after="120" w:before="0"/>
      </w:pPr>
      <w:r>
        <w:rPr>
          <w:b w:val="0"/>
          <w:i/>
          <w:color w:val="5B6B80"/>
          <w:sz w:val="20"/>
        </w:rPr>
        <w:t>Preparation for Research Implementation Review 1.</w:t>
      </w:r>
    </w:p>
    <w:tbl>
      <w:tblPr>
        <w:tblW w:type="auto" w:w="0"/>
        <w:tblLayout w:type="fixed"/>
        <w:tblLook w:firstColumn="1" w:firstRow="1" w:lastColumn="0" w:lastRow="0" w:noHBand="0" w:noVBand="1" w:val="04A0"/>
        <w:tblLayout w:type="fixed"/>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Pr>
      <w:tblGrid>
        <w:gridCol w:w="3213"/>
        <w:gridCol w:w="3213"/>
        <w:gridCol w:w="3213"/>
      </w:tblGrid>
      <w:tr>
        <w:trPr>
          <w:tblHeader w:val="true"/>
        </w:trPr>
        <w:tc>
          <w:tcPr>
            <w:tcW w:type="dxa" w:w="1361"/>
            <w:vAlign w:val="top"/>
            <w:shd w:val="clear" w:color="auto" w:fill="0F1B2D"/>
          </w:tcPr>
          <w:p>
            <w:pPr>
              <w:spacing w:after="40"/>
            </w:pPr>
            <w:r/>
            <w:r>
              <w:rPr>
                <w:b/>
                <w:color w:val="FFFFFF"/>
                <w:sz w:val="20"/>
              </w:rPr>
              <w:t>Date</w:t>
            </w:r>
          </w:p>
        </w:tc>
        <w:tc>
          <w:tcPr>
            <w:tcW w:type="dxa" w:w="5556"/>
            <w:vAlign w:val="top"/>
            <w:shd w:val="clear" w:color="auto" w:fill="0F1B2D"/>
          </w:tcPr>
          <w:p>
            <w:pPr>
              <w:spacing w:after="40"/>
            </w:pPr>
            <w:r/>
            <w:r>
              <w:rPr>
                <w:b/>
                <w:color w:val="FFFFFF"/>
                <w:sz w:val="20"/>
              </w:rPr>
              <w:t>Work done</w:t>
            </w:r>
          </w:p>
        </w:tc>
        <w:tc>
          <w:tcPr>
            <w:tcW w:type="dxa" w:w="2721"/>
            <w:vAlign w:val="top"/>
            <w:shd w:val="clear" w:color="auto" w:fill="0F1B2D"/>
          </w:tcPr>
          <w:p>
            <w:pPr>
              <w:spacing w:after="40"/>
            </w:pPr>
            <w:r/>
            <w:r>
              <w:rPr>
                <w:b/>
                <w:color w:val="FFFFFF"/>
                <w:sz w:val="20"/>
              </w:rPr>
              <w:t>Evidence in the repository</w:t>
            </w:r>
          </w:p>
        </w:tc>
      </w:tr>
      <w:tr>
        <w:trPr>
          <w:cantSplit/>
        </w:trPr>
        <w:tc>
          <w:tcPr>
            <w:tcW w:type="dxa" w:w="1361"/>
            <w:vAlign w:val="top"/>
          </w:tcPr>
          <w:p>
            <w:pPr>
              <w:spacing w:after="40"/>
            </w:pPr>
            <w:r/>
            <w:r>
              <w:rPr>
                <w:b/>
                <w:color w:val="0F1B2D"/>
                <w:sz w:val="20"/>
              </w:rPr>
              <w:t>27 Oct 2026</w:t>
            </w:r>
          </w:p>
        </w:tc>
        <w:tc>
          <w:tcPr>
            <w:tcW w:type="dxa" w:w="5556"/>
            <w:vAlign w:val="top"/>
          </w:tcPr>
          <w:p>
            <w:pPr>
              <w:spacing w:after="40"/>
            </w:pPr>
            <w:r/>
            <w:r>
              <w:rPr>
                <w:b w:val="0"/>
                <w:color w:val="0F1B2D"/>
                <w:sz w:val="20"/>
              </w:rPr>
              <w:t>Re-ran the full test suites: backend 117 passed, extension 44 unit tests and 35 real-Chrome end-to-end checks passed, paper checks 34 passed. Captured screenshots of the extension from the real-Chrome run.</w:t>
            </w:r>
          </w:p>
        </w:tc>
        <w:tc>
          <w:tcPr>
            <w:tcW w:type="dxa" w:w="2721"/>
            <w:vAlign w:val="top"/>
          </w:tcPr>
          <w:p>
            <w:pPr>
              <w:spacing w:after="40"/>
            </w:pPr>
            <w:r/>
            <w:r>
              <w:rPr>
                <w:b w:val="0"/>
                <w:color w:val="5B6B80"/>
                <w:sz w:val="18"/>
              </w:rPr>
              <w:t>backend/tests, extension/test, extension/e2e, paper/</w:t>
            </w:r>
          </w:p>
        </w:tc>
      </w:tr>
      <w:tr>
        <w:trPr>
          <w:cantSplit/>
        </w:trPr>
        <w:tc>
          <w:tcPr>
            <w:tcW w:type="dxa" w:w="1361"/>
            <w:vAlign w:val="top"/>
          </w:tcPr>
          <w:p>
            <w:pPr>
              <w:spacing w:after="40"/>
            </w:pPr>
            <w:r/>
            <w:r>
              <w:rPr>
                <w:b/>
                <w:color w:val="0F1B2D"/>
                <w:sz w:val="20"/>
              </w:rPr>
              <w:t>27 Oct 2026</w:t>
            </w:r>
          </w:p>
        </w:tc>
        <w:tc>
          <w:tcPr>
            <w:tcW w:type="dxa" w:w="5556"/>
            <w:vAlign w:val="top"/>
          </w:tcPr>
          <w:p>
            <w:pPr>
              <w:spacing w:after="40"/>
            </w:pPr>
            <w:r/>
            <w:r>
              <w:rPr>
                <w:b w:val="0"/>
                <w:color w:val="0F1B2D"/>
                <w:sz w:val="20"/>
              </w:rPr>
              <w:t>Prepared the Review 1 slide deck (15 slides with speaker notes), this work diary, and the print copy of the research article.</w:t>
            </w:r>
          </w:p>
        </w:tc>
        <w:tc>
          <w:tcPr>
            <w:tcW w:type="dxa" w:w="2721"/>
            <w:vAlign w:val="top"/>
          </w:tcPr>
          <w:p>
            <w:pPr>
              <w:spacing w:after="40"/>
            </w:pPr>
            <w:r/>
            <w:r>
              <w:rPr>
                <w:b w:val="0"/>
                <w:color w:val="5B6B80"/>
                <w:sz w:val="18"/>
              </w:rPr>
              <w:t>review1/</w:t>
            </w:r>
          </w:p>
        </w:tc>
      </w:tr>
    </w:tbl>
    <w:p>
      <w:pPr>
        <w:spacing w:after="0" w:before="0"/>
      </w:pPr>
      <w:r>
        <w:rPr>
          <w:b w:val="0"/>
          <w:i w:val="0"/>
          <w:color w:val="0F1B2D"/>
          <w:sz w:val="12"/>
        </w:rPr>
      </w:r>
    </w:p>
    <w:p>
      <w:pPr>
        <w:keepNext/>
        <w:spacing w:after="120" w:before="0"/>
      </w:pPr>
      <w:r>
        <w:rPr>
          <w:rFonts w:ascii="Cambria" w:hAnsi="Cambria" w:eastAsia="Cambria"/>
          <w:b/>
          <w:i w:val="0"/>
          <w:color w:val="0F1B2D"/>
          <w:sz w:val="22"/>
        </w:rPr>
        <w:t>Guide meeting and remarks for this period</w:t>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4819"/>
        <w:gridCol w:w="4819"/>
      </w:tblGrid>
      <w:tr>
        <w:trPr>
          <w:trHeight w:val="567"/>
        </w:trPr>
        <w:tc>
          <w:tcPr>
            <w:tcW w:type="dxa" w:w="2268"/>
            <w:vAlign w:val="top"/>
          </w:tcPr>
          <w:p>
            <w:pPr>
              <w:spacing w:after="40"/>
            </w:pPr>
            <w:r/>
            <w:r>
              <w:rPr>
                <w:b/>
                <w:color w:val="5B6B80"/>
                <w:sz w:val="20"/>
              </w:rPr>
              <w:t>Meeting date</w:t>
            </w:r>
          </w:p>
        </w:tc>
        <w:tc>
          <w:tcPr>
            <w:tcW w:type="dxa" w:w="7370"/>
          </w:tcPr>
          <w:p/>
        </w:tc>
      </w:tr>
      <w:tr>
        <w:trPr>
          <w:trHeight w:val="567"/>
        </w:trPr>
        <w:tc>
          <w:tcPr>
            <w:tcW w:type="dxa" w:w="2268"/>
            <w:vAlign w:val="top"/>
          </w:tcPr>
          <w:p>
            <w:pPr>
              <w:spacing w:after="40"/>
            </w:pPr>
            <w:r/>
            <w:r>
              <w:rPr>
                <w:b/>
                <w:color w:val="5B6B80"/>
                <w:sz w:val="20"/>
              </w:rPr>
              <w:t>Points discussed</w:t>
            </w:r>
          </w:p>
        </w:tc>
        <w:tc>
          <w:tcPr>
            <w:tcW w:type="dxa" w:w="7370"/>
          </w:tcPr>
          <w:p/>
        </w:tc>
      </w:tr>
      <w:tr>
        <w:trPr>
          <w:trHeight w:val="567"/>
        </w:trPr>
        <w:tc>
          <w:tcPr>
            <w:tcW w:type="dxa" w:w="2268"/>
            <w:vAlign w:val="top"/>
          </w:tcPr>
          <w:p>
            <w:pPr>
              <w:spacing w:after="40"/>
            </w:pPr>
            <w:r/>
            <w:r>
              <w:rPr>
                <w:b/>
                <w:color w:val="5B6B80"/>
                <w:sz w:val="20"/>
              </w:rPr>
              <w:t>Guide remarks</w:t>
            </w:r>
          </w:p>
        </w:tc>
        <w:tc>
          <w:tcPr>
            <w:tcW w:type="dxa" w:w="7370"/>
          </w:tcPr>
          <w:p/>
        </w:tc>
      </w:tr>
    </w:tbl>
    <w:p>
      <w:pPr>
        <w:spacing w:after="0" w:before="0"/>
      </w:pPr>
      <w:r>
        <w:rPr>
          <w:b w:val="0"/>
          <w:i w:val="0"/>
          <w:color w:val="0F1B2D"/>
          <w:sz w:val="12"/>
        </w:rPr>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3213"/>
        <w:gridCol w:w="3213"/>
        <w:gridCol w:w="3213"/>
      </w:tblGrid>
      <w:tr>
        <w:trPr>
          <w:trHeight w:val="737"/>
        </w:trPr>
        <w:tc>
          <w:tcPr>
            <w:tcW w:type="dxa" w:w="3402"/>
            <w:vAlign w:val="top"/>
          </w:tcPr>
          <w:p>
            <w:pPr>
              <w:spacing w:after="40"/>
            </w:pPr>
            <w:r/>
            <w:r>
              <w:rPr>
                <w:b/>
                <w:color w:val="5B6B80"/>
                <w:sz w:val="20"/>
              </w:rPr>
              <w:t>Guide signature:</w:t>
            </w:r>
          </w:p>
        </w:tc>
        <w:tc>
          <w:tcPr>
            <w:tcW w:type="dxa" w:w="3118"/>
            <w:vAlign w:val="top"/>
          </w:tcPr>
          <w:p>
            <w:pPr>
              <w:spacing w:after="40"/>
            </w:pPr>
            <w:r/>
            <w:r>
              <w:rPr>
                <w:b/>
                <w:color w:val="5B6B80"/>
                <w:sz w:val="20"/>
              </w:rPr>
              <w:t>Date:</w:t>
            </w:r>
          </w:p>
        </w:tc>
        <w:tc>
          <w:tcPr>
            <w:tcW w:type="dxa" w:w="3118"/>
            <w:vAlign w:val="top"/>
          </w:tcPr>
          <w:p>
            <w:pPr>
              <w:spacing w:after="40"/>
            </w:pPr>
            <w:r/>
            <w:r>
              <w:rPr>
                <w:b/>
                <w:color w:val="5B6B80"/>
                <w:sz w:val="20"/>
              </w:rPr>
              <w:t>Remarks (if any):</w:t>
            </w:r>
          </w:p>
        </w:tc>
      </w:tr>
    </w:tbl>
    <w:p>
      <w:r>
        <w:br w:type="page"/>
      </w:r>
    </w:p>
    <w:p>
      <w:pPr>
        <w:keepNext/>
        <w:spacing w:after="120" w:before="0"/>
      </w:pPr>
      <w:r>
        <w:rPr>
          <w:rFonts w:ascii="Cambria" w:hAnsi="Cambria" w:eastAsia="Cambria"/>
          <w:b/>
          <w:i w:val="0"/>
          <w:color w:val="0F1B2D"/>
          <w:sz w:val="30"/>
        </w:rPr>
        <w:t>5. Problems met and how they were handled</w:t>
      </w:r>
    </w:p>
    <w:tbl>
      <w:tblPr>
        <w:tblW w:type="auto" w:w="0"/>
        <w:tblLayout w:type="fixed"/>
        <w:tblLook w:firstColumn="1" w:firstRow="1" w:lastColumn="0" w:lastRow="0" w:noHBand="0" w:noVBand="1" w:val="04A0"/>
        <w:tblLayout w:type="fixed"/>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Pr>
      <w:tblGrid>
        <w:gridCol w:w="4819"/>
        <w:gridCol w:w="4819"/>
      </w:tblGrid>
      <w:tr>
        <w:tc>
          <w:tcPr>
            <w:tcW w:type="dxa" w:w="4535"/>
            <w:vAlign w:val="top"/>
            <w:shd w:val="clear" w:color="auto" w:fill="0F1B2D"/>
          </w:tcPr>
          <w:p>
            <w:pPr>
              <w:spacing w:after="40"/>
            </w:pPr>
            <w:r/>
            <w:r>
              <w:rPr>
                <w:b/>
                <w:color w:val="FFFFFF"/>
                <w:sz w:val="20"/>
              </w:rPr>
              <w:t>Problem</w:t>
            </w:r>
          </w:p>
        </w:tc>
        <w:tc>
          <w:tcPr>
            <w:tcW w:type="dxa" w:w="5102"/>
            <w:vAlign w:val="top"/>
            <w:shd w:val="clear" w:color="auto" w:fill="0F1B2D"/>
          </w:tcPr>
          <w:p>
            <w:pPr>
              <w:spacing w:after="40"/>
            </w:pPr>
            <w:r/>
            <w:r>
              <w:rPr>
                <w:b/>
                <w:color w:val="FFFFFF"/>
                <w:sz w:val="20"/>
              </w:rPr>
              <w:t>What we did</w:t>
            </w:r>
          </w:p>
        </w:tc>
      </w:tr>
      <w:tr>
        <w:trPr>
          <w:cantSplit/>
        </w:trPr>
        <w:tc>
          <w:tcPr>
            <w:tcW w:type="dxa" w:w="4535"/>
            <w:vAlign w:val="top"/>
          </w:tcPr>
          <w:p>
            <w:pPr>
              <w:spacing w:after="40"/>
            </w:pPr>
            <w:r/>
            <w:r>
              <w:rPr>
                <w:b w:val="0"/>
                <w:color w:val="0F1B2D"/>
                <w:sz w:val="20"/>
              </w:rPr>
              <w:t>Anonymous OpenAlex search budget used up (HTTP 429), so the baseline run stopped at 100 of 150 claims.</w:t>
            </w:r>
          </w:p>
        </w:tc>
        <w:tc>
          <w:tcPr>
            <w:tcW w:type="dxa" w:w="5102"/>
            <w:vAlign w:val="top"/>
          </w:tcPr>
          <w:p>
            <w:pPr>
              <w:spacing w:after="40"/>
            </w:pPr>
            <w:r/>
            <w:r>
              <w:rPr>
                <w:b w:val="0"/>
                <w:color w:val="0F1B2D"/>
                <w:sz w:val="20"/>
              </w:rPr>
              <w:t>Reported all variants on the 100 scored claims; added a Wikipedia retriever; made exhaustion an explicit error state.</w:t>
            </w:r>
          </w:p>
        </w:tc>
      </w:tr>
      <w:tr>
        <w:trPr>
          <w:cantSplit/>
        </w:trPr>
        <w:tc>
          <w:tcPr>
            <w:tcW w:type="dxa" w:w="4535"/>
            <w:vAlign w:val="top"/>
          </w:tcPr>
          <w:p>
            <w:pPr>
              <w:spacing w:after="40"/>
            </w:pPr>
            <w:r/>
            <w:r>
              <w:rPr>
                <w:b w:val="0"/>
                <w:color w:val="0F1B2D"/>
                <w:sz w:val="20"/>
              </w:rPr>
              <w:t>First per-source stance prompt lost accuracy on decisive claims (13 of 36 REFUTES called supported).</w:t>
            </w:r>
          </w:p>
        </w:tc>
        <w:tc>
          <w:tcPr>
            <w:tcW w:type="dxa" w:w="5102"/>
            <w:vAlign w:val="top"/>
          </w:tcPr>
          <w:p>
            <w:pPr>
              <w:spacing w:after="40"/>
            </w:pPr>
            <w:r/>
            <w:r>
              <w:rPr>
                <w:b w:val="0"/>
                <w:color w:val="0F1B2D"/>
                <w:sz w:val="20"/>
              </w:rPr>
              <w:t>Found two causes in our own code and prompt; fixed both; added a regression test; drew no conclusion about the fixed prompt until it is re-evaluated.</w:t>
            </w:r>
          </w:p>
        </w:tc>
      </w:tr>
      <w:tr>
        <w:trPr>
          <w:cantSplit/>
        </w:trPr>
        <w:tc>
          <w:tcPr>
            <w:tcW w:type="dxa" w:w="4535"/>
            <w:vAlign w:val="top"/>
          </w:tcPr>
          <w:p>
            <w:pPr>
              <w:spacing w:after="40"/>
            </w:pPr>
            <w:r/>
            <w:r>
              <w:rPr>
                <w:b w:val="0"/>
                <w:color w:val="0F1B2D"/>
                <w:sz w:val="20"/>
              </w:rPr>
              <w:t>Model account ran out of credit (HTTP 402) during the fresh-sample re-run and before the cross-model audit.</w:t>
            </w:r>
          </w:p>
        </w:tc>
        <w:tc>
          <w:tcPr>
            <w:tcW w:type="dxa" w:w="5102"/>
            <w:vAlign w:val="top"/>
          </w:tcPr>
          <w:p>
            <w:pPr>
              <w:spacing w:after="40"/>
            </w:pPr>
            <w:r/>
            <w:r>
              <w:rPr>
                <w:b w:val="0"/>
                <w:color w:val="0F1B2D"/>
                <w:sz w:val="20"/>
              </w:rPr>
              <w:t>Kept the incomplete runs for transparency only; wrote the audit protocol and script so it can run once credit is added.</w:t>
            </w:r>
          </w:p>
        </w:tc>
      </w:tr>
      <w:tr>
        <w:trPr>
          <w:cantSplit/>
        </w:trPr>
        <w:tc>
          <w:tcPr>
            <w:tcW w:type="dxa" w:w="4535"/>
            <w:vAlign w:val="top"/>
          </w:tcPr>
          <w:p>
            <w:pPr>
              <w:spacing w:after="40"/>
            </w:pPr>
            <w:r/>
            <w:r>
              <w:rPr>
                <w:b w:val="0"/>
                <w:color w:val="0F1B2D"/>
                <w:sz w:val="20"/>
              </w:rPr>
              <w:t>Earlier density score did not behave as its name suggests.</w:t>
            </w:r>
          </w:p>
        </w:tc>
        <w:tc>
          <w:tcPr>
            <w:tcW w:type="dxa" w:w="5102"/>
            <w:vAlign w:val="top"/>
          </w:tcPr>
          <w:p>
            <w:pPr>
              <w:spacing w:after="40"/>
            </w:pPr>
            <w:r/>
            <w:r>
              <w:rPr>
                <w:b w:val="0"/>
                <w:color w:val="0F1B2D"/>
                <w:sz w:val="20"/>
              </w:rPr>
              <w:t>Proved that a single-query density score reduces to a nearest-neighbour distance and that the entropy score rewards redundant sources.</w:t>
            </w:r>
          </w:p>
        </w:tc>
      </w:tr>
    </w:tbl>
    <w:p>
      <w:pPr>
        <w:spacing w:after="160" w:before="0"/>
      </w:pPr>
      <w:r>
        <w:rPr>
          <w:b w:val="0"/>
          <w:i w:val="0"/>
          <w:color w:val="0F1B2D"/>
          <w:sz w:val="22"/>
        </w:rPr>
      </w:r>
    </w:p>
    <w:p>
      <w:pPr>
        <w:keepNext/>
        <w:spacing w:after="120" w:before="0"/>
      </w:pPr>
      <w:r>
        <w:rPr>
          <w:rFonts w:ascii="Cambria" w:hAnsi="Cambria" w:eastAsia="Cambria"/>
          <w:b/>
          <w:i w:val="0"/>
          <w:color w:val="0F1B2D"/>
          <w:sz w:val="30"/>
        </w:rPr>
        <w:t>6. Plan before Research Implementation Review 2</w:t>
      </w:r>
    </w:p>
    <w:p>
      <w:pPr>
        <w:pStyle w:val="ListNumber"/>
        <w:spacing w:after="60"/>
      </w:pPr>
      <w:r>
        <w:rPr>
          <w:sz w:val="22"/>
        </w:rPr>
        <w:t>Add model credit and re-evaluate the corrected stance prompt on a fresh 150-claim sample.</w:t>
      </w:r>
    </w:p>
    <w:p>
      <w:pPr>
        <w:pStyle w:val="ListNumber"/>
        <w:spacing w:after="60"/>
      </w:pPr>
      <w:r>
        <w:rPr>
          <w:sz w:val="22"/>
        </w:rPr>
        <w:t>Run the 40-prompt cross-model audit on seven commercial models and fill Table III of the paper.</w:t>
      </w:r>
    </w:p>
    <w:p>
      <w:pPr>
        <w:pStyle w:val="ListNumber"/>
        <w:spacing w:after="60"/>
      </w:pPr>
      <w:r>
        <w:rPr>
          <w:sz w:val="22"/>
        </w:rPr>
        <w:t>Compare verdicts with human judgements on a sample of audited answers.</w:t>
      </w:r>
    </w:p>
    <w:p>
      <w:pPr>
        <w:pStyle w:val="ListNumber"/>
        <w:spacing w:after="60"/>
      </w:pPr>
      <w:r>
        <w:rPr>
          <w:sz w:val="22"/>
        </w:rPr>
        <w:t>Compile the journal paper with the official TACL style file and resolve reviewer comments from Review 1.</w:t>
      </w:r>
    </w:p>
    <w:p>
      <w:pPr>
        <w:spacing w:after="200" w:before="0"/>
      </w:pPr>
      <w:r>
        <w:rPr>
          <w:b w:val="0"/>
          <w:i w:val="0"/>
          <w:color w:val="0F1B2D"/>
          <w:sz w:val="22"/>
        </w:rPr>
      </w:r>
    </w:p>
    <w:p>
      <w:pPr>
        <w:keepNext/>
        <w:spacing w:after="120" w:before="0"/>
      </w:pPr>
      <w:r>
        <w:rPr>
          <w:rFonts w:ascii="Cambria" w:hAnsi="Cambria" w:eastAsia="Cambria"/>
          <w:b/>
          <w:i w:val="0"/>
          <w:color w:val="0F1B2D"/>
          <w:sz w:val="24"/>
        </w:rPr>
        <w:t>Declaration and guide approval</w:t>
      </w:r>
    </w:p>
    <w:p>
      <w:pPr>
        <w:spacing w:after="200" w:before="0"/>
      </w:pPr>
      <w:r>
        <w:rPr>
          <w:b w:val="0"/>
          <w:i w:val="0"/>
          <w:color w:val="0F1B2D"/>
          <w:sz w:val="21"/>
        </w:rPr>
        <w:t>We confirm that the entries above describe work carried out by us on this project.</w:t>
      </w:r>
    </w:p>
    <w:tbl>
      <w:tblPr>
        <w:tblW w:type="auto" w:w="0"/>
        <w:tblLayout w:type="fixed"/>
        <w:tblLook w:firstColumn="1" w:firstRow="1" w:lastColumn="0" w:lastRow="0" w:noHBand="0" w:noVBand="1" w:val="04A0"/>
        <w:tblLayout w:type="fixed"/>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Pr>
      <w:tblGrid>
        <w:gridCol w:w="3213"/>
        <w:gridCol w:w="3213"/>
        <w:gridCol w:w="3213"/>
      </w:tblGrid>
      <w:tr>
        <w:tc>
          <w:tcPr>
            <w:tcW w:type="dxa" w:w="3214"/>
            <w:vAlign w:val="top"/>
          </w:tcPr>
          <w:p>
            <w:pPr>
              <w:spacing w:after="40"/>
            </w:pPr>
            <w:r/>
            <w:r>
              <w:rPr>
                <w:b/>
                <w:color w:val="5B6B80"/>
                <w:sz w:val="20"/>
              </w:rPr>
              <w:t>Piush Kole (signature)</w:t>
            </w:r>
          </w:p>
        </w:tc>
        <w:tc>
          <w:tcPr>
            <w:tcW w:type="dxa" w:w="3214"/>
            <w:vAlign w:val="top"/>
          </w:tcPr>
          <w:p>
            <w:pPr>
              <w:spacing w:after="40"/>
            </w:pPr>
            <w:r/>
            <w:r>
              <w:rPr>
                <w:b/>
                <w:color w:val="5B6B80"/>
                <w:sz w:val="20"/>
              </w:rPr>
              <w:t>Thrilok M (signature)</w:t>
            </w:r>
          </w:p>
        </w:tc>
        <w:tc>
          <w:tcPr>
            <w:tcW w:type="dxa" w:w="3209"/>
            <w:vAlign w:val="top"/>
          </w:tcPr>
          <w:p>
            <w:pPr>
              <w:spacing w:after="40"/>
            </w:pPr>
            <w:r/>
            <w:r>
              <w:rPr>
                <w:b/>
                <w:color w:val="5B6B80"/>
                <w:sz w:val="20"/>
              </w:rPr>
              <w:t>Research guide (signature, date)</w:t>
            </w:r>
          </w:p>
        </w:tc>
      </w:tr>
      <w:tr>
        <w:trPr>
          <w:trHeight w:val="1134"/>
        </w:trPr>
        <w:tc>
          <w:tcPr>
            <w:tcW w:type="dxa" w:w="3214"/>
          </w:tcPr>
          <w:p/>
        </w:tc>
        <w:tc>
          <w:tcPr>
            <w:tcW w:type="dxa" w:w="3214"/>
          </w:tcPr>
          <w:p/>
        </w:tc>
        <w:tc>
          <w:tcPr>
            <w:tcW w:type="dxa" w:w="3209"/>
          </w:tcP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80"/>
        <w:sz w:val="18"/>
      </w:rPr>
      <w:t xml:space="preserve">Research Work Diary  |  Piush Kole, Thrilok M  |  Page </w:t>
    </w:r>
    <w:r>
      <w:rPr>
        <w:color w:val="5B6B80"/>
        <w:sz w:val="18"/>
      </w:rPr>
      <w:fldChar w:fldCharType="begin"/>
    </w:r>
    <w:r>
      <w:rPr>
        <w:color w:val="5B6B80"/>
        <w:sz w:val="18"/>
      </w:rPr>
      <w:instrText xml:space="preserve">PAGE</w:instrText>
    </w:r>
    <w:r>
      <w:rPr>
        <w:color w:val="5B6B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