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alibri" w:hAnsi="Calibri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68pt;height:16.25pt;z-index:-1000;margin-left:0pt;margin-top:655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text" w:vAnchor="text" w:y="13113" w:w="9360" w:h="325" w:hSpace="0" w:vSpace="0" w:wrap="3"/>
                    <w:tabs>
                      <w:tab w:val="right" w:leader="none" w:pos="5328"/>
                    </w:tabs>
                    <w:rPr>
                      <w:color w:val="#000000"/>
                      <w:sz w:val="24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Calibri" w:hAnsi="Calibri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Calibri" w:hAnsi="Calibri"/>
                    </w:rPr>
                    <w:t xml:space="preserve">Revised June 21, 2022	</w:t>
                  </w:r>
                  <w:r>
                    <w:rPr>
                      <w:color w:val="#000000"/>
                      <w:sz w:val="24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Calibri" w:hAnsi="Calibri"/>
                    </w:rPr>
                    <w:t xml:space="preserve">Page 13 of 62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alibri" w:hAnsi="Calibri"/>
        </w:rPr>
        <w:t xml:space="preserve">Regional Plan: Part 1</w:t>
      </w:r>
    </w:p>
    <w:p>
      <w:pPr>
        <w:ind w:right="72" w:left="0" w:firstLine="0"/>
        <w:spacing w:before="108" w:after="0" w:line="240" w:lineRule="auto"/>
        <w:jc w:val="left"/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The first part of the regional plan presents a baseline of the region. It considers the region’s </w:t>
      </w: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alibri" w:hAnsi="Calibri"/>
        </w:rPr>
        <w:t xml:space="preserve">stakeholders, assesses the factors affecting the region’s economic, environmental, and health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conditions, and conducts detailed economic and workforce analyses. The intention is to ensure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that the plans take a full account of the factors shaping economic development in the region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before developing strategies for recovery and transition.</w:t>
      </w:r>
    </w:p>
    <w:p>
      <w:pPr>
        <w:ind w:right="216" w:left="0" w:firstLine="0"/>
        <w:spacing w:before="252" w:after="0" w:line="240" w:lineRule="auto"/>
        <w:jc w:val="left"/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Conduct the following analyses. In each section, summarize findings and explain how these findings inform the planning process and how they correspond with the Collaborative’s goals.</w:t>
      </w:r>
    </w:p>
    <w:p>
      <w:pPr>
        <w:ind w:right="0" w:left="0" w:firstLine="0"/>
        <w:spacing w:before="180" w:after="0" w:line="240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</w:pPr>
      <w:r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1. Stakeholder Mapping</w:t>
      </w:r>
    </w:p>
    <w:p>
      <w:pPr>
        <w:ind w:right="72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  <w:t xml:space="preserve">A snapshot of the historically active stakeholders that can influence creating a High Road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economy in the CERF Region and/or benefit from it.</w:t>
      </w:r>
    </w:p>
    <w:p>
      <w:pPr>
        <w:ind w:right="0" w:left="792" w:firstLine="-504"/>
        <w:spacing w:before="180" w:after="0" w:line="240" w:lineRule="auto"/>
        <w:jc w:val="left"/>
        <w:tabs>
          <w:tab w:val="clear" w:pos="504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1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1"/>
          <w:w w:val="105"/>
          <w:strike w:val="false"/>
          <w:vertAlign w:val="baseline"/>
          <w:rFonts w:ascii="Calibri" w:hAnsi="Calibri"/>
        </w:rPr>
        <w:t xml:space="preserve">Provide the list of organizations and entities and discuss their potential role in </w:t>
      </w:r>
      <w: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  <w:t xml:space="preserve">developing the plan and engaging in the Implementation Phase. These stakeholders may </w:t>
      </w: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alibri" w:hAnsi="Calibri"/>
        </w:rPr>
        <w:t xml:space="preserve">include but are not limited to employers, businesses, community-based organizations, community members and residents, government and economic development agencies,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labor organizations, philanthropic organizations, academic institutions, education and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training providers, workforce entities, and industries.</w:t>
      </w:r>
    </w:p>
    <w:p>
      <w:pPr>
        <w:ind w:right="216" w:left="792" w:firstLine="-504"/>
        <w:spacing w:before="144" w:after="0" w:line="240" w:lineRule="auto"/>
        <w:jc w:val="left"/>
        <w:tabs>
          <w:tab w:val="clear" w:pos="504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Overview of the state of disinvested communities in the region. Discuss how and in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which areas these communities face economic barriers. Include a snapshot of the plan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to outreach to organizations that represent these communities and how the HRTC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intends to ensure their active participation.</w:t>
      </w:r>
    </w:p>
    <w:p>
      <w:pPr>
        <w:ind w:right="144" w:left="792" w:firstLine="-504"/>
        <w:spacing w:before="72" w:after="0" w:line="240" w:lineRule="auto"/>
        <w:jc w:val="left"/>
        <w:tabs>
          <w:tab w:val="clear" w:pos="504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Create and show a network of existing partners and their existing regional and </w:t>
      </w: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alibri" w:hAnsi="Calibri"/>
        </w:rPr>
        <w:t xml:space="preserve">subregional plans, strategies, and related reports to demonstrate synergies, potentials,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and challenges.</w:t>
      </w:r>
    </w:p>
    <w:p>
      <w:pPr>
        <w:ind w:right="0" w:left="792" w:firstLine="-504"/>
        <w:spacing w:before="72" w:after="0" w:line="240" w:lineRule="auto"/>
        <w:jc w:val="left"/>
        <w:tabs>
          <w:tab w:val="clear" w:pos="504"/>
          <w:tab w:val="decimal" w:pos="792"/>
        </w:tabs>
        <w:numPr>
          <w:ilvl w:val="0"/>
          <w:numId w:val="2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Clarify opportunities for collaborations and partnerships.</w:t>
      </w:r>
    </w:p>
    <w:p>
      <w:pPr>
        <w:ind w:right="0" w:left="0" w:firstLine="0"/>
        <w:spacing w:before="144" w:after="0" w:line="264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</w:pPr>
      <w:r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2. Regional Summary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A summary background of the demographic and socio-economic conditions of the region, </w:t>
      </w:r>
      <w:r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Calibri" w:hAnsi="Calibri"/>
        </w:rPr>
        <w:t xml:space="preserve">highlighting areas with low and high economic diversification and resiliency, as well as any </w:t>
      </w:r>
      <w: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  <w:t xml:space="preserve">industry trends that impact the regional economy. The regional summary must identify regional 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inequities, such as economic, health, and environmental inequities, currently facing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communities in the region.</w:t>
      </w:r>
    </w:p>
    <w:p>
      <w:pPr>
        <w:ind w:right="1800" w:left="216" w:firstLine="144"/>
        <w:spacing w:before="324" w:after="0" w:line="360" w:lineRule="auto"/>
        <w:jc w:val="left"/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The regional summary must include the following analysis and discussion: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i. </w:t>
      </w:r>
      <w:r>
        <w:rPr>
          <w:color w:val="#000000"/>
          <w:sz w:val="24"/>
          <w:lang w:val="en-US"/>
          <w:spacing w:val="-4"/>
          <w:w w:val="105"/>
          <w:strike w:val="false"/>
          <w:u w:val="single"/>
          <w:vertAlign w:val="baseline"/>
          <w:rFonts w:ascii="Calibri" w:hAnsi="Calibri"/>
        </w:rPr>
        <w:t xml:space="preserve">Economy and Economic Development </w:t>
      </w:r>
    </w:p>
    <w:p>
      <w:pPr>
        <w:ind w:right="0" w:left="720" w:firstLine="0"/>
        <w:spacing w:before="108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Identify economic development opportunities and forces in the region.</w:t>
      </w:r>
    </w:p>
    <w:p>
      <w:pPr>
        <w:ind w:right="0" w:left="720" w:firstLine="0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Review inequities in economic development across the region.</w:t>
      </w:r>
    </w:p>
    <w:p>
      <w:pPr>
        <w:ind w:right="0" w:left="720" w:firstLine="0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Identify major low- and high- wage industries and occupations in the region.</w:t>
      </w:r>
    </w:p>
    <w:p>
      <w:pPr>
        <w:sectPr>
          <w:pgSz w:w="12240" w:h="15840" w:orient="portrait"/>
          <w:type w:val="nextPage"/>
          <w:textDirection w:val="lrTb"/>
          <w:pgMar w:bottom="957" w:top="1440" w:right="1403" w:left="1417" w:header="720" w:footer="720"/>
          <w:titlePg w:val="false"/>
        </w:sectPr>
      </w:pPr>
    </w:p>
    <w:p>
      <w:pPr>
        <w:ind w:right="0" w:left="720" w:firstLine="0"/>
        <w:spacing w:before="0" w:after="0" w:line="264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68pt;height:16.25pt;z-index:-999;margin-left:0pt;margin-top:655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text" w:vAnchor="text" w:y="13113" w:w="9360" w:h="325" w:hSpace="0" w:vSpace="0" w:wrap="3"/>
                    <w:tabs>
                      <w:tab w:val="right" w:leader="none" w:pos="5369"/>
                    </w:tabs>
                    <w:rPr>
                      <w:color w:val="#000000"/>
                      <w:sz w:val="24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Calibri" w:hAnsi="Calibri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Calibri" w:hAnsi="Calibri"/>
                    </w:rPr>
                    <w:t xml:space="preserve">Revised June 21, 2022	</w:t>
                  </w:r>
                  <w:r>
                    <w:rPr>
                      <w:color w:val="#000000"/>
                      <w:sz w:val="24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Calibri" w:hAnsi="Calibri"/>
                    </w:rPr>
                    <w:t xml:space="preserve">Page 14 of 62</w:t>
                  </w:r>
                </w:p>
              </w:txbxContent>
            </v:textbox>
          </v:shape>
        </w:pic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• 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Explore economic well-being and cost of living across the region.</w:t>
      </w:r>
    </w:p>
    <w:p>
      <w:pPr>
        <w:ind w:right="72" w:left="1152" w:firstLine="-432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alibri" w:hAnsi="Calibri"/>
        </w:rPr>
        <w:t xml:space="preserve">Economic Shocks: Discuss the impacts caused by economic shocks (e.g., pandemics,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natural disasters) or longer-term economic shifts (e.g.., global market signals, </w:t>
      </w:r>
      <w:r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Calibri" w:hAnsi="Calibri"/>
        </w:rPr>
        <w:t xml:space="preserve">automation, policy levers) in the region. These include economic harm to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communities (i.e., workers, small businesses, impacted industries, the public sector,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and selected regions and populations) as well as the potential for new economic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development opportunities.</w:t>
      </w:r>
    </w:p>
    <w:p>
      <w:pPr>
        <w:ind w:right="360" w:left="432" w:firstLine="-216"/>
        <w:spacing w:before="180" w:after="0" w:line="240" w:lineRule="auto"/>
        <w:jc w:val="left"/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ii. </w:t>
      </w:r>
      <w:r>
        <w:rPr>
          <w:color w:val="#000000"/>
          <w:sz w:val="24"/>
          <w:lang w:val="en-US"/>
          <w:spacing w:val="-4"/>
          <w:w w:val="100"/>
          <w:strike w:val="false"/>
          <w:u w:val="single"/>
          <w:vertAlign w:val="baseline"/>
          <w:rFonts w:ascii="Calibri" w:hAnsi="Calibri"/>
        </w:rPr>
        <w:t xml:space="preserve">Climate and Environmental Impact: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 Identify anticipated climate impacts and the factors that increase the region’s vulnerability to those impacts</w:t>
      </w:r>
    </w:p>
    <w:p>
      <w:pPr>
        <w:ind w:right="504" w:left="1152" w:firstLine="-432"/>
        <w:spacing w:before="108" w:after="0" w:line="240" w:lineRule="auto"/>
        <w:jc w:val="both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alibri" w:hAnsi="Calibri"/>
        </w:rPr>
        <w:t xml:space="preserve">Identify short term and long-term impacts of climate change on the people and </w:t>
      </w:r>
      <w: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  <w:t xml:space="preserve">economy of the region. These include disproportionate impacts on disinvested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communities and expected increases in occupational hazards for workers.</w:t>
      </w:r>
    </w:p>
    <w:p>
      <w:pPr>
        <w:ind w:right="288" w:left="1152" w:firstLine="-432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Identify major sources of air pollution, water pollution, toxic and hazardous waste
</w:t>
        <w:br/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and their impacts on diverse communities, especially disinvested communities.</w:t>
      </w:r>
    </w:p>
    <w:p>
      <w:pPr>
        <w:ind w:right="432" w:left="1152" w:firstLine="-432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  <w:t xml:space="preserve">Identify major sources of Greenhouse Gas (GHG) emissions and their impacts on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diverse communities, especially disinvested communities.</w:t>
      </w:r>
    </w:p>
    <w:p>
      <w:pPr>
        <w:ind w:right="72" w:left="1152" w:firstLine="-432"/>
        <w:spacing w:before="36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alibri" w:hAnsi="Calibri"/>
        </w:rPr>
        <w:t xml:space="preserve">Assess impacts of climate change on targeted emerging industries, sectors, or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clusters and how these impacts might hinder success of the proposed plans and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transition strategies (e.g., damage to critical infrastructure, loss of productivity, loss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of population).</w:t>
      </w:r>
    </w:p>
    <w:p>
      <w:pPr>
        <w:ind w:right="0" w:left="144" w:firstLine="0"/>
        <w:spacing w:before="180" w:after="0" w:line="240" w:lineRule="auto"/>
        <w:jc w:val="left"/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iii. </w:t>
      </w:r>
      <w:r>
        <w:rPr>
          <w:color w:val="#000000"/>
          <w:sz w:val="24"/>
          <w:lang w:val="en-US"/>
          <w:spacing w:val="0"/>
          <w:w w:val="100"/>
          <w:strike w:val="false"/>
          <w:u w:val="single"/>
          <w:vertAlign w:val="baseline"/>
          <w:rFonts w:ascii="Calibri" w:hAnsi="Calibri"/>
        </w:rPr>
        <w:t xml:space="preserve">Public Health Analysis:</w:t>
      </w:r>
    </w:p>
    <w:p>
      <w:pPr>
        <w:ind w:right="72" w:left="1152" w:firstLine="-432"/>
        <w:spacing w:before="108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alibri" w:hAnsi="Calibri"/>
        </w:rPr>
        <w:t xml:space="preserve">Provide a snapshot of the impacts of the current economic trends and climate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change effects on public health, especially the impacts on disinvested communities.</w:t>
      </w:r>
    </w:p>
    <w:p>
      <w:pPr>
        <w:ind w:right="0" w:left="1152" w:firstLine="-432"/>
        <w:spacing w:before="72" w:after="0" w:line="240" w:lineRule="auto"/>
        <w:jc w:val="both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Explore the main causes of chronic illnesses and diseases in the region, and whether </w:t>
      </w: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alibri" w:hAnsi="Calibri"/>
        </w:rPr>
        <w:t xml:space="preserve">and how they are related to economic inequalities, climate impacts, environmental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factors, etc.</w:t>
      </w:r>
    </w:p>
    <w:p>
      <w:pPr>
        <w:ind w:right="504" w:left="1152" w:firstLine="-432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alibri" w:hAnsi="Calibri"/>
        </w:rPr>
        <w:t xml:space="preserve">Analyze health disparities across the region, disaggregated by race, gender, and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other demographics.</w:t>
      </w:r>
    </w:p>
    <w:p>
      <w:pPr>
        <w:ind w:right="0" w:left="0" w:firstLine="0"/>
        <w:spacing w:before="144" w:after="0" w:line="240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</w:pPr>
      <w:r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3. Labor Market Analysis</w:t>
      </w:r>
    </w:p>
    <w:p>
      <w:pPr>
        <w:ind w:right="216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A snapshot of labor and workforce dynamics in the region, including an overview of major employers, occupations, and wages, the impacts of the recent trends, changes, and forces on </w:t>
      </w: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alibri" w:hAnsi="Calibri"/>
        </w:rPr>
        <w:t xml:space="preserve">the labor market, and projected labor trends in existing key industries. The analysis must also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identify the following:</w:t>
      </w:r>
    </w:p>
    <w:p>
      <w:pPr>
        <w:ind w:right="0" w:left="720" w:firstLine="0"/>
        <w:spacing w:before="180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Industry-specific labor standards that meet high-road priorities.</w:t>
      </w:r>
    </w:p>
    <w:p>
      <w:pPr>
        <w:ind w:right="0" w:left="720" w:firstLine="0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Barriers that limit access to high-quality jobs.</w:t>
      </w:r>
    </w:p>
    <w:p>
      <w:pPr>
        <w:ind w:right="288" w:left="1152" w:firstLine="-432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Relevant training programs, apprenticeships, or high road training partnerships in 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the region.</w:t>
      </w:r>
    </w:p>
    <w:p>
      <w:pPr>
        <w:sectPr>
          <w:pgSz w:w="12240" w:h="15840" w:orient="portrait"/>
          <w:type w:val="nextPage"/>
          <w:textDirection w:val="lrTb"/>
          <w:pgMar w:bottom="957" w:top="1440" w:right="1444" w:left="1376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468pt;height:16.25pt;z-index:-998;margin-left:0pt;margin-top:655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text" w:vAnchor="text" w:y="13113" w:w="9360" w:h="325" w:hSpace="0" w:vSpace="0" w:wrap="3"/>
                    <w:tabs>
                      <w:tab w:val="right" w:leader="none" w:pos="5354"/>
                    </w:tabs>
                    <w:rPr>
                      <w:color w:val="#000000"/>
                      <w:sz w:val="24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Calibri" w:hAnsi="Calibri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12"/>
                      <w:w w:val="105"/>
                      <w:strike w:val="false"/>
                      <w:vertAlign w:val="baseline"/>
                      <w:rFonts w:ascii="Calibri" w:hAnsi="Calibri"/>
                    </w:rPr>
                    <w:t xml:space="preserve">Revised June 21, 2022	</w:t>
                  </w:r>
                  <w:r>
                    <w:rPr>
                      <w:color w:val="#000000"/>
                      <w:sz w:val="24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Calibri" w:hAnsi="Calibri"/>
                    </w:rPr>
                    <w:t xml:space="preserve">Page 15 of 62</w:t>
                  </w:r>
                </w:p>
              </w:txbxContent>
            </v:textbox>
          </v:shape>
        </w:pict>
      </w:r>
      <w:r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4. Industry Cluster Analysis:</w:t>
      </w:r>
    </w:p>
    <w:p>
      <w:pPr>
        <w:ind w:right="144" w:left="0" w:firstLine="0"/>
        <w:spacing w:before="108" w:after="0" w:line="240" w:lineRule="auto"/>
        <w:jc w:val="left"/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A snapshot of current major industries as well as industry trends and projections. The analysis 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must also:</w:t>
      </w:r>
    </w:p>
    <w:p>
      <w:pPr>
        <w:ind w:right="144" w:left="1152" w:firstLine="-432"/>
        <w:spacing w:before="180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Include an in-depth analysis of potential growth clusters based on the region’s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comparative advantages, market trends, workforce, infrastructure assets, policy trends, aligned state/federal investments, supply chain, and innovation ecosystem.</w:t>
      </w:r>
    </w:p>
    <w:p>
      <w:pPr>
        <w:ind w:right="648" w:left="1152" w:firstLine="-432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  <w:t xml:space="preserve">Identify major sources of GHG emissions, air and water pollution, and toxic or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hazardous waste from existing or proposed clusters.</w:t>
      </w:r>
    </w:p>
    <w:p>
      <w:pPr>
        <w:ind w:right="0" w:left="1152" w:firstLine="-432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Conduct measurements of potential for job growth within industries.</w:t>
      </w:r>
    </w:p>
    <w:p>
      <w:pPr>
        <w:ind w:right="432" w:left="1152" w:firstLine="-432"/>
        <w:spacing w:before="72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alibri" w:hAnsi="Calibri"/>
        </w:rPr>
        <w:t xml:space="preserve">Identify workers and sectors at risk of displacement due to identified trends and 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analyses.</w:t>
      </w:r>
    </w:p>
    <w:p>
      <w:pPr>
        <w:ind w:right="0" w:left="0" w:firstLine="0"/>
        <w:spacing w:before="144" w:after="0" w:line="240" w:lineRule="auto"/>
        <w:jc w:val="left"/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</w:pPr>
      <w:r>
        <w:rPr>
          <w:b w:val="true"/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5. SWOT Analysis</w:t>
      </w:r>
    </w:p>
    <w:p>
      <w:pPr>
        <w:ind w:right="144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alibri" w:hAnsi="Calibri"/>
        </w:rPr>
        <w:t xml:space="preserve">An in-depth analysis of regional Strengths, Weaknesses, Opportunities, and Threats (i.e.,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SWOT), especially as it relates to equitable economic resilience and growth of sustainable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industry clusters. The SWOT analysis will draw from data and components through conducting the above analyses.</w:t>
      </w:r>
      <w:r>
        <w:rPr>
          <w:b w:val="true"/>
          <w:i w:val="true"/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alibri" w:hAnsi="Calibri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alibri" w:hAnsi="Calibri"/>
        </w:rPr>
        <w:t xml:space="preserve">Regional Plan: Part 2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HRTCs will also be required to develop a holistic economic development and transition </w:t>
      </w: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alibri" w:hAnsi="Calibri"/>
        </w:rPr>
        <w:t xml:space="preserve">roadmap with strategies that prioritize the creation of high-quality jobs, equitable access to </w:t>
      </w:r>
      <w:r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Calibri" w:hAnsi="Calibri"/>
        </w:rPr>
        <w:t xml:space="preserve">jobs and resources, and emphasizes developing sustainable and resilient economies and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industries. These industries include but are not limited to renewable energy, energy efficiency, </w:t>
      </w:r>
      <w: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alibri" w:hAnsi="Calibri"/>
        </w:rPr>
        <w:t xml:space="preserve">carbon removal, zero-emission vehicles, advanced manufacturing, agriculture, forestry, artificial </w:t>
      </w:r>
      <w:r>
        <w:rPr>
          <w:color w:val="#000000"/>
          <w:sz w:val="24"/>
          <w:lang w:val="en-US"/>
          <w:spacing w:val="-3"/>
          <w:w w:val="105"/>
          <w:strike w:val="false"/>
          <w:vertAlign w:val="baseline"/>
          <w:rFonts w:ascii="Calibri" w:hAnsi="Calibri"/>
        </w:rPr>
        <w:t xml:space="preserve">intelligence, and climate restoration and resilience. The roadmap and strategies must refer to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the findings of the analyses in Part 1. The roadmap must include:</w:t>
      </w:r>
    </w:p>
    <w:p>
      <w:pPr>
        <w:ind w:right="0" w:left="72" w:firstLine="0"/>
        <w:spacing w:before="288" w:after="0" w:line="240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b w:val="true"/>
          <w:i w:val="true"/>
          <w:color w:val="#000000"/>
          <w:sz w:val="24"/>
          <w:lang w:val="en-US"/>
          <w:spacing w:val="16"/>
          <w:w w:val="105"/>
          <w:strike w:val="false"/>
          <w:vertAlign w:val="baseline"/>
          <w:rFonts w:ascii="Calibri" w:hAnsi="Calibri"/>
        </w:rPr>
      </w:pPr>
      <w:r>
        <w:rPr>
          <w:b w:val="true"/>
          <w:i w:val="true"/>
          <w:color w:val="#000000"/>
          <w:sz w:val="24"/>
          <w:lang w:val="en-US"/>
          <w:spacing w:val="16"/>
          <w:w w:val="105"/>
          <w:strike w:val="false"/>
          <w:vertAlign w:val="baseline"/>
          <w:rFonts w:ascii="Calibri" w:hAnsi="Calibri"/>
        </w:rPr>
        <w:t xml:space="preserve">Vision and Goals</w:t>
      </w:r>
    </w:p>
    <w:p>
      <w:pPr>
        <w:ind w:right="1080" w:left="0" w:firstLine="0"/>
        <w:spacing w:before="144" w:after="0" w:line="240" w:lineRule="auto"/>
        <w:jc w:val="left"/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alibri" w:hAnsi="Calibri"/>
        </w:rPr>
        <w:t xml:space="preserve">Develop a vision and specific regional goals for creating a High Road economy that is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sustainable, inclusive, and equitable.</w:t>
      </w:r>
      <w:r>
        <w:rPr>
          <w:b w:val="true"/>
          <w:i w:val="true"/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</w:r>
    </w:p>
    <w:p>
      <w:pPr>
        <w:ind w:right="0" w:left="72" w:firstLine="0"/>
        <w:spacing w:before="180" w:after="0" w:line="264" w:lineRule="auto"/>
        <w:jc w:val="left"/>
        <w:tabs>
          <w:tab w:val="clear" w:pos="360"/>
          <w:tab w:val="decimal" w:pos="432"/>
        </w:tabs>
        <w:numPr>
          <w:ilvl w:val="0"/>
          <w:numId w:val="4"/>
        </w:numPr>
        <w:rPr>
          <w:b w:val="true"/>
          <w:i w:val="true"/>
          <w:color w:val="#000000"/>
          <w:sz w:val="24"/>
          <w:lang w:val="en-US"/>
          <w:spacing w:val="3"/>
          <w:w w:val="105"/>
          <w:strike w:val="false"/>
          <w:vertAlign w:val="baseline"/>
          <w:rFonts w:ascii="Calibri" w:hAnsi="Calibri"/>
        </w:rPr>
      </w:pPr>
      <w:r>
        <w:rPr>
          <w:b w:val="true"/>
          <w:i w:val="true"/>
          <w:color w:val="#000000"/>
          <w:sz w:val="24"/>
          <w:lang w:val="en-US"/>
          <w:spacing w:val="3"/>
          <w:w w:val="105"/>
          <w:strike w:val="false"/>
          <w:vertAlign w:val="baseline"/>
          <w:rFonts w:ascii="Calibri" w:hAnsi="Calibri"/>
        </w:rPr>
        <w:t xml:space="preserve">Strategies for the growth of targeted industries:</w:t>
      </w:r>
    </w:p>
    <w:p>
      <w:pPr>
        <w:ind w:right="0" w:left="288" w:firstLine="0"/>
        <w:spacing w:before="108" w:after="0" w:line="240" w:lineRule="auto"/>
        <w:jc w:val="left"/>
        <w:tabs>
          <w:tab w:val="right" w:leader="none" w:pos="9060"/>
        </w:tabs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Calibri" w:hAnsi="Calibri"/>
        </w:rPr>
        <w:t xml:space="preserve">i.	</w:t>
      </w:r>
      <w:r>
        <w:rPr>
          <w:color w:val="#000000"/>
          <w:sz w:val="24"/>
          <w:lang w:val="en-US"/>
          <w:spacing w:val="-2"/>
          <w:w w:val="100"/>
          <w:strike w:val="false"/>
          <w:u w:val="single"/>
          <w:vertAlign w:val="baseline"/>
          <w:rFonts w:ascii="Calibri" w:hAnsi="Calibri"/>
        </w:rPr>
        <w:t xml:space="preserve">Industrial Cluster Development:</w:t>
      </w: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alibri" w:hAnsi="Calibri"/>
        </w:rPr>
        <w:t xml:space="preserve"> This section will provide a snapshot of current trends</w:t>
      </w:r>
    </w:p>
    <w:p>
      <w:pPr>
        <w:ind w:right="144" w:left="720" w:firstLine="0"/>
        <w:spacing w:before="72" w:after="0" w:line="240" w:lineRule="auto"/>
        <w:jc w:val="left"/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alibri" w:hAnsi="Calibri"/>
        </w:rPr>
        <w:t xml:space="preserve">and projected growth. It will consider, but is not bound by, existing relevant plans such as CEDS (if applicable and appropriate) along with the following elements that work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together to support creation of quality jobs:</w:t>
      </w:r>
    </w:p>
    <w:p>
      <w:pPr>
        <w:ind w:right="1152" w:left="1152" w:firstLine="-432"/>
        <w:spacing w:before="108" w:after="0" w:line="240" w:lineRule="auto"/>
        <w:jc w:val="left"/>
        <w:tabs>
          <w:tab w:val="clear" w:pos="432"/>
          <w:tab w:val="decimal" w:pos="1152"/>
        </w:tabs>
        <w:numPr>
          <w:ilvl w:val="0"/>
          <w:numId w:val="3"/>
        </w:numP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alibri" w:hAnsi="Calibri"/>
        </w:rPr>
        <w:t xml:space="preserve">Clear Local Market Signals: Assess how proposed industries and affiliated
</w:t>
        <w:br/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alibri" w:hAnsi="Calibri"/>
        </w:rPr>
        <w:t xml:space="preserve">investments align with market trends and local/state/federal policies.</w:t>
      </w:r>
    </w:p>
    <w:sectPr>
      <w:pgSz w:w="12240" w:h="15840" w:orient="portrait"/>
      <w:type w:val="nextPage"/>
      <w:textDirection w:val="lrTb"/>
      <w:pgMar w:bottom="957" w:top="1440" w:right="1419" w:left="140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00000"/>
        <w:sz w:val="24"/>
        <w:lang w:val="en-US"/>
        <w:spacing w:val="-1"/>
        <w:w w:val="105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000000"/>
        <w:sz w:val="24"/>
        <w:lang w:val="en-US"/>
        <w:spacing w:val="-5"/>
        <w:w w:val="105"/>
        <w:strike w:val="false"/>
        <w:vertAlign w:val="baseline"/>
        <w:rFonts w:ascii="Symbol" w:hAnsi="Symbol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b w:val="true"/>
        <w:i w:val="true"/>
        <w:color w:val="#000000"/>
        <w:sz w:val="24"/>
        <w:lang w:val="en-US"/>
        <w:spacing w:val="16"/>
        <w:w w:val="105"/>
        <w:strike w:val="false"/>
        <w:vertAlign w:val="baseline"/>
        <w:rFonts w:ascii="Calibri" w:hAnsi="Calibri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