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1559C" w:rsidRDefault="00F1559C" w14:paraId="27E0667B" w14:textId="77B82A2A" w14:noSpellErr="1">
      <w:r w:rsidR="1B01DFCC">
        <w:rPr/>
        <w:t xml:space="preserve">SWOT Analysis </w:t>
      </w:r>
      <w:r w:rsidRPr="1B01DFCC" w:rsidR="1B01DFCC">
        <w:rPr>
          <w:u w:val="single"/>
        </w:rPr>
        <w:t>Inland Empire High Roads Transition Collaborative</w:t>
      </w:r>
      <w:r w:rsidR="1B01DFCC">
        <w:rPr/>
        <w:t xml:space="preserve"> (HRTC) June 5, 2023</w:t>
      </w:r>
    </w:p>
    <w:p w:rsidR="00F1559C" w:rsidRDefault="00F1559C" w14:paraId="18E6ED88" w14:textId="58145194"/>
    <w:sdt>
      <w:sdtPr>
        <w:id w:val="2036661837"/>
        <w:docPartObj>
          <w:docPartGallery w:val="Table of Contents"/>
          <w:docPartUnique/>
        </w:docPartObj>
      </w:sdtPr>
      <w:sdtContent>
        <w:p w:rsidR="1B01DFCC" w:rsidP="1B01DFCC" w:rsidRDefault="1B01DFCC" w14:paraId="2E33CA1A" w14:textId="19D506B4">
          <w:pPr>
            <w:pStyle w:val="TOC1"/>
            <w:tabs>
              <w:tab w:val="right" w:leader="dot" w:pos="9360"/>
            </w:tabs>
            <w:bidi w:val="0"/>
            <w:rPr>
              <w:rStyle w:val="Hyperlink"/>
            </w:rPr>
          </w:pPr>
          <w:r>
            <w:fldChar w:fldCharType="begin"/>
          </w:r>
          <w:r>
            <w:instrText xml:space="preserve">TOC \o \z \u \h</w:instrText>
          </w:r>
          <w:r>
            <w:fldChar w:fldCharType="separate"/>
          </w:r>
          <w:hyperlink w:anchor="_Toc966605912">
            <w:r w:rsidRPr="1B01DFCC" w:rsidR="1B01DFCC">
              <w:rPr>
                <w:rStyle w:val="Hyperlink"/>
              </w:rPr>
              <w:t>Opportunities and Threats</w:t>
            </w:r>
            <w:r>
              <w:tab/>
            </w:r>
            <w:r>
              <w:fldChar w:fldCharType="begin"/>
            </w:r>
            <w:r>
              <w:instrText xml:space="preserve">PAGEREF _Toc966605912 \h</w:instrText>
            </w:r>
            <w:r>
              <w:fldChar w:fldCharType="separate"/>
            </w:r>
            <w:r w:rsidRPr="1B01DFCC" w:rsidR="1B01DFCC">
              <w:rPr>
                <w:rStyle w:val="Hyperlink"/>
              </w:rPr>
              <w:t>1</w:t>
            </w:r>
            <w:r>
              <w:fldChar w:fldCharType="end"/>
            </w:r>
          </w:hyperlink>
        </w:p>
        <w:p w:rsidR="1B01DFCC" w:rsidP="1B01DFCC" w:rsidRDefault="1B01DFCC" w14:paraId="7D4A2775" w14:textId="38FB8303">
          <w:pPr>
            <w:pStyle w:val="TOC2"/>
            <w:tabs>
              <w:tab w:val="right" w:leader="dot" w:pos="9360"/>
            </w:tabs>
            <w:bidi w:val="0"/>
            <w:rPr>
              <w:rStyle w:val="Hyperlink"/>
            </w:rPr>
          </w:pPr>
          <w:hyperlink w:anchor="_Toc1098585035">
            <w:r w:rsidRPr="1B01DFCC" w:rsidR="1B01DFCC">
              <w:rPr>
                <w:rStyle w:val="Hyperlink"/>
              </w:rPr>
              <w:t>Ecological Factors</w:t>
            </w:r>
            <w:r>
              <w:tab/>
            </w:r>
            <w:r>
              <w:fldChar w:fldCharType="begin"/>
            </w:r>
            <w:r>
              <w:instrText xml:space="preserve">PAGEREF _Toc1098585035 \h</w:instrText>
            </w:r>
            <w:r>
              <w:fldChar w:fldCharType="separate"/>
            </w:r>
            <w:r w:rsidRPr="1B01DFCC" w:rsidR="1B01DFCC">
              <w:rPr>
                <w:rStyle w:val="Hyperlink"/>
              </w:rPr>
              <w:t>1</w:t>
            </w:r>
            <w:r>
              <w:fldChar w:fldCharType="end"/>
            </w:r>
          </w:hyperlink>
        </w:p>
        <w:p w:rsidR="1B01DFCC" w:rsidP="1B01DFCC" w:rsidRDefault="1B01DFCC" w14:paraId="658C74E8" w14:textId="5167F91F">
          <w:pPr>
            <w:pStyle w:val="TOC2"/>
            <w:tabs>
              <w:tab w:val="right" w:leader="dot" w:pos="9360"/>
            </w:tabs>
            <w:bidi w:val="0"/>
            <w:rPr>
              <w:rStyle w:val="Hyperlink"/>
            </w:rPr>
          </w:pPr>
          <w:hyperlink w:anchor="_Toc1484582738">
            <w:r w:rsidRPr="1B01DFCC" w:rsidR="1B01DFCC">
              <w:rPr>
                <w:rStyle w:val="Hyperlink"/>
              </w:rPr>
              <w:t>Social Factors</w:t>
            </w:r>
            <w:r>
              <w:tab/>
            </w:r>
            <w:r>
              <w:fldChar w:fldCharType="begin"/>
            </w:r>
            <w:r>
              <w:instrText xml:space="preserve">PAGEREF _Toc1484582738 \h</w:instrText>
            </w:r>
            <w:r>
              <w:fldChar w:fldCharType="separate"/>
            </w:r>
            <w:r w:rsidRPr="1B01DFCC" w:rsidR="1B01DFCC">
              <w:rPr>
                <w:rStyle w:val="Hyperlink"/>
              </w:rPr>
              <w:t>1</w:t>
            </w:r>
            <w:r>
              <w:fldChar w:fldCharType="end"/>
            </w:r>
          </w:hyperlink>
        </w:p>
        <w:p w:rsidR="1B01DFCC" w:rsidP="1B01DFCC" w:rsidRDefault="1B01DFCC" w14:paraId="1FFD4E90" w14:textId="055124B5">
          <w:pPr>
            <w:pStyle w:val="TOC2"/>
            <w:tabs>
              <w:tab w:val="right" w:leader="dot" w:pos="9360"/>
            </w:tabs>
            <w:bidi w:val="0"/>
            <w:rPr>
              <w:rStyle w:val="Hyperlink"/>
            </w:rPr>
          </w:pPr>
          <w:hyperlink w:anchor="_Toc1317790400">
            <w:r w:rsidRPr="1B01DFCC" w:rsidR="1B01DFCC">
              <w:rPr>
                <w:rStyle w:val="Hyperlink"/>
              </w:rPr>
              <w:t>Economic Factors.</w:t>
            </w:r>
            <w:r>
              <w:tab/>
            </w:r>
            <w:r>
              <w:fldChar w:fldCharType="begin"/>
            </w:r>
            <w:r>
              <w:instrText xml:space="preserve">PAGEREF _Toc1317790400 \h</w:instrText>
            </w:r>
            <w:r>
              <w:fldChar w:fldCharType="separate"/>
            </w:r>
            <w:r w:rsidRPr="1B01DFCC" w:rsidR="1B01DFCC">
              <w:rPr>
                <w:rStyle w:val="Hyperlink"/>
              </w:rPr>
              <w:t>2</w:t>
            </w:r>
            <w:r>
              <w:fldChar w:fldCharType="end"/>
            </w:r>
          </w:hyperlink>
        </w:p>
        <w:p w:rsidR="1B01DFCC" w:rsidP="1B01DFCC" w:rsidRDefault="1B01DFCC" w14:paraId="3D2DDD53" w14:textId="13FDDDC0">
          <w:pPr>
            <w:pStyle w:val="TOC2"/>
            <w:tabs>
              <w:tab w:val="right" w:leader="dot" w:pos="9360"/>
            </w:tabs>
            <w:bidi w:val="0"/>
            <w:rPr>
              <w:rStyle w:val="Hyperlink"/>
            </w:rPr>
          </w:pPr>
          <w:hyperlink w:anchor="_Toc1637502741">
            <w:r w:rsidRPr="1B01DFCC" w:rsidR="1B01DFCC">
              <w:rPr>
                <w:rStyle w:val="Hyperlink"/>
              </w:rPr>
              <w:t>Technological Factors.</w:t>
            </w:r>
            <w:r>
              <w:tab/>
            </w:r>
            <w:r>
              <w:fldChar w:fldCharType="begin"/>
            </w:r>
            <w:r>
              <w:instrText xml:space="preserve">PAGEREF _Toc1637502741 \h</w:instrText>
            </w:r>
            <w:r>
              <w:fldChar w:fldCharType="separate"/>
            </w:r>
            <w:r w:rsidRPr="1B01DFCC" w:rsidR="1B01DFCC">
              <w:rPr>
                <w:rStyle w:val="Hyperlink"/>
              </w:rPr>
              <w:t>3</w:t>
            </w:r>
            <w:r>
              <w:fldChar w:fldCharType="end"/>
            </w:r>
          </w:hyperlink>
        </w:p>
        <w:p w:rsidR="1B01DFCC" w:rsidP="1B01DFCC" w:rsidRDefault="1B01DFCC" w14:paraId="13A910A5" w14:textId="296D3816">
          <w:pPr>
            <w:pStyle w:val="TOC2"/>
            <w:tabs>
              <w:tab w:val="right" w:leader="dot" w:pos="9360"/>
            </w:tabs>
            <w:bidi w:val="0"/>
            <w:rPr>
              <w:rStyle w:val="Hyperlink"/>
            </w:rPr>
          </w:pPr>
          <w:hyperlink w:anchor="_Toc1506617036">
            <w:r w:rsidRPr="1B01DFCC" w:rsidR="1B01DFCC">
              <w:rPr>
                <w:rStyle w:val="Hyperlink"/>
              </w:rPr>
              <w:t>Demographic Factors.</w:t>
            </w:r>
            <w:r>
              <w:tab/>
            </w:r>
            <w:r>
              <w:fldChar w:fldCharType="begin"/>
            </w:r>
            <w:r>
              <w:instrText xml:space="preserve">PAGEREF _Toc1506617036 \h</w:instrText>
            </w:r>
            <w:r>
              <w:fldChar w:fldCharType="separate"/>
            </w:r>
            <w:r w:rsidRPr="1B01DFCC" w:rsidR="1B01DFCC">
              <w:rPr>
                <w:rStyle w:val="Hyperlink"/>
              </w:rPr>
              <w:t>4</w:t>
            </w:r>
            <w:r>
              <w:fldChar w:fldCharType="end"/>
            </w:r>
          </w:hyperlink>
        </w:p>
        <w:p w:rsidR="1B01DFCC" w:rsidP="1B01DFCC" w:rsidRDefault="1B01DFCC" w14:paraId="52CF7AF1" w14:textId="5F1980F9">
          <w:pPr>
            <w:pStyle w:val="TOC2"/>
            <w:tabs>
              <w:tab w:val="right" w:leader="dot" w:pos="9360"/>
            </w:tabs>
            <w:bidi w:val="0"/>
            <w:rPr>
              <w:rStyle w:val="Hyperlink"/>
            </w:rPr>
          </w:pPr>
          <w:hyperlink w:anchor="_Toc742053445">
            <w:r w:rsidRPr="1B01DFCC" w:rsidR="1B01DFCC">
              <w:rPr>
                <w:rStyle w:val="Hyperlink"/>
              </w:rPr>
              <w:t>Political Factors.</w:t>
            </w:r>
            <w:r>
              <w:tab/>
            </w:r>
            <w:r>
              <w:fldChar w:fldCharType="begin"/>
            </w:r>
            <w:r>
              <w:instrText xml:space="preserve">PAGEREF _Toc742053445 \h</w:instrText>
            </w:r>
            <w:r>
              <w:fldChar w:fldCharType="separate"/>
            </w:r>
            <w:r w:rsidRPr="1B01DFCC" w:rsidR="1B01DFCC">
              <w:rPr>
                <w:rStyle w:val="Hyperlink"/>
              </w:rPr>
              <w:t>4</w:t>
            </w:r>
            <w:r>
              <w:fldChar w:fldCharType="end"/>
            </w:r>
          </w:hyperlink>
        </w:p>
        <w:p w:rsidR="1B01DFCC" w:rsidP="1B01DFCC" w:rsidRDefault="1B01DFCC" w14:paraId="5C6276B5" w14:textId="2BCE6152">
          <w:pPr>
            <w:pStyle w:val="TOC1"/>
            <w:tabs>
              <w:tab w:val="right" w:leader="dot" w:pos="9360"/>
            </w:tabs>
            <w:bidi w:val="0"/>
            <w:rPr>
              <w:rStyle w:val="Hyperlink"/>
            </w:rPr>
          </w:pPr>
          <w:hyperlink w:anchor="_Toc543329996">
            <w:r w:rsidRPr="1B01DFCC" w:rsidR="1B01DFCC">
              <w:rPr>
                <w:rStyle w:val="Hyperlink"/>
              </w:rPr>
              <w:t>References</w:t>
            </w:r>
            <w:r>
              <w:tab/>
            </w:r>
            <w:r>
              <w:fldChar w:fldCharType="begin"/>
            </w:r>
            <w:r>
              <w:instrText xml:space="preserve">PAGEREF _Toc543329996 \h</w:instrText>
            </w:r>
            <w:r>
              <w:fldChar w:fldCharType="separate"/>
            </w:r>
            <w:r w:rsidRPr="1B01DFCC" w:rsidR="1B01DFCC">
              <w:rPr>
                <w:rStyle w:val="Hyperlink"/>
              </w:rPr>
              <w:t>5</w:t>
            </w:r>
            <w:r>
              <w:fldChar w:fldCharType="end"/>
            </w:r>
          </w:hyperlink>
          <w:r>
            <w:fldChar w:fldCharType="end"/>
          </w:r>
        </w:p>
      </w:sdtContent>
    </w:sdt>
    <w:p w:rsidR="00F1559C" w:rsidRDefault="00F1559C" w14:paraId="2ADDB2D3" w14:textId="77777777"/>
    <w:p w:rsidR="00F1559C" w:rsidRDefault="00F1559C" w14:paraId="3510DEC7" w14:textId="77777777"/>
    <w:p w:rsidR="00F1559C" w:rsidP="1B01DFCC" w:rsidRDefault="00F1559C" w14:paraId="0BB25CE5" w14:textId="31866F86" w14:noSpellErr="1">
      <w:pPr>
        <w:pStyle w:val="Heading1"/>
      </w:pPr>
      <w:bookmarkStart w:name="_Toc966605912" w:id="492131825"/>
      <w:r w:rsidR="1B01DFCC">
        <w:rPr/>
        <w:t>Opportunities and Threats</w:t>
      </w:r>
      <w:bookmarkEnd w:id="492131825"/>
    </w:p>
    <w:p w:rsidR="00F1559C" w:rsidP="1B01DFCC" w:rsidRDefault="00F1559C" w14:paraId="53F24325" w14:textId="181C110B">
      <w:pPr>
        <w:pStyle w:val="Normal"/>
      </w:pPr>
    </w:p>
    <w:p w:rsidR="00F1559C" w:rsidP="1B01DFCC" w:rsidRDefault="00F1559C" w14:paraId="15561803" w14:textId="2F3206D6">
      <w:pPr>
        <w:pStyle w:val="Heading2"/>
        <w:ind w:left="0"/>
        <w:rPr>
          <w:rFonts w:ascii="Helvetica" w:hAnsi="Helvetica" w:eastAsia="Helvetica" w:cs="Helvetica"/>
          <w:b w:val="0"/>
          <w:bCs w:val="0"/>
          <w:i w:val="0"/>
          <w:iCs w:val="0"/>
          <w:caps w:val="0"/>
          <w:smallCaps w:val="0"/>
          <w:noProof w:val="0"/>
          <w:color w:val="000000" w:themeColor="text1" w:themeTint="FF" w:themeShade="FF"/>
          <w:sz w:val="24"/>
          <w:szCs w:val="24"/>
          <w:lang w:val="en-US"/>
        </w:rPr>
      </w:pPr>
      <w:bookmarkStart w:name="_Toc1098585035" w:id="808405720"/>
      <w:r w:rsidRPr="1B01DFCC" w:rsidR="1B01DFCC">
        <w:rPr>
          <w:noProof w:val="0"/>
          <w:lang w:val="en-US"/>
        </w:rPr>
        <w:t>Ecological Factors</w:t>
      </w:r>
      <w:bookmarkEnd w:id="808405720"/>
      <w:r w:rsidRPr="1B01DFCC" w:rsidR="1B01DFCC">
        <w:rPr>
          <w:noProof w:val="0"/>
          <w:lang w:val="en-US"/>
        </w:rPr>
        <w:t xml:space="preserve"> </w:t>
      </w:r>
    </w:p>
    <w:p w:rsidR="00F1559C" w:rsidP="1B01DFCC" w:rsidRDefault="00F1559C" w14:paraId="38F9F7A0" w14:textId="5168104F">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Resource depletion and pollution</w:t>
      </w:r>
    </w:p>
    <w:p w:rsidR="00F1559C" w:rsidP="1B01DFCC" w:rsidRDefault="00F1559C" w14:paraId="4B307670" w14:textId="70BFE6F0">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Destruction of ecosystems</w:t>
      </w:r>
    </w:p>
    <w:p w:rsidR="00F1559C" w:rsidP="1B01DFCC" w:rsidRDefault="00F1559C" w14:paraId="494B48BC" w14:textId="02E27042">
      <w:pPr>
        <w:pStyle w:val="ListParagraph"/>
        <w:numPr>
          <w:ilvl w:val="2"/>
          <w:numId w:val="1"/>
        </w:numPr>
        <w:jc w:val="left"/>
        <w:rPr>
          <w:noProof w:val="0"/>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The </w:t>
      </w:r>
      <w:r w:rsidRPr="1B01DFCC" w:rsidR="1B01DFCC">
        <w:rPr>
          <w:noProof w:val="0"/>
          <w:lang w:val="en-US"/>
        </w:rPr>
        <w:t xml:space="preserve">Robert Redford Conservancy and 60 </w:t>
      </w:r>
      <w:r w:rsidRPr="1B01DFCC" w:rsidR="1B01DFCC">
        <w:rPr>
          <w:noProof w:val="0"/>
          <w:lang w:val="en-US"/>
        </w:rPr>
        <w:t xml:space="preserve">other </w:t>
      </w:r>
      <w:r w:rsidRPr="1B01DFCC" w:rsidR="1B01DFCC">
        <w:rPr>
          <w:noProof w:val="0"/>
          <w:lang w:val="en-US"/>
        </w:rPr>
        <w:t>environment</w:t>
      </w:r>
      <w:r w:rsidRPr="1B01DFCC" w:rsidR="1B01DFCC">
        <w:rPr>
          <w:noProof w:val="0"/>
          <w:lang w:val="en-US"/>
        </w:rPr>
        <w:t xml:space="preserve"> groups have </w:t>
      </w:r>
      <w:r w:rsidRPr="1B01DFCC" w:rsidR="1B01DFCC">
        <w:rPr>
          <w:noProof w:val="0"/>
          <w:lang w:val="en-US"/>
        </w:rPr>
        <w:t>submitted</w:t>
      </w:r>
      <w:r w:rsidRPr="1B01DFCC" w:rsidR="1B01DFCC">
        <w:rPr>
          <w:noProof w:val="0"/>
          <w:lang w:val="en-US"/>
        </w:rPr>
        <w:t xml:space="preserve"> a lengthy report to Governor Newsom asking for a </w:t>
      </w:r>
      <w:r w:rsidRPr="1B01DFCC" w:rsidR="1B01DFCC">
        <w:rPr>
          <w:noProof w:val="0"/>
          <w:lang w:val="en-US"/>
        </w:rPr>
        <w:t>one to two year</w:t>
      </w:r>
      <w:r w:rsidRPr="1B01DFCC" w:rsidR="1B01DFCC">
        <w:rPr>
          <w:noProof w:val="0"/>
          <w:lang w:val="en-US"/>
        </w:rPr>
        <w:t xml:space="preserve"> moratorium on building any further warehouses in the Inland Empire.</w:t>
      </w:r>
    </w:p>
    <w:p w:rsidR="00F1559C" w:rsidP="1B01DFCC" w:rsidRDefault="00F1559C" w14:paraId="5AA1B7F6" w14:textId="5049E12E">
      <w:pPr>
        <w:pStyle w:val="ListParagraph"/>
        <w:numPr>
          <w:ilvl w:val="2"/>
          <w:numId w:val="1"/>
        </w:numPr>
        <w:jc w:val="left"/>
        <w:rPr>
          <w:noProof w:val="0"/>
          <w:lang w:val="en-US"/>
        </w:rPr>
      </w:pPr>
    </w:p>
    <w:p w:rsidR="00F1559C" w:rsidP="1B01DFCC" w:rsidRDefault="00F1559C" w14:paraId="3B4D0570" w14:textId="5CF39EE1">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Climate change</w:t>
      </w:r>
    </w:p>
    <w:p w:rsidR="00F1559C" w:rsidP="1B01DFCC" w:rsidRDefault="00F1559C" w14:paraId="59EE103C" w14:textId="056A5EC9">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Species extinction</w:t>
      </w:r>
    </w:p>
    <w:p w:rsidR="00F1559C" w:rsidP="1B01DFCC" w:rsidRDefault="00F1559C" w14:paraId="57C08D5A" w14:textId="2A21CAA3">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Energy</w:t>
      </w:r>
    </w:p>
    <w:p w:rsidR="00F1559C" w:rsidP="1B01DFCC" w:rsidRDefault="00F1559C" w14:paraId="70ED479A" w14:textId="751984D6">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Natural disasters</w:t>
      </w:r>
    </w:p>
    <w:p w:rsidR="00F1559C" w:rsidP="1B01DFCC" w:rsidRDefault="00F1559C" w14:paraId="299E2CF4" w14:textId="144A3F2F">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Flooding</w:t>
      </w:r>
    </w:p>
    <w:p w:rsidR="00F1559C" w:rsidP="1B01DFCC" w:rsidRDefault="00F1559C" w14:paraId="102E66ED" w14:textId="2E738876">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Wildfires</w:t>
      </w:r>
    </w:p>
    <w:p w:rsidR="00F1559C" w:rsidP="1B01DFCC" w:rsidRDefault="00F1559C" w14:paraId="68D0452B" w14:textId="61202A65">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Drought</w:t>
      </w:r>
    </w:p>
    <w:p w:rsidR="00F1559C" w:rsidP="1B01DFCC" w:rsidRDefault="00F1559C" w14:paraId="64AA71FA" w14:textId="6C16C4A1">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Earthquake</w:t>
      </w:r>
    </w:p>
    <w:p w:rsidR="00F1559C" w:rsidP="1B01DFCC" w:rsidRDefault="00F1559C" w14:paraId="7FF210D0" w14:textId="15DA32CC">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Pandemics</w:t>
      </w:r>
    </w:p>
    <w:p w:rsidR="00F1559C" w:rsidP="1B01DFCC" w:rsidRDefault="00F1559C" w14:paraId="675E29FE" w14:textId="796789C9">
      <w:pPr>
        <w:pStyle w:val="ListParagraph"/>
        <w:numPr>
          <w:ilvl w:val="2"/>
          <w:numId w:val="1"/>
        </w:numPr>
        <w:jc w:val="left"/>
        <w:rPr>
          <w:noProof w:val="0"/>
          <w:lang w:val="en-US"/>
        </w:rPr>
      </w:pPr>
      <w:r w:rsidRPr="1B01DFCC" w:rsidR="1B01DFCC">
        <w:rPr>
          <w:noProof w:val="0"/>
          <w:lang w:val="en-US"/>
        </w:rPr>
        <w:t>Keil et al 2023, p. 19</w:t>
      </w:r>
    </w:p>
    <w:p w:rsidR="00F1559C" w:rsidP="1B01DFCC" w:rsidRDefault="00F1559C" w14:paraId="7C84EC8D" w14:textId="2EB82F26">
      <w:pPr>
        <w:pStyle w:val="ListParagraph"/>
        <w:numPr>
          <w:ilvl w:val="3"/>
          <w:numId w:val="1"/>
        </w:numPr>
        <w:rPr>
          <w:noProof w:val="0"/>
          <w:lang w:val="en-US"/>
        </w:rPr>
      </w:pPr>
      <w:r w:rsidRPr="1B01DFCC" w:rsidR="1B01DFCC">
        <w:rPr>
          <w:noProof w:val="0"/>
          <w:lang w:val="en-US"/>
        </w:rPr>
        <w:t xml:space="preserve">The pandemic did not only fuel the warehouse boom in the Inland Empire, it will, if history is any guide, also accelerate the speed of technology adoption. </w:t>
      </w:r>
    </w:p>
    <w:p w:rsidR="00F1559C" w:rsidP="1B01DFCC" w:rsidRDefault="00F1559C" w14:paraId="3C2F85AB" w14:textId="0492FA84">
      <w:pPr>
        <w:pStyle w:val="ListParagraph"/>
        <w:numPr>
          <w:ilvl w:val="3"/>
          <w:numId w:val="1"/>
        </w:numPr>
        <w:rPr>
          <w:noProof w:val="0"/>
          <w:lang w:val="en-US"/>
        </w:rPr>
      </w:pPr>
      <w:r w:rsidRPr="1B01DFCC" w:rsidR="1B01DFCC">
        <w:rPr>
          <w:noProof w:val="0"/>
          <w:lang w:val="en-US"/>
        </w:rPr>
        <w:t>Data from past epidemics and pandemics as analyzed by the IMF, suggest that robot adoption accelerates by 20% within four years after a pandemic ends relative to places without such health crises.</w:t>
      </w:r>
    </w:p>
    <w:p w:rsidR="00F1559C" w:rsidP="1B01DFCC" w:rsidRDefault="00F1559C" w14:paraId="6644A860" w14:textId="63672B30">
      <w:pPr>
        <w:pStyle w:val="ListParagraph"/>
        <w:numPr>
          <w:ilvl w:val="3"/>
          <w:numId w:val="1"/>
        </w:numPr>
        <w:rPr>
          <w:noProof w:val="0"/>
          <w:lang w:val="en-US"/>
        </w:rPr>
      </w:pPr>
      <w:r w:rsidRPr="1B01DFCC" w:rsidR="1B01DFCC">
        <w:rPr>
          <w:noProof w:val="0"/>
          <w:lang w:val="en-US"/>
        </w:rPr>
        <w:t>Back-of-the-envelope calculations suggest that an additional 2.6% of the workforce—about 4 million workers—need to transition into new jobs during the next few years as compared to a scenario without a pandemic.</w:t>
      </w:r>
    </w:p>
    <w:p w:rsidR="00F1559C" w:rsidP="1B01DFCC" w:rsidRDefault="00F1559C" w14:paraId="3C9DD99A" w14:textId="3F82B128">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p>
    <w:p w:rsidR="00F1559C" w:rsidP="1B01DFCC" w:rsidRDefault="00F1559C" w14:paraId="7A74164C" w14:textId="23A7AEF8">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Climate Change</w:t>
      </w:r>
    </w:p>
    <w:p w:rsidR="00F1559C" w:rsidP="1B01DFCC" w:rsidRDefault="00F1559C" w14:paraId="13A153CB" w14:textId="1C5CDAE3">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Water scarcity</w:t>
      </w:r>
    </w:p>
    <w:p w:rsidR="00F1559C" w:rsidP="1B01DFCC" w:rsidRDefault="00F1559C" w14:paraId="00FADA83" w14:textId="340DC49C">
      <w:pPr>
        <w:pStyle w:val="Heading2"/>
        <w:ind w:left="0"/>
        <w:rPr>
          <w:rFonts w:ascii="Helvetica" w:hAnsi="Helvetica" w:eastAsia="Helvetica" w:cs="Helvetica"/>
          <w:b w:val="0"/>
          <w:bCs w:val="0"/>
          <w:i w:val="0"/>
          <w:iCs w:val="0"/>
          <w:caps w:val="0"/>
          <w:smallCaps w:val="0"/>
          <w:noProof w:val="0"/>
          <w:color w:val="000000" w:themeColor="text1" w:themeTint="FF" w:themeShade="FF"/>
          <w:sz w:val="24"/>
          <w:szCs w:val="24"/>
          <w:lang w:val="en-US"/>
        </w:rPr>
      </w:pPr>
      <w:bookmarkStart w:name="_Toc1484582738" w:id="1995984189"/>
      <w:r w:rsidRPr="1B01DFCC" w:rsidR="1B01DFCC">
        <w:rPr>
          <w:noProof w:val="0"/>
          <w:lang w:val="en-US"/>
        </w:rPr>
        <w:t>Social Factors</w:t>
      </w:r>
      <w:bookmarkEnd w:id="1995984189"/>
    </w:p>
    <w:p w:rsidR="00F1559C" w:rsidP="1B01DFCC" w:rsidRDefault="00F1559C" w14:paraId="5BDAB294" w14:textId="4D8C5746">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Population growth,</w:t>
      </w:r>
    </w:p>
    <w:p w:rsidR="00F1559C" w:rsidP="1B01DFCC" w:rsidRDefault="00F1559C" w14:paraId="445384E5" w14:textId="11C67988">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the economic gulf between developed, undeveloped, and developing markets</w:t>
      </w:r>
    </w:p>
    <w:p w:rsidR="00F1559C" w:rsidP="1B01DFCC" w:rsidRDefault="00F1559C" w14:paraId="1CA3C3C2" w14:textId="29DC986E">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human rights</w:t>
      </w:r>
    </w:p>
    <w:p w:rsidR="00F1559C" w:rsidP="1B01DFCC" w:rsidRDefault="00F1559C" w14:paraId="22876EC9" w14:textId="72D75C80">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human health</w:t>
      </w:r>
    </w:p>
    <w:p w:rsidR="00F1559C" w:rsidP="1B01DFCC" w:rsidRDefault="00F1559C" w14:paraId="1F7465A9" w14:textId="27777BF6">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gender equity</w:t>
      </w:r>
    </w:p>
    <w:p w:rsidR="00F1559C" w:rsidP="1B01DFCC" w:rsidRDefault="00F1559C" w14:paraId="59E60C63" w14:textId="1166192B">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Education</w:t>
      </w:r>
    </w:p>
    <w:p w:rsidR="00F1559C" w:rsidP="1B01DFCC" w:rsidRDefault="00F1559C" w14:paraId="040EBB55" w14:textId="6498AD53">
      <w:pPr>
        <w:pStyle w:val="ListParagraph"/>
        <w:numPr>
          <w:ilvl w:val="2"/>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Keil et al p. 22</w:t>
      </w:r>
    </w:p>
    <w:p w:rsidR="00F1559C" w:rsidP="1B01DFCC" w:rsidRDefault="00F1559C" w14:paraId="0EDE0C53" w14:textId="5A826C69">
      <w:pPr>
        <w:pStyle w:val="ListParagraph"/>
        <w:numPr>
          <w:ilvl w:val="3"/>
          <w:numId w:val="1"/>
        </w:numPr>
        <w:jc w:val="left"/>
        <w:rPr>
          <w:noProof w:val="0"/>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The </w:t>
      </w:r>
      <w:r w:rsidRPr="1B01DFCC" w:rsidR="1B01DFCC">
        <w:rPr>
          <w:noProof w:val="0"/>
          <w:lang w:val="en-US"/>
        </w:rPr>
        <w:t xml:space="preserve">percent of residents in the Inland Empire with a </w:t>
      </w:r>
      <w:r w:rsidRPr="1B01DFCC" w:rsidR="1B01DFCC">
        <w:rPr>
          <w:noProof w:val="0"/>
          <w:lang w:val="en-US"/>
        </w:rPr>
        <w:t>Bachelor Degree</w:t>
      </w:r>
      <w:r w:rsidRPr="1B01DFCC" w:rsidR="1B01DFCC">
        <w:rPr>
          <w:noProof w:val="0"/>
          <w:lang w:val="en-US"/>
        </w:rPr>
        <w:t xml:space="preserve"> or higher is </w:t>
      </w:r>
      <w:r w:rsidRPr="1B01DFCC" w:rsidR="1B01DFCC">
        <w:rPr>
          <w:noProof w:val="0"/>
          <w:lang w:val="en-US"/>
        </w:rPr>
        <w:t>roughly 25%</w:t>
      </w:r>
      <w:r w:rsidRPr="1B01DFCC" w:rsidR="1B01DFCC">
        <w:rPr>
          <w:noProof w:val="0"/>
          <w:lang w:val="en-US"/>
        </w:rPr>
        <w:t>.</w:t>
      </w:r>
    </w:p>
    <w:p w:rsidR="00F1559C" w:rsidP="1B01DFCC" w:rsidRDefault="00F1559C" w14:paraId="37337FFD" w14:textId="45FDBE42">
      <w:pPr>
        <w:pStyle w:val="ListParagraph"/>
        <w:numPr>
          <w:ilvl w:val="3"/>
          <w:numId w:val="1"/>
        </w:numPr>
        <w:rPr>
          <w:noProof w:val="0"/>
          <w:lang w:val="en-US"/>
        </w:rPr>
      </w:pPr>
      <w:r w:rsidRPr="1B01DFCC" w:rsidR="1B01DFCC">
        <w:rPr>
          <w:noProof w:val="0"/>
          <w:lang w:val="en-US"/>
        </w:rPr>
        <w:t>It is over 10 percentage points lower than the same statistic for the Phoenix MSA.</w:t>
      </w:r>
    </w:p>
    <w:p w:rsidR="00F1559C" w:rsidP="1B01DFCC" w:rsidRDefault="00F1559C" w14:paraId="0F5E112F" w14:textId="352311A8">
      <w:pPr>
        <w:pStyle w:val="Normal"/>
      </w:pPr>
      <w:r>
        <w:drawing>
          <wp:inline wp14:editId="0312E96A" wp14:anchorId="3A21D6F5">
            <wp:extent cx="5865778" cy="5743575"/>
            <wp:effectExtent l="0" t="0" r="0" b="0"/>
            <wp:docPr id="1440771313" name="" title=""/>
            <wp:cNvGraphicFramePr>
              <a:graphicFrameLocks noChangeAspect="1"/>
            </wp:cNvGraphicFramePr>
            <a:graphic>
              <a:graphicData uri="http://schemas.openxmlformats.org/drawingml/2006/picture">
                <pic:pic>
                  <pic:nvPicPr>
                    <pic:cNvPr id="0" name=""/>
                    <pic:cNvPicPr/>
                  </pic:nvPicPr>
                  <pic:blipFill>
                    <a:blip r:embed="R5be6aa782d16494d">
                      <a:extLst>
                        <a:ext xmlns:a="http://schemas.openxmlformats.org/drawingml/2006/main" uri="{28A0092B-C50C-407E-A947-70E740481C1C}">
                          <a14:useLocalDpi val="0"/>
                        </a:ext>
                      </a:extLst>
                    </a:blip>
                    <a:stretch>
                      <a:fillRect/>
                    </a:stretch>
                  </pic:blipFill>
                  <pic:spPr>
                    <a:xfrm>
                      <a:off x="0" y="0"/>
                      <a:ext cx="5865778" cy="5743575"/>
                    </a:xfrm>
                    <a:prstGeom prst="rect">
                      <a:avLst/>
                    </a:prstGeom>
                  </pic:spPr>
                </pic:pic>
              </a:graphicData>
            </a:graphic>
          </wp:inline>
        </w:drawing>
      </w:r>
    </w:p>
    <w:p w:rsidR="00F1559C" w:rsidP="1B01DFCC" w:rsidRDefault="00F1559C" w14:paraId="3EB2E7D0" w14:textId="56AF9735">
      <w:pPr>
        <w:pStyle w:val="Normal"/>
      </w:pPr>
      <w:r w:rsidR="1B01DFCC">
        <w:rPr/>
        <w:t>Source: American Community Survey, 2021</w:t>
      </w:r>
    </w:p>
    <w:p w:rsidR="00F1559C" w:rsidP="1B01DFCC" w:rsidRDefault="00F1559C" w14:paraId="7E5168A4" w14:textId="5CFAA339">
      <w:pPr>
        <w:pStyle w:val="Normal"/>
      </w:pPr>
    </w:p>
    <w:p w:rsidR="00F1559C" w:rsidP="1B01DFCC" w:rsidRDefault="00F1559C" w14:paraId="40F6252F" w14:textId="22D7CC47">
      <w:pPr>
        <w:pStyle w:val="Normal"/>
        <w:ind w:left="0"/>
      </w:pPr>
      <w:r>
        <w:drawing>
          <wp:inline wp14:editId="2EE9DEF7" wp14:anchorId="0FF353A5">
            <wp:extent cx="5876770" cy="5276850"/>
            <wp:effectExtent l="0" t="0" r="0" b="0"/>
            <wp:docPr id="35365958" name="" title=""/>
            <wp:cNvGraphicFramePr>
              <a:graphicFrameLocks noChangeAspect="1"/>
            </wp:cNvGraphicFramePr>
            <a:graphic>
              <a:graphicData uri="http://schemas.openxmlformats.org/drawingml/2006/picture">
                <pic:pic>
                  <pic:nvPicPr>
                    <pic:cNvPr id="0" name=""/>
                    <pic:cNvPicPr/>
                  </pic:nvPicPr>
                  <pic:blipFill>
                    <a:blip r:embed="Rd552ab1917bf4b68">
                      <a:extLst>
                        <a:ext xmlns:a="http://schemas.openxmlformats.org/drawingml/2006/main" uri="{28A0092B-C50C-407E-A947-70E740481C1C}">
                          <a14:useLocalDpi val="0"/>
                        </a:ext>
                      </a:extLst>
                    </a:blip>
                    <a:stretch>
                      <a:fillRect/>
                    </a:stretch>
                  </pic:blipFill>
                  <pic:spPr>
                    <a:xfrm>
                      <a:off x="0" y="0"/>
                      <a:ext cx="5876770" cy="5276850"/>
                    </a:xfrm>
                    <a:prstGeom prst="rect">
                      <a:avLst/>
                    </a:prstGeom>
                  </pic:spPr>
                </pic:pic>
              </a:graphicData>
            </a:graphic>
          </wp:inline>
        </w:drawing>
      </w:r>
    </w:p>
    <w:p w:rsidR="00F1559C" w:rsidP="1B01DFCC" w:rsidRDefault="00F1559C" w14:paraId="76FC40E6" w14:textId="5940DBB3">
      <w:pPr>
        <w:pStyle w:val="Normal"/>
        <w:ind w:left="0"/>
      </w:pPr>
      <w:r w:rsidR="1B01DFCC">
        <w:rPr/>
        <w:t>Source: American Community Survey 2021</w:t>
      </w:r>
    </w:p>
    <w:p w:rsidR="00F1559C" w:rsidP="1B01DFCC" w:rsidRDefault="00F1559C" w14:paraId="1F0C8623" w14:textId="2B1C9756">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food security</w:t>
      </w:r>
    </w:p>
    <w:p w:rsidR="00F1559C" w:rsidP="1B01DFCC" w:rsidRDefault="00F1559C" w14:paraId="1136CE96" w14:textId="37D43ADA">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urbanization</w:t>
      </w:r>
    </w:p>
    <w:p w:rsidR="00F1559C" w:rsidP="1B01DFCC" w:rsidRDefault="00F1559C" w14:paraId="25B8ABFD" w14:textId="4B545394">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community viability</w:t>
      </w:r>
    </w:p>
    <w:p w:rsidR="00F1559C" w:rsidP="1B01DFCC" w:rsidRDefault="00F1559C" w14:paraId="2D5DD439" w14:textId="083434AC">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Gender/educational equity</w:t>
      </w:r>
    </w:p>
    <w:p w:rsidR="00F1559C" w:rsidP="1B01DFCC" w:rsidRDefault="00F1559C" w14:paraId="40F0BE29" w14:textId="64AA84C1">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Sustainability movements</w:t>
      </w:r>
    </w:p>
    <w:p w:rsidR="00F1559C" w:rsidP="1B01DFCC" w:rsidRDefault="00F1559C" w14:paraId="6374046A" w14:textId="3A189D19">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Attitudes </w:t>
      </w: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regarding</w:t>
      </w: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life-work balance</w:t>
      </w:r>
    </w:p>
    <w:p w:rsidR="00F1559C" w:rsidP="1B01DFCC" w:rsidRDefault="00F1559C" w14:paraId="35A1607E" w14:textId="1D084686">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Attitudes towards Workforce diversity (and racial equity)</w:t>
      </w:r>
    </w:p>
    <w:p w:rsidR="00F1559C" w:rsidP="1B01DFCC" w:rsidRDefault="00F1559C" w14:paraId="60A7FCAF" w14:textId="13F87F2A">
      <w:pPr>
        <w:pStyle w:val="ListParagraph"/>
        <w:numPr>
          <w:ilvl w:val="1"/>
          <w:numId w:val="1"/>
        </w:numPr>
        <w:jc w:val="left"/>
        <w:rPr>
          <w:rFonts w:ascii="Helvetica" w:hAnsi="Helvetica" w:eastAsia="Helvetica" w:cs="Helvetica"/>
          <w:b w:val="0"/>
          <w:bCs w:val="0"/>
          <w:i w:val="0"/>
          <w:iCs w:val="0"/>
          <w:caps w:val="0"/>
          <w:smallCaps w:val="0"/>
          <w:noProof w:val="0"/>
          <w:color w:val="000000" w:themeColor="text1" w:themeTint="FF" w:themeShade="FF"/>
          <w:sz w:val="24"/>
          <w:szCs w:val="24"/>
          <w:lang w:val="en-US"/>
        </w:rPr>
      </w:pPr>
      <w:r w:rsidRPr="1B01DFCC" w:rsidR="1B01DFCC">
        <w:rPr>
          <w:rFonts w:ascii="Helvetica" w:hAnsi="Helvetica" w:eastAsia="Helvetica" w:cs="Helvetica"/>
          <w:b w:val="0"/>
          <w:bCs w:val="0"/>
          <w:i w:val="0"/>
          <w:iCs w:val="0"/>
          <w:caps w:val="0"/>
          <w:smallCaps w:val="0"/>
          <w:noProof w:val="0"/>
          <w:color w:val="000000" w:themeColor="text1" w:themeTint="FF" w:themeShade="FF"/>
          <w:sz w:val="24"/>
          <w:szCs w:val="24"/>
          <w:lang w:val="en-US"/>
        </w:rPr>
        <w:t>Consumer confidence in business</w:t>
      </w:r>
    </w:p>
    <w:p w:rsidR="00F1559C" w:rsidP="1B01DFCC" w:rsidRDefault="00F1559C" w14:paraId="79CDF1A3" w14:textId="5C647819">
      <w:pPr>
        <w:pStyle w:val="Heading2"/>
        <w:ind w:left="0"/>
        <w:rPr>
          <w:rFonts w:ascii="Helvetica" w:hAnsi="Helvetica" w:eastAsia="Helvetica" w:cs="Helvetica"/>
          <w:b w:val="0"/>
          <w:bCs w:val="0"/>
          <w:i w:val="0"/>
          <w:iCs w:val="0"/>
          <w:caps w:val="0"/>
          <w:smallCaps w:val="0"/>
          <w:noProof w:val="0"/>
          <w:color w:val="000000" w:themeColor="text1" w:themeTint="FF" w:themeShade="FF"/>
          <w:sz w:val="24"/>
          <w:szCs w:val="24"/>
          <w:lang w:val="en-US"/>
        </w:rPr>
      </w:pPr>
      <w:bookmarkStart w:name="_Toc1317790400" w:id="633090364"/>
      <w:r w:rsidRPr="1B01DFCC" w:rsidR="1B01DFCC">
        <w:rPr>
          <w:noProof w:val="0"/>
          <w:lang w:val="en-US"/>
        </w:rPr>
        <w:t>Economic Factors.</w:t>
      </w:r>
      <w:bookmarkEnd w:id="633090364"/>
    </w:p>
    <w:p w:rsidR="00F1559C" w:rsidP="1B01DFCC" w:rsidRDefault="00F1559C" w14:paraId="6BBA46CD" w14:textId="77A13C91">
      <w:pPr>
        <w:pStyle w:val="ListParagraph"/>
        <w:numPr>
          <w:ilvl w:val="1"/>
          <w:numId w:val="1"/>
        </w:numPr>
        <w:rPr>
          <w:noProof w:val="0"/>
          <w:lang w:val="en-US"/>
        </w:rPr>
      </w:pPr>
      <w:r w:rsidRPr="1B01DFCC" w:rsidR="1B01DFCC">
        <w:rPr>
          <w:noProof w:val="0"/>
          <w:lang w:val="en-US"/>
        </w:rPr>
        <w:t xml:space="preserve"> GDP</w:t>
      </w:r>
    </w:p>
    <w:p w:rsidR="00F1559C" w:rsidP="1B01DFCC" w:rsidRDefault="00F1559C" w14:paraId="46982A81" w14:textId="138ED589">
      <w:pPr>
        <w:pStyle w:val="ListParagraph"/>
        <w:numPr>
          <w:ilvl w:val="2"/>
          <w:numId w:val="1"/>
        </w:numPr>
        <w:rPr>
          <w:noProof w:val="0"/>
          <w:lang w:val="en-US"/>
        </w:rPr>
      </w:pPr>
      <w:r w:rsidRPr="1B01DFCC" w:rsidR="1B01DFCC">
        <w:rPr>
          <w:noProof w:val="0"/>
          <w:lang w:val="en-US"/>
        </w:rPr>
        <w:t>Keil et al 2023 p. 21</w:t>
      </w:r>
    </w:p>
    <w:p w:rsidR="00F1559C" w:rsidP="1B01DFCC" w:rsidRDefault="00F1559C" w14:paraId="00A2EC64" w14:textId="01395B2F">
      <w:pPr>
        <w:pStyle w:val="ListParagraph"/>
        <w:numPr>
          <w:ilvl w:val="3"/>
          <w:numId w:val="1"/>
        </w:numPr>
        <w:rPr>
          <w:noProof w:val="0"/>
          <w:lang w:val="en-US"/>
        </w:rPr>
      </w:pPr>
      <w:r w:rsidRPr="1B01DFCC" w:rsidR="1B01DFCC">
        <w:rPr>
          <w:noProof w:val="0"/>
          <w:lang w:val="en-US"/>
        </w:rPr>
        <w:t xml:space="preserve">Calculating per capita income or per capita GDP for the Inland Empire and the other MSAs, our region sinks and sinks and sinks. </w:t>
      </w:r>
    </w:p>
    <w:p w:rsidR="00F1559C" w:rsidP="1B01DFCC" w:rsidRDefault="00F1559C" w14:paraId="37A3C919" w14:textId="549AA581">
      <w:pPr>
        <w:pStyle w:val="ListParagraph"/>
        <w:numPr>
          <w:ilvl w:val="3"/>
          <w:numId w:val="1"/>
        </w:numPr>
        <w:rPr>
          <w:noProof w:val="0"/>
          <w:lang w:val="en-US"/>
        </w:rPr>
      </w:pPr>
      <w:r w:rsidRPr="1B01DFCC" w:rsidR="1B01DFCC">
        <w:rPr>
          <w:noProof w:val="0"/>
          <w:lang w:val="en-US"/>
        </w:rPr>
        <w:t xml:space="preserve">We end in position 340 out of 384. </w:t>
      </w:r>
    </w:p>
    <w:p w:rsidR="00F1559C" w:rsidP="1B01DFCC" w:rsidRDefault="00F1559C" w14:paraId="4227DE7D" w14:textId="7BA7C269">
      <w:pPr>
        <w:pStyle w:val="ListParagraph"/>
        <w:numPr>
          <w:ilvl w:val="3"/>
          <w:numId w:val="1"/>
        </w:numPr>
        <w:rPr>
          <w:noProof w:val="0"/>
          <w:lang w:val="en-US"/>
        </w:rPr>
      </w:pPr>
      <w:r w:rsidRPr="1B01DFCC" w:rsidR="1B01DFCC">
        <w:rPr>
          <w:noProof w:val="0"/>
          <w:lang w:val="en-US"/>
        </w:rPr>
        <w:t xml:space="preserve">How is that possible? </w:t>
      </w:r>
    </w:p>
    <w:p w:rsidR="00F1559C" w:rsidP="1B01DFCC" w:rsidRDefault="00F1559C" w14:paraId="423F9E1D" w14:textId="51FA2EF7">
      <w:pPr>
        <w:pStyle w:val="ListParagraph"/>
        <w:numPr>
          <w:ilvl w:val="3"/>
          <w:numId w:val="1"/>
        </w:numPr>
        <w:rPr>
          <w:noProof w:val="0"/>
          <w:lang w:val="en-US"/>
        </w:rPr>
      </w:pPr>
      <w:r w:rsidRPr="1B01DFCC" w:rsidR="1B01DFCC">
        <w:rPr>
          <w:noProof w:val="0"/>
          <w:lang w:val="en-US"/>
        </w:rPr>
        <w:t xml:space="preserve">It suggests that the goods and services we produce in our area (GDP) are not of high value. </w:t>
      </w:r>
    </w:p>
    <w:p w:rsidR="00F1559C" w:rsidP="1B01DFCC" w:rsidRDefault="00F1559C" w14:paraId="4BA0F6EC" w14:textId="525CA9A3">
      <w:pPr>
        <w:pStyle w:val="ListParagraph"/>
        <w:numPr>
          <w:ilvl w:val="3"/>
          <w:numId w:val="1"/>
        </w:numPr>
        <w:rPr>
          <w:noProof w:val="0"/>
          <w:lang w:val="en-US"/>
        </w:rPr>
      </w:pPr>
      <w:r w:rsidRPr="1B01DFCC" w:rsidR="1B01DFCC">
        <w:rPr>
          <w:noProof w:val="0"/>
          <w:lang w:val="en-US"/>
        </w:rPr>
        <w:t>Note that GDP is calculated by evaluating the goods and services produced within the area.</w:t>
      </w:r>
    </w:p>
    <w:p w:rsidR="00F1559C" w:rsidP="1B01DFCC" w:rsidRDefault="00F1559C" w14:paraId="3600F4FE" w14:textId="79D63D07">
      <w:pPr>
        <w:pStyle w:val="ListParagraph"/>
        <w:numPr>
          <w:ilvl w:val="3"/>
          <w:numId w:val="1"/>
        </w:numPr>
        <w:rPr>
          <w:noProof w:val="0"/>
          <w:lang w:val="en-US"/>
        </w:rPr>
      </w:pPr>
      <w:r w:rsidRPr="1B01DFCC" w:rsidR="1B01DFCC">
        <w:rPr>
          <w:noProof w:val="0"/>
          <w:lang w:val="en-US"/>
        </w:rPr>
        <w:t>Perhaps this is not a fair characterization to the Inland Empire since 35% of our labor force generates GDP to the more coastal areas.</w:t>
      </w:r>
    </w:p>
    <w:p w:rsidR="00F1559C" w:rsidP="1B01DFCC" w:rsidRDefault="00F1559C" w14:paraId="56D70C07" w14:textId="3D3A4D2F">
      <w:pPr>
        <w:pStyle w:val="ListParagraph"/>
        <w:numPr>
          <w:ilvl w:val="3"/>
          <w:numId w:val="1"/>
        </w:numPr>
        <w:rPr>
          <w:noProof w:val="0"/>
          <w:lang w:val="en-US"/>
        </w:rPr>
      </w:pPr>
      <w:r w:rsidRPr="1B01DFCC" w:rsidR="1B01DFCC">
        <w:rPr>
          <w:noProof w:val="0"/>
          <w:lang w:val="en-US"/>
        </w:rPr>
        <w:t xml:space="preserve">That is a reasonable objection and as a result, we adjust the calculation to </w:t>
      </w:r>
      <w:r w:rsidRPr="1B01DFCC" w:rsidR="1B01DFCC">
        <w:rPr>
          <w:noProof w:val="0"/>
          <w:lang w:val="en-US"/>
        </w:rPr>
        <w:t>take into account</w:t>
      </w:r>
      <w:r w:rsidRPr="1B01DFCC" w:rsidR="1B01DFCC">
        <w:rPr>
          <w:noProof w:val="0"/>
          <w:lang w:val="en-US"/>
        </w:rPr>
        <w:t xml:space="preserve"> the income that Inland Empire residents make while working in the Greater Los Angeles and San Diego area. This results in an upgrade in the rankings to …. 295 out of 384.</w:t>
      </w:r>
    </w:p>
    <w:p w:rsidR="00F1559C" w:rsidP="1B01DFCC" w:rsidRDefault="00F1559C" w14:paraId="73CA539E" w14:textId="29ECBC67">
      <w:pPr>
        <w:pStyle w:val="ListParagraph"/>
        <w:numPr>
          <w:ilvl w:val="1"/>
          <w:numId w:val="1"/>
        </w:numPr>
        <w:rPr>
          <w:noProof w:val="0"/>
          <w:lang w:val="en-US"/>
        </w:rPr>
      </w:pPr>
      <w:r w:rsidRPr="1B01DFCC" w:rsidR="1B01DFCC">
        <w:rPr>
          <w:noProof w:val="0"/>
          <w:lang w:val="en-US"/>
        </w:rPr>
        <w:t xml:space="preserve"> Inflation and interest rates</w:t>
      </w:r>
    </w:p>
    <w:p w:rsidR="00F1559C" w:rsidP="1B01DFCC" w:rsidRDefault="00F1559C" w14:paraId="2A1C3208" w14:textId="019DAA6B">
      <w:pPr>
        <w:pStyle w:val="ListParagraph"/>
        <w:numPr>
          <w:ilvl w:val="2"/>
          <w:numId w:val="1"/>
        </w:numPr>
        <w:rPr>
          <w:noProof w:val="0"/>
          <w:lang w:val="en-US"/>
        </w:rPr>
      </w:pPr>
      <w:r w:rsidRPr="1B01DFCC" w:rsidR="1B01DFCC">
        <w:rPr>
          <w:noProof w:val="0"/>
          <w:lang w:val="en-US"/>
        </w:rPr>
        <w:t>Keil et al 2023, p. 16.</w:t>
      </w:r>
    </w:p>
    <w:p w:rsidR="00F1559C" w:rsidP="1B01DFCC" w:rsidRDefault="00F1559C" w14:paraId="5305F1C2" w14:textId="461CA73C">
      <w:pPr>
        <w:pStyle w:val="ListParagraph"/>
        <w:numPr>
          <w:ilvl w:val="3"/>
          <w:numId w:val="1"/>
        </w:numPr>
        <w:rPr>
          <w:noProof w:val="0"/>
          <w:lang w:val="en-US"/>
        </w:rPr>
      </w:pPr>
      <w:r w:rsidRPr="1B01DFCC" w:rsidR="1B01DFCC">
        <w:rPr>
          <w:noProof w:val="0"/>
          <w:lang w:val="en-US"/>
        </w:rPr>
        <w:t>Home sales reached their high point in March 2022, but declined throughout the year and into 2023 as a result of higher mortgage rates.</w:t>
      </w:r>
    </w:p>
    <w:p w:rsidR="00F1559C" w:rsidP="1B01DFCC" w:rsidRDefault="00F1559C" w14:paraId="64866A43" w14:textId="3C3A76A3">
      <w:pPr>
        <w:pStyle w:val="ListParagraph"/>
        <w:numPr>
          <w:ilvl w:val="3"/>
          <w:numId w:val="1"/>
        </w:numPr>
        <w:rPr>
          <w:noProof w:val="0"/>
          <w:lang w:val="en-US"/>
        </w:rPr>
      </w:pPr>
      <w:r w:rsidRPr="1B01DFCC" w:rsidR="1B01DFCC">
        <w:rPr>
          <w:noProof w:val="0"/>
          <w:lang w:val="en-US"/>
        </w:rPr>
        <w:t>Home sales in February 2023 were 35% lower than a year ago in Riverside County and fell 42% in San Bernardino County.</w:t>
      </w:r>
    </w:p>
    <w:p w:rsidR="00F1559C" w:rsidP="1B01DFCC" w:rsidRDefault="00F1559C" w14:paraId="04FA1B76" w14:textId="1D8B7637">
      <w:pPr>
        <w:pStyle w:val="ListParagraph"/>
        <w:numPr>
          <w:ilvl w:val="1"/>
          <w:numId w:val="1"/>
        </w:numPr>
        <w:rPr>
          <w:noProof w:val="0"/>
          <w:lang w:val="en-US"/>
        </w:rPr>
      </w:pPr>
      <w:r w:rsidRPr="1B01DFCC" w:rsidR="1B01DFCC">
        <w:rPr>
          <w:noProof w:val="0"/>
          <w:lang w:val="en-US"/>
        </w:rPr>
        <w:t xml:space="preserve"> Saving rates</w:t>
      </w:r>
    </w:p>
    <w:p w:rsidR="00F1559C" w:rsidP="1B01DFCC" w:rsidRDefault="00F1559C" w14:paraId="7BF9D9DE" w14:textId="5278E51B">
      <w:pPr>
        <w:pStyle w:val="ListParagraph"/>
        <w:numPr>
          <w:ilvl w:val="1"/>
          <w:numId w:val="1"/>
        </w:numPr>
        <w:rPr>
          <w:noProof w:val="0"/>
          <w:lang w:val="en-US"/>
        </w:rPr>
      </w:pPr>
      <w:r w:rsidRPr="1B01DFCC" w:rsidR="1B01DFCC">
        <w:rPr>
          <w:noProof w:val="0"/>
          <w:lang w:val="en-US"/>
        </w:rPr>
        <w:t xml:space="preserve"> Sovereign debt/exchange rates</w:t>
      </w:r>
    </w:p>
    <w:p w:rsidR="00F1559C" w:rsidP="1B01DFCC" w:rsidRDefault="00F1559C" w14:paraId="5E1827E3" w14:textId="3E1CD14D">
      <w:pPr>
        <w:pStyle w:val="ListParagraph"/>
        <w:numPr>
          <w:ilvl w:val="1"/>
          <w:numId w:val="1"/>
        </w:numPr>
        <w:rPr>
          <w:noProof w:val="0"/>
          <w:lang w:val="en-US"/>
        </w:rPr>
      </w:pPr>
      <w:r w:rsidRPr="1B01DFCC" w:rsidR="1B01DFCC">
        <w:rPr>
          <w:noProof w:val="0"/>
          <w:lang w:val="en-US"/>
        </w:rPr>
        <w:t xml:space="preserve"> Deficits/surpluses</w:t>
      </w:r>
    </w:p>
    <w:p w:rsidR="00F1559C" w:rsidP="1B01DFCC" w:rsidRDefault="00F1559C" w14:paraId="7FB942F8" w14:textId="1ED197D1">
      <w:pPr>
        <w:pStyle w:val="ListParagraph"/>
        <w:numPr>
          <w:ilvl w:val="1"/>
          <w:numId w:val="1"/>
        </w:numPr>
        <w:rPr>
          <w:noProof w:val="0"/>
          <w:lang w:val="en-US"/>
        </w:rPr>
      </w:pPr>
      <w:r w:rsidRPr="1B01DFCC" w:rsidR="1B01DFCC">
        <w:rPr>
          <w:noProof w:val="0"/>
          <w:lang w:val="en-US"/>
        </w:rPr>
        <w:t>Employment</w:t>
      </w:r>
    </w:p>
    <w:p w:rsidR="00F1559C" w:rsidP="1B01DFCC" w:rsidRDefault="00F1559C" w14:paraId="39C33AED" w14:textId="4FF0C850">
      <w:pPr>
        <w:pStyle w:val="ListParagraph"/>
        <w:numPr>
          <w:ilvl w:val="2"/>
          <w:numId w:val="1"/>
        </w:numPr>
        <w:rPr>
          <w:noProof w:val="0"/>
          <w:lang w:val="en-US"/>
        </w:rPr>
      </w:pPr>
      <w:r w:rsidRPr="1B01DFCC" w:rsidR="1B01DFCC">
        <w:rPr>
          <w:noProof w:val="0"/>
          <w:lang w:val="en-US"/>
        </w:rPr>
        <w:t>Keil et al, 2023, p. 14:</w:t>
      </w:r>
    </w:p>
    <w:p w:rsidR="00F1559C" w:rsidP="1B01DFCC" w:rsidRDefault="00F1559C" w14:paraId="729DC02E" w14:textId="0941DB1A">
      <w:pPr>
        <w:pStyle w:val="ListParagraph"/>
        <w:numPr>
          <w:ilvl w:val="3"/>
          <w:numId w:val="1"/>
        </w:numPr>
        <w:rPr>
          <w:noProof w:val="0"/>
          <w:lang w:val="en-US"/>
        </w:rPr>
      </w:pPr>
      <w:r w:rsidRPr="1B01DFCC" w:rsidR="1B01DFCC">
        <w:rPr>
          <w:noProof w:val="0"/>
          <w:lang w:val="en-US"/>
        </w:rPr>
        <w:t xml:space="preserve">Inland Empire created more jobs since the end of </w:t>
      </w:r>
      <w:r w:rsidRPr="1B01DFCC" w:rsidR="1B01DFCC">
        <w:rPr>
          <w:noProof w:val="0"/>
          <w:lang w:val="en-US"/>
        </w:rPr>
        <w:t>previous</w:t>
      </w:r>
      <w:r w:rsidRPr="1B01DFCC" w:rsidR="1B01DFCC">
        <w:rPr>
          <w:noProof w:val="0"/>
          <w:lang w:val="en-US"/>
        </w:rPr>
        <w:t xml:space="preserve"> expansion </w:t>
      </w:r>
      <w:r w:rsidRPr="1B01DFCC" w:rsidR="1B01DFCC">
        <w:rPr>
          <w:noProof w:val="0"/>
          <w:lang w:val="en-US"/>
        </w:rPr>
        <w:t>with the exception of</w:t>
      </w:r>
      <w:r w:rsidRPr="1B01DFCC" w:rsidR="1B01DFCC">
        <w:rPr>
          <w:noProof w:val="0"/>
          <w:lang w:val="en-US"/>
        </w:rPr>
        <w:t xml:space="preserve"> Stockton-Lodi </w:t>
      </w:r>
    </w:p>
    <w:p w:rsidR="00F1559C" w:rsidP="1B01DFCC" w:rsidRDefault="00F1559C" w14:paraId="3574B8F5" w14:textId="716E67F8">
      <w:pPr>
        <w:pStyle w:val="ListParagraph"/>
        <w:numPr>
          <w:ilvl w:val="3"/>
          <w:numId w:val="1"/>
        </w:numPr>
        <w:rPr>
          <w:noProof w:val="0"/>
          <w:lang w:val="en-US"/>
        </w:rPr>
      </w:pPr>
      <w:r w:rsidRPr="1B01DFCC" w:rsidR="1B01DFCC">
        <w:rPr>
          <w:noProof w:val="0"/>
          <w:lang w:val="en-US"/>
        </w:rPr>
        <w:t xml:space="preserve">Our region outperformed other Southern California regions in terms of job creation </w:t>
      </w:r>
    </w:p>
    <w:p w:rsidR="00F1559C" w:rsidP="1B01DFCC" w:rsidRDefault="00F1559C" w14:paraId="2A04DD29" w14:textId="03E57F50">
      <w:pPr>
        <w:pStyle w:val="ListParagraph"/>
        <w:numPr>
          <w:ilvl w:val="3"/>
          <w:numId w:val="1"/>
        </w:numPr>
        <w:rPr>
          <w:noProof w:val="0"/>
          <w:lang w:val="en-US"/>
        </w:rPr>
      </w:pPr>
      <w:r w:rsidRPr="1B01DFCC" w:rsidR="1B01DFCC">
        <w:rPr>
          <w:noProof w:val="0"/>
          <w:lang w:val="en-US"/>
        </w:rPr>
        <w:t xml:space="preserve">Even Silicon Valley (San Jose) did not show the same stellar job creation </w:t>
      </w:r>
    </w:p>
    <w:p w:rsidR="00F1559C" w:rsidP="1B01DFCC" w:rsidRDefault="00F1559C" w14:paraId="37CCE108" w14:textId="31EECA98">
      <w:pPr>
        <w:pStyle w:val="ListParagraph"/>
        <w:numPr>
          <w:ilvl w:val="2"/>
          <w:numId w:val="1"/>
        </w:numPr>
        <w:rPr>
          <w:noProof w:val="0"/>
          <w:lang w:val="en-US"/>
        </w:rPr>
      </w:pPr>
      <w:r w:rsidRPr="1B01DFCC" w:rsidR="1B01DFCC">
        <w:rPr>
          <w:noProof w:val="0"/>
          <w:lang w:val="en-US"/>
        </w:rPr>
        <w:t>Keil et al 2023, p. 15</w:t>
      </w:r>
    </w:p>
    <w:p w:rsidR="00F1559C" w:rsidP="1B01DFCC" w:rsidRDefault="00F1559C" w14:paraId="2929CFFE" w14:textId="26FB7A12">
      <w:pPr>
        <w:pStyle w:val="ListParagraph"/>
        <w:numPr>
          <w:ilvl w:val="3"/>
          <w:numId w:val="1"/>
        </w:numPr>
        <w:rPr>
          <w:noProof w:val="0"/>
          <w:lang w:val="en-US"/>
        </w:rPr>
      </w:pPr>
      <w:r w:rsidRPr="1B01DFCC" w:rsidR="1B01DFCC">
        <w:rPr>
          <w:noProof w:val="0"/>
          <w:lang w:val="en-US"/>
        </w:rPr>
        <w:t xml:space="preserve">From its peak in May 2020, the unemployment rate has decreased by a stunning 11.2% points. </w:t>
      </w:r>
    </w:p>
    <w:p w:rsidR="00F1559C" w:rsidP="1B01DFCC" w:rsidRDefault="00F1559C" w14:paraId="2CDC2F85" w14:textId="564B10EB">
      <w:pPr>
        <w:pStyle w:val="ListParagraph"/>
        <w:numPr>
          <w:ilvl w:val="3"/>
          <w:numId w:val="1"/>
        </w:numPr>
        <w:rPr>
          <w:noProof w:val="0"/>
          <w:lang w:val="en-US"/>
        </w:rPr>
      </w:pPr>
      <w:r w:rsidRPr="1B01DFCC" w:rsidR="1B01DFCC">
        <w:rPr>
          <w:noProof w:val="0"/>
          <w:lang w:val="en-US"/>
        </w:rPr>
        <w:t xml:space="preserve">The </w:t>
      </w:r>
      <w:r w:rsidRPr="1B01DFCC" w:rsidR="1B01DFCC">
        <w:rPr>
          <w:noProof w:val="0"/>
          <w:lang w:val="en-US"/>
        </w:rPr>
        <w:t>logistics</w:t>
      </w:r>
      <w:r w:rsidRPr="1B01DFCC" w:rsidR="1B01DFCC">
        <w:rPr>
          <w:noProof w:val="0"/>
          <w:lang w:val="en-US"/>
        </w:rPr>
        <w:t xml:space="preserve"> industry, which consists of warehousing, transportation, and the wholesale </w:t>
      </w:r>
      <w:r w:rsidRPr="1B01DFCC" w:rsidR="1B01DFCC">
        <w:rPr>
          <w:noProof w:val="0"/>
          <w:lang w:val="en-US"/>
        </w:rPr>
        <w:t>industry,</w:t>
      </w:r>
      <w:r w:rsidRPr="1B01DFCC" w:rsidR="1B01DFCC">
        <w:rPr>
          <w:noProof w:val="0"/>
          <w:lang w:val="en-US"/>
        </w:rPr>
        <w:t xml:space="preserve"> has seen a huge jump of 24.5% in employment. </w:t>
      </w:r>
    </w:p>
    <w:p w:rsidR="00F1559C" w:rsidP="1B01DFCC" w:rsidRDefault="00F1559C" w14:paraId="0D48042A" w14:textId="0FE8D3B1">
      <w:pPr>
        <w:pStyle w:val="ListParagraph"/>
        <w:numPr>
          <w:ilvl w:val="3"/>
          <w:numId w:val="1"/>
        </w:numPr>
        <w:rPr>
          <w:noProof w:val="0"/>
          <w:lang w:val="en-US"/>
        </w:rPr>
      </w:pPr>
      <w:r w:rsidRPr="1B01DFCC" w:rsidR="1B01DFCC">
        <w:rPr>
          <w:noProof w:val="0"/>
          <w:lang w:val="en-US"/>
        </w:rPr>
        <w:t xml:space="preserve">If you exclude the wholesale sector, the increase is even more impressive (36%). </w:t>
      </w:r>
    </w:p>
    <w:p w:rsidR="00F1559C" w:rsidP="1B01DFCC" w:rsidRDefault="00F1559C" w14:paraId="6296B4DB" w14:textId="61C5B188">
      <w:pPr>
        <w:pStyle w:val="ListParagraph"/>
        <w:numPr>
          <w:ilvl w:val="3"/>
          <w:numId w:val="1"/>
        </w:numPr>
        <w:rPr>
          <w:noProof w:val="0"/>
          <w:lang w:val="en-US"/>
        </w:rPr>
      </w:pPr>
      <w:r w:rsidRPr="1B01DFCC" w:rsidR="1B01DFCC">
        <w:rPr>
          <w:noProof w:val="0"/>
          <w:lang w:val="en-US"/>
        </w:rPr>
        <w:t xml:space="preserve">It is encouraging to see that some other sectors have also performed well: Professional &amp; Business services grew by 9.8% for example. The Information sector has seen significant losses. </w:t>
      </w:r>
    </w:p>
    <w:p w:rsidR="00F1559C" w:rsidP="1B01DFCC" w:rsidRDefault="00F1559C" w14:paraId="2945749D" w14:textId="18D75847">
      <w:pPr>
        <w:pStyle w:val="ListParagraph"/>
        <w:numPr>
          <w:ilvl w:val="3"/>
          <w:numId w:val="1"/>
        </w:numPr>
        <w:rPr>
          <w:noProof w:val="0"/>
          <w:lang w:val="en-US"/>
        </w:rPr>
      </w:pPr>
      <w:r w:rsidRPr="1B01DFCC" w:rsidR="1B01DFCC">
        <w:rPr>
          <w:noProof w:val="0"/>
          <w:lang w:val="en-US"/>
        </w:rPr>
        <w:t xml:space="preserve">Leisure &amp; Hospitality and Other Services, two of the most affected sectors, have </w:t>
      </w:r>
      <w:r w:rsidRPr="1B01DFCC" w:rsidR="1B01DFCC">
        <w:rPr>
          <w:noProof w:val="0"/>
          <w:lang w:val="en-US"/>
        </w:rPr>
        <w:t>basically completely</w:t>
      </w:r>
      <w:r w:rsidRPr="1B01DFCC" w:rsidR="1B01DFCC">
        <w:rPr>
          <w:noProof w:val="0"/>
          <w:lang w:val="en-US"/>
        </w:rPr>
        <w:t xml:space="preserve"> recovered.</w:t>
      </w:r>
    </w:p>
    <w:p w:rsidR="00F1559C" w:rsidP="1B01DFCC" w:rsidRDefault="00F1559C" w14:paraId="0147F761" w14:textId="6A3A712D">
      <w:pPr>
        <w:pStyle w:val="ListParagraph"/>
        <w:numPr>
          <w:ilvl w:val="3"/>
          <w:numId w:val="1"/>
        </w:numPr>
        <w:rPr>
          <w:noProof w:val="0"/>
          <w:lang w:val="en-US"/>
        </w:rPr>
      </w:pPr>
      <w:r w:rsidRPr="1B01DFCC" w:rsidR="1B01DFCC">
        <w:rPr>
          <w:noProof w:val="0"/>
          <w:lang w:val="en-US"/>
        </w:rPr>
        <w:t>Note that Government and, in particular Local Government, shed jobs.</w:t>
      </w:r>
      <w:r w:rsidRPr="1B01DFCC" w:rsidR="1B01DFCC">
        <w:rPr>
          <w:noProof w:val="0"/>
          <w:lang w:val="en-US"/>
        </w:rPr>
        <w:t xml:space="preserve"> </w:t>
      </w:r>
    </w:p>
    <w:p w:rsidR="00F1559C" w:rsidRDefault="00F1559C" w14:paraId="6678D782" w14:textId="709FD412">
      <w:r>
        <w:drawing>
          <wp:inline wp14:editId="563C80D6" wp14:anchorId="09922B06">
            <wp:extent cx="6030310" cy="4371975"/>
            <wp:effectExtent l="0" t="0" r="0" b="0"/>
            <wp:docPr id="721792128" name="" title=""/>
            <wp:cNvGraphicFramePr>
              <a:graphicFrameLocks noChangeAspect="1"/>
            </wp:cNvGraphicFramePr>
            <a:graphic>
              <a:graphicData uri="http://schemas.openxmlformats.org/drawingml/2006/picture">
                <pic:pic>
                  <pic:nvPicPr>
                    <pic:cNvPr id="0" name=""/>
                    <pic:cNvPicPr/>
                  </pic:nvPicPr>
                  <pic:blipFill>
                    <a:blip r:embed="R1970ce95c3704139">
                      <a:extLst>
                        <a:ext xmlns:a="http://schemas.openxmlformats.org/drawingml/2006/main" uri="{28A0092B-C50C-407E-A947-70E740481C1C}">
                          <a14:useLocalDpi val="0"/>
                        </a:ext>
                      </a:extLst>
                    </a:blip>
                    <a:stretch>
                      <a:fillRect/>
                    </a:stretch>
                  </pic:blipFill>
                  <pic:spPr>
                    <a:xfrm>
                      <a:off x="0" y="0"/>
                      <a:ext cx="6030310" cy="4371975"/>
                    </a:xfrm>
                    <a:prstGeom prst="rect">
                      <a:avLst/>
                    </a:prstGeom>
                  </pic:spPr>
                </pic:pic>
              </a:graphicData>
            </a:graphic>
          </wp:inline>
        </w:drawing>
      </w:r>
    </w:p>
    <w:p w:rsidR="00F1559C" w:rsidP="1B01DFCC" w:rsidRDefault="00F1559C" w14:paraId="3085928C" w14:textId="72427D43">
      <w:pPr>
        <w:pStyle w:val="Normal"/>
        <w:rPr>
          <w:noProof w:val="0"/>
          <w:lang w:val="en-US"/>
        </w:rPr>
      </w:pPr>
      <w:r w:rsidRPr="1B01DFCC" w:rsidR="1B01DFCC">
        <w:rPr>
          <w:noProof w:val="0"/>
          <w:lang w:val="en-US"/>
        </w:rPr>
        <w:t>Source: American Community Survey, 2021</w:t>
      </w:r>
    </w:p>
    <w:p w:rsidR="00F1559C" w:rsidP="1B01DFCC" w:rsidRDefault="00F1559C" w14:paraId="4420C504" w14:textId="5078C265">
      <w:pPr>
        <w:pStyle w:val="ListParagraph"/>
        <w:numPr>
          <w:ilvl w:val="1"/>
          <w:numId w:val="1"/>
        </w:numPr>
        <w:rPr>
          <w:noProof w:val="0"/>
          <w:lang w:val="en-US"/>
        </w:rPr>
      </w:pPr>
      <w:r w:rsidRPr="1B01DFCC" w:rsidR="1B01DFCC">
        <w:rPr>
          <w:noProof w:val="0"/>
          <w:lang w:val="en-US"/>
        </w:rPr>
        <w:t>Chance of Recession</w:t>
      </w:r>
    </w:p>
    <w:p w:rsidR="00F1559C" w:rsidP="1B01DFCC" w:rsidRDefault="00F1559C" w14:paraId="03FBC8BD" w14:textId="611DD526">
      <w:pPr>
        <w:pStyle w:val="ListParagraph"/>
        <w:numPr>
          <w:ilvl w:val="2"/>
          <w:numId w:val="1"/>
        </w:numPr>
        <w:rPr>
          <w:noProof w:val="0"/>
          <w:lang w:val="en-US"/>
        </w:rPr>
      </w:pPr>
      <w:r w:rsidRPr="1B01DFCC" w:rsidR="1B01DFCC">
        <w:rPr>
          <w:noProof w:val="0"/>
          <w:lang w:val="en-US"/>
        </w:rPr>
        <w:t>Keil et al 2023 p. 2</w:t>
      </w:r>
    </w:p>
    <w:p w:rsidR="00F1559C" w:rsidP="1B01DFCC" w:rsidRDefault="00F1559C" w14:paraId="3E336EAE" w14:textId="3CE9C83C">
      <w:pPr>
        <w:pStyle w:val="ListParagraph"/>
        <w:numPr>
          <w:ilvl w:val="3"/>
          <w:numId w:val="1"/>
        </w:numPr>
        <w:rPr>
          <w:noProof w:val="0"/>
          <w:lang w:val="en-US"/>
        </w:rPr>
      </w:pPr>
      <w:r w:rsidRPr="1B01DFCC" w:rsidR="1B01DFCC">
        <w:rPr>
          <w:noProof w:val="0"/>
          <w:lang w:val="en-US"/>
        </w:rPr>
        <w:t xml:space="preserve">The 2023 Economic Report for the State of the Region starts by looking at the possibility of the current expansion ending within the next 12 months, hence forecasting a recession. </w:t>
      </w:r>
    </w:p>
    <w:p w:rsidR="00F1559C" w:rsidP="1B01DFCC" w:rsidRDefault="00F1559C" w14:paraId="66689EEB" w14:textId="3C2FC169">
      <w:pPr>
        <w:pStyle w:val="ListParagraph"/>
        <w:numPr>
          <w:ilvl w:val="3"/>
          <w:numId w:val="1"/>
        </w:numPr>
        <w:rPr>
          <w:noProof w:val="0"/>
          <w:lang w:val="en-US"/>
        </w:rPr>
      </w:pPr>
      <w:r w:rsidRPr="1B01DFCC" w:rsidR="1B01DFCC">
        <w:rPr>
          <w:noProof w:val="0"/>
          <w:lang w:val="en-US"/>
        </w:rPr>
        <w:t xml:space="preserve">We are predicting a national U.S. recession within a </w:t>
      </w:r>
      <w:r w:rsidRPr="1B01DFCC" w:rsidR="1B01DFCC">
        <w:rPr>
          <w:noProof w:val="0"/>
          <w:lang w:val="en-US"/>
        </w:rPr>
        <w:t>year with a fairly high probability.</w:t>
      </w:r>
    </w:p>
    <w:p w:rsidR="00F1559C" w:rsidP="1B01DFCC" w:rsidRDefault="00F1559C" w14:paraId="79A8712F" w14:textId="107E1CEB">
      <w:pPr>
        <w:pStyle w:val="Heading2"/>
        <w:ind w:left="0"/>
        <w:rPr>
          <w:noProof w:val="0"/>
          <w:lang w:val="en-US"/>
        </w:rPr>
      </w:pPr>
      <w:bookmarkStart w:name="_Toc1637502741" w:id="1583003445"/>
      <w:r w:rsidRPr="1B01DFCC" w:rsidR="1B01DFCC">
        <w:rPr>
          <w:noProof w:val="0"/>
          <w:lang w:val="en-US"/>
        </w:rPr>
        <w:t>Technological</w:t>
      </w:r>
      <w:r w:rsidRPr="1B01DFCC" w:rsidR="1B01DFCC">
        <w:rPr>
          <w:noProof w:val="0"/>
          <w:lang w:val="en-US"/>
        </w:rPr>
        <w:t xml:space="preserve"> Factors.</w:t>
      </w:r>
      <w:bookmarkEnd w:id="1583003445"/>
    </w:p>
    <w:p w:rsidR="00F1559C" w:rsidP="1B01DFCC" w:rsidRDefault="00F1559C" w14:paraId="32496495" w14:textId="6CAEC6CC">
      <w:pPr>
        <w:pStyle w:val="ListParagraph"/>
        <w:numPr>
          <w:ilvl w:val="1"/>
          <w:numId w:val="1"/>
        </w:numPr>
        <w:rPr>
          <w:noProof w:val="0"/>
          <w:lang w:val="en-US"/>
        </w:rPr>
      </w:pPr>
      <w:r w:rsidRPr="1B01DFCC" w:rsidR="1B01DFCC">
        <w:rPr>
          <w:noProof w:val="0"/>
          <w:lang w:val="en-US"/>
        </w:rPr>
        <w:t>Increased transparency from the Internet</w:t>
      </w:r>
    </w:p>
    <w:p w:rsidR="00F1559C" w:rsidP="1B01DFCC" w:rsidRDefault="00F1559C" w14:paraId="5A173CFE" w14:textId="54635D22">
      <w:pPr>
        <w:pStyle w:val="ListParagraph"/>
        <w:numPr>
          <w:ilvl w:val="1"/>
          <w:numId w:val="1"/>
        </w:numPr>
        <w:rPr>
          <w:noProof w:val="0"/>
          <w:lang w:val="en-US"/>
        </w:rPr>
      </w:pPr>
      <w:r w:rsidRPr="1B01DFCC" w:rsidR="1B01DFCC">
        <w:rPr>
          <w:noProof w:val="0"/>
          <w:lang w:val="en-US"/>
        </w:rPr>
        <w:t xml:space="preserve"> Digitalization</w:t>
      </w:r>
    </w:p>
    <w:p w:rsidR="00F1559C" w:rsidP="1B01DFCC" w:rsidRDefault="00F1559C" w14:paraId="43343704" w14:textId="414B19A0">
      <w:pPr>
        <w:pStyle w:val="ListParagraph"/>
        <w:numPr>
          <w:ilvl w:val="1"/>
          <w:numId w:val="1"/>
        </w:numPr>
        <w:rPr>
          <w:noProof w:val="0"/>
          <w:lang w:val="en-US"/>
        </w:rPr>
      </w:pPr>
      <w:r w:rsidRPr="1B01DFCC" w:rsidR="1B01DFCC">
        <w:rPr>
          <w:noProof w:val="0"/>
          <w:lang w:val="en-US"/>
        </w:rPr>
        <w:t xml:space="preserve"> Mobile communication</w:t>
      </w:r>
    </w:p>
    <w:p w:rsidR="00F1559C" w:rsidP="1B01DFCC" w:rsidRDefault="00F1559C" w14:paraId="01FAC384" w14:textId="62C3BEC0">
      <w:pPr>
        <w:pStyle w:val="ListParagraph"/>
        <w:numPr>
          <w:ilvl w:val="1"/>
          <w:numId w:val="1"/>
        </w:numPr>
        <w:rPr>
          <w:noProof w:val="0"/>
          <w:lang w:val="en-US"/>
        </w:rPr>
      </w:pPr>
      <w:r w:rsidRPr="1B01DFCC" w:rsidR="1B01DFCC">
        <w:rPr>
          <w:noProof w:val="0"/>
          <w:lang w:val="en-US"/>
        </w:rPr>
        <w:t xml:space="preserve"> Cloud computing</w:t>
      </w:r>
    </w:p>
    <w:p w:rsidR="00F1559C" w:rsidP="1B01DFCC" w:rsidRDefault="00F1559C" w14:paraId="2351BCFF" w14:textId="66BC625E">
      <w:pPr>
        <w:pStyle w:val="ListParagraph"/>
        <w:numPr>
          <w:ilvl w:val="1"/>
          <w:numId w:val="1"/>
        </w:numPr>
        <w:rPr>
          <w:noProof w:val="0"/>
          <w:lang w:val="en-US"/>
        </w:rPr>
      </w:pPr>
      <w:r w:rsidRPr="1B01DFCC" w:rsidR="1B01DFCC">
        <w:rPr>
          <w:noProof w:val="0"/>
          <w:lang w:val="en-US"/>
        </w:rPr>
        <w:t xml:space="preserve"> Information explosion</w:t>
      </w:r>
    </w:p>
    <w:p w:rsidR="00F1559C" w:rsidP="1B01DFCC" w:rsidRDefault="00F1559C" w14:paraId="32749082" w14:textId="480A771F">
      <w:pPr>
        <w:pStyle w:val="ListParagraph"/>
        <w:numPr>
          <w:ilvl w:val="1"/>
          <w:numId w:val="1"/>
        </w:numPr>
        <w:rPr>
          <w:noProof w:val="0"/>
          <w:lang w:val="en-US"/>
        </w:rPr>
      </w:pPr>
      <w:r w:rsidRPr="1B01DFCC" w:rsidR="1B01DFCC">
        <w:rPr>
          <w:noProof w:val="0"/>
          <w:lang w:val="en-US"/>
        </w:rPr>
        <w:t>Artificial Intelligence/Automation</w:t>
      </w:r>
    </w:p>
    <w:p w:rsidR="00F1559C" w:rsidP="1B01DFCC" w:rsidRDefault="00F1559C" w14:paraId="7EED4E27" w14:textId="01B8FBEE">
      <w:pPr>
        <w:pStyle w:val="ListParagraph"/>
        <w:numPr>
          <w:ilvl w:val="2"/>
          <w:numId w:val="1"/>
        </w:numPr>
        <w:rPr>
          <w:noProof w:val="0"/>
          <w:lang w:val="en-US"/>
        </w:rPr>
      </w:pPr>
      <w:r w:rsidRPr="1B01DFCC" w:rsidR="1B01DFCC">
        <w:rPr>
          <w:noProof w:val="0"/>
          <w:lang w:val="en-US"/>
        </w:rPr>
        <w:t>Keil et al 2023, p. 19</w:t>
      </w:r>
    </w:p>
    <w:p w:rsidR="00F1559C" w:rsidP="1B01DFCC" w:rsidRDefault="00F1559C" w14:paraId="6036D6D7" w14:textId="3A68B79B">
      <w:pPr>
        <w:pStyle w:val="ListParagraph"/>
        <w:numPr>
          <w:ilvl w:val="3"/>
          <w:numId w:val="1"/>
        </w:numPr>
        <w:rPr>
          <w:noProof w:val="0"/>
          <w:lang w:val="en-US"/>
        </w:rPr>
      </w:pPr>
      <w:r w:rsidRPr="1B01DFCC" w:rsidR="1B01DFCC">
        <w:rPr>
          <w:noProof w:val="0"/>
          <w:lang w:val="en-US"/>
        </w:rPr>
        <w:t>In 2016, 75% or more of the jobs in the five largest occupational groups in the Inland Empire – (here listed in the order of size</w:t>
      </w:r>
    </w:p>
    <w:p w:rsidR="00F1559C" w:rsidP="1B01DFCC" w:rsidRDefault="00F1559C" w14:paraId="2D5617F7" w14:textId="14EF0932">
      <w:pPr>
        <w:pStyle w:val="ListParagraph"/>
        <w:numPr>
          <w:ilvl w:val="3"/>
          <w:numId w:val="1"/>
        </w:numPr>
        <w:rPr>
          <w:noProof w:val="0"/>
          <w:lang w:val="en-US"/>
        </w:rPr>
      </w:pPr>
      <w:r w:rsidRPr="1B01DFCC" w:rsidR="1B01DFCC">
        <w:rPr>
          <w:noProof w:val="0"/>
          <w:lang w:val="en-US"/>
        </w:rPr>
        <w:t xml:space="preserve">largest to smallest): office and administrative support jobs, </w:t>
      </w:r>
      <w:r w:rsidRPr="1B01DFCC" w:rsidR="1B01DFCC">
        <w:rPr>
          <w:noProof w:val="0"/>
          <w:lang w:val="en-US"/>
        </w:rPr>
        <w:t>logistics</w:t>
      </w:r>
      <w:r w:rsidRPr="1B01DFCC" w:rsidR="1B01DFCC">
        <w:rPr>
          <w:noProof w:val="0"/>
          <w:lang w:val="en-US"/>
        </w:rPr>
        <w:t xml:space="preserve"> jobs, sales jobs, hospitality jobs, and production jobs – were susceptible to automation. </w:t>
      </w:r>
    </w:p>
    <w:p w:rsidR="00F1559C" w:rsidP="1B01DFCC" w:rsidRDefault="00F1559C" w14:paraId="42240A38" w14:textId="1843EB30">
      <w:pPr>
        <w:pStyle w:val="ListParagraph"/>
        <w:numPr>
          <w:ilvl w:val="3"/>
          <w:numId w:val="1"/>
        </w:numPr>
        <w:rPr>
          <w:noProof w:val="0"/>
          <w:lang w:val="en-US"/>
        </w:rPr>
      </w:pPr>
      <w:r w:rsidRPr="1B01DFCC" w:rsidR="1B01DFCC">
        <w:rPr>
          <w:noProof w:val="0"/>
          <w:lang w:val="en-US"/>
        </w:rPr>
        <w:t xml:space="preserve">Interestingly, the total share of jobs in these occupations has not changed much. </w:t>
      </w:r>
    </w:p>
    <w:p w:rsidR="00F1559C" w:rsidP="1B01DFCC" w:rsidRDefault="00F1559C" w14:paraId="522C4CD3" w14:textId="2942D2FC">
      <w:pPr>
        <w:pStyle w:val="ListParagraph"/>
        <w:numPr>
          <w:ilvl w:val="3"/>
          <w:numId w:val="1"/>
        </w:numPr>
        <w:rPr>
          <w:noProof w:val="0"/>
          <w:lang w:val="en-US"/>
        </w:rPr>
      </w:pPr>
      <w:r w:rsidRPr="1B01DFCC" w:rsidR="1B01DFCC">
        <w:rPr>
          <w:noProof w:val="0"/>
          <w:lang w:val="en-US"/>
        </w:rPr>
        <w:t xml:space="preserve">What has changed since then is that </w:t>
      </w:r>
      <w:r w:rsidRPr="1B01DFCC" w:rsidR="1B01DFCC">
        <w:rPr>
          <w:noProof w:val="0"/>
          <w:lang w:val="en-US"/>
        </w:rPr>
        <w:t>logistics</w:t>
      </w:r>
      <w:r w:rsidRPr="1B01DFCC" w:rsidR="1B01DFCC">
        <w:rPr>
          <w:noProof w:val="0"/>
          <w:lang w:val="en-US"/>
        </w:rPr>
        <w:t xml:space="preserve"> jobs increased by </w:t>
      </w:r>
      <w:r w:rsidRPr="1B01DFCC" w:rsidR="1B01DFCC">
        <w:rPr>
          <w:noProof w:val="0"/>
          <w:lang w:val="en-US"/>
        </w:rPr>
        <w:t>roughly 80%</w:t>
      </w:r>
      <w:r w:rsidRPr="1B01DFCC" w:rsidR="1B01DFCC">
        <w:rPr>
          <w:noProof w:val="0"/>
          <w:lang w:val="en-US"/>
        </w:rPr>
        <w:t xml:space="preserve"> and took the top spot, with now every sixth worker in the Inland Empire working in </w:t>
      </w:r>
      <w:r w:rsidRPr="1B01DFCC" w:rsidR="1B01DFCC">
        <w:rPr>
          <w:noProof w:val="0"/>
          <w:lang w:val="en-US"/>
        </w:rPr>
        <w:t>logistics</w:t>
      </w:r>
      <w:r w:rsidRPr="1B01DFCC" w:rsidR="1B01DFCC">
        <w:rPr>
          <w:noProof w:val="0"/>
          <w:lang w:val="en-US"/>
        </w:rPr>
        <w:t xml:space="preserve">, up from </w:t>
      </w:r>
      <w:r w:rsidRPr="1B01DFCC" w:rsidR="1B01DFCC">
        <w:rPr>
          <w:noProof w:val="0"/>
          <w:lang w:val="en-US"/>
        </w:rPr>
        <w:t>roughly every</w:t>
      </w:r>
      <w:r w:rsidRPr="1B01DFCC" w:rsidR="1B01DFCC">
        <w:rPr>
          <w:noProof w:val="0"/>
          <w:lang w:val="en-US"/>
        </w:rPr>
        <w:t xml:space="preserve"> 9th worker - in just six years. </w:t>
      </w:r>
    </w:p>
    <w:p w:rsidR="00F1559C" w:rsidP="1B01DFCC" w:rsidRDefault="00F1559C" w14:paraId="51C654BF" w14:textId="1B6DB800">
      <w:pPr>
        <w:pStyle w:val="ListParagraph"/>
        <w:numPr>
          <w:ilvl w:val="3"/>
          <w:numId w:val="1"/>
        </w:numPr>
        <w:rPr>
          <w:noProof w:val="0"/>
          <w:lang w:val="en-US"/>
        </w:rPr>
      </w:pPr>
      <w:r w:rsidRPr="1B01DFCC" w:rsidR="1B01DFCC">
        <w:rPr>
          <w:noProof w:val="0"/>
          <w:lang w:val="en-US"/>
        </w:rPr>
        <w:t xml:space="preserve">At the same time, production jobs dropped to 9th place, but healthcare support occupations, which hold </w:t>
      </w:r>
      <w:r w:rsidRPr="1B01DFCC" w:rsidR="1B01DFCC">
        <w:rPr>
          <w:noProof w:val="0"/>
          <w:lang w:val="en-US"/>
        </w:rPr>
        <w:t>very low</w:t>
      </w:r>
      <w:r w:rsidRPr="1B01DFCC" w:rsidR="1B01DFCC">
        <w:rPr>
          <w:noProof w:val="0"/>
          <w:lang w:val="en-US"/>
        </w:rPr>
        <w:t xml:space="preserve"> </w:t>
      </w:r>
      <w:r w:rsidRPr="1B01DFCC" w:rsidR="1B01DFCC">
        <w:rPr>
          <w:noProof w:val="0"/>
          <w:lang w:val="en-US"/>
        </w:rPr>
        <w:t xml:space="preserve">automatability, tripled in numbers, holding the </w:t>
      </w:r>
      <w:r w:rsidRPr="1B01DFCC" w:rsidR="1B01DFCC">
        <w:rPr>
          <w:noProof w:val="0"/>
          <w:lang w:val="en-US"/>
        </w:rPr>
        <w:t>previous</w:t>
      </w:r>
      <w:r w:rsidRPr="1B01DFCC" w:rsidR="1B01DFCC">
        <w:rPr>
          <w:noProof w:val="0"/>
          <w:lang w:val="en-US"/>
        </w:rPr>
        <w:t xml:space="preserve"> balance of automatability in place. </w:t>
      </w:r>
    </w:p>
    <w:p w:rsidR="00F1559C" w:rsidP="1B01DFCC" w:rsidRDefault="00F1559C" w14:paraId="40906A7C" w14:textId="3443A425">
      <w:pPr>
        <w:pStyle w:val="ListParagraph"/>
        <w:numPr>
          <w:ilvl w:val="3"/>
          <w:numId w:val="1"/>
        </w:numPr>
        <w:rPr>
          <w:noProof w:val="0"/>
          <w:lang w:val="en-US"/>
        </w:rPr>
      </w:pPr>
      <w:r w:rsidRPr="1B01DFCC" w:rsidR="1B01DFCC">
        <w:rPr>
          <w:noProof w:val="0"/>
          <w:lang w:val="en-US"/>
        </w:rPr>
        <w:t xml:space="preserve">Nonetheless, these are huge structural changes with </w:t>
      </w:r>
      <w:r w:rsidRPr="1B01DFCC" w:rsidR="1B01DFCC">
        <w:rPr>
          <w:noProof w:val="0"/>
          <w:lang w:val="en-US"/>
        </w:rPr>
        <w:t>possibly strong</w:t>
      </w:r>
      <w:r w:rsidRPr="1B01DFCC" w:rsidR="1B01DFCC">
        <w:rPr>
          <w:noProof w:val="0"/>
          <w:lang w:val="en-US"/>
        </w:rPr>
        <w:t xml:space="preserve"> implications once automation </w:t>
      </w:r>
      <w:r w:rsidRPr="1B01DFCC" w:rsidR="1B01DFCC">
        <w:rPr>
          <w:noProof w:val="0"/>
          <w:lang w:val="en-US"/>
        </w:rPr>
        <w:t>arrives:</w:t>
      </w:r>
      <w:r w:rsidRPr="1B01DFCC" w:rsidR="1B01DFCC">
        <w:rPr>
          <w:noProof w:val="0"/>
          <w:lang w:val="en-US"/>
        </w:rPr>
        <w:t xml:space="preserve"> even if the current</w:t>
      </w:r>
    </w:p>
    <w:p w:rsidR="00F1559C" w:rsidP="1B01DFCC" w:rsidRDefault="00F1559C" w14:paraId="77E5CE5B" w14:textId="17D85074">
      <w:pPr>
        <w:pStyle w:val="ListParagraph"/>
        <w:numPr>
          <w:ilvl w:val="3"/>
          <w:numId w:val="1"/>
        </w:numPr>
        <w:rPr>
          <w:noProof w:val="0"/>
          <w:lang w:val="en-US"/>
        </w:rPr>
      </w:pPr>
      <w:r w:rsidRPr="1B01DFCC" w:rsidR="1B01DFCC">
        <w:rPr>
          <w:noProof w:val="0"/>
          <w:lang w:val="en-US"/>
        </w:rPr>
        <w:t xml:space="preserve">shortage of warehouse space </w:t>
      </w:r>
      <w:r w:rsidRPr="1B01DFCC" w:rsidR="1B01DFCC">
        <w:rPr>
          <w:noProof w:val="0"/>
          <w:lang w:val="en-US"/>
        </w:rPr>
        <w:t>remains</w:t>
      </w:r>
      <w:r w:rsidRPr="1B01DFCC" w:rsidR="1B01DFCC">
        <w:rPr>
          <w:noProof w:val="0"/>
          <w:lang w:val="en-US"/>
        </w:rPr>
        <w:t xml:space="preserve"> (some doubt </w:t>
      </w:r>
      <w:r w:rsidRPr="1B01DFCC" w:rsidR="1B01DFCC">
        <w:rPr>
          <w:noProof w:val="0"/>
          <w:lang w:val="en-US"/>
        </w:rPr>
        <w:t>notwithstanding</w:t>
      </w:r>
      <w:r w:rsidRPr="1B01DFCC" w:rsidR="1B01DFCC">
        <w:rPr>
          <w:noProof w:val="0"/>
          <w:lang w:val="en-US"/>
        </w:rPr>
        <w:t xml:space="preserve"> for the medium run), employment in warehouses post automation will set an even larger number of workers</w:t>
      </w:r>
    </w:p>
    <w:p w:rsidR="00F1559C" w:rsidP="1B01DFCC" w:rsidRDefault="00F1559C" w14:paraId="39ADD342" w14:textId="5DE9C22E">
      <w:pPr>
        <w:pStyle w:val="ListParagraph"/>
        <w:numPr>
          <w:ilvl w:val="3"/>
          <w:numId w:val="1"/>
        </w:numPr>
        <w:rPr>
          <w:noProof w:val="0"/>
          <w:lang w:val="en-US"/>
        </w:rPr>
      </w:pPr>
      <w:r w:rsidRPr="1B01DFCC" w:rsidR="1B01DFCC">
        <w:rPr>
          <w:noProof w:val="0"/>
          <w:lang w:val="en-US"/>
        </w:rPr>
        <w:t xml:space="preserve">free </w:t>
      </w:r>
      <w:r w:rsidRPr="1B01DFCC" w:rsidR="1B01DFCC">
        <w:rPr>
          <w:noProof w:val="0"/>
          <w:lang w:val="en-US"/>
        </w:rPr>
        <w:t>relative</w:t>
      </w:r>
      <w:r w:rsidRPr="1B01DFCC" w:rsidR="1B01DFCC">
        <w:rPr>
          <w:noProof w:val="0"/>
          <w:lang w:val="en-US"/>
        </w:rPr>
        <w:t xml:space="preserve"> to our predictions in 2016. </w:t>
      </w:r>
    </w:p>
    <w:p w:rsidR="00F1559C" w:rsidP="1B01DFCC" w:rsidRDefault="00F1559C" w14:paraId="7905A444" w14:textId="26A8C8BC">
      <w:pPr>
        <w:pStyle w:val="ListParagraph"/>
        <w:numPr>
          <w:ilvl w:val="3"/>
          <w:numId w:val="1"/>
        </w:numPr>
        <w:rPr>
          <w:noProof w:val="0"/>
          <w:lang w:val="en-US"/>
        </w:rPr>
      </w:pPr>
      <w:r w:rsidRPr="1B01DFCC" w:rsidR="1B01DFCC">
        <w:rPr>
          <w:noProof w:val="0"/>
          <w:lang w:val="en-US"/>
        </w:rPr>
        <w:t xml:space="preserve">As automation will not arrive in all industries at the same speed, </w:t>
      </w:r>
      <w:r w:rsidRPr="1B01DFCC" w:rsidR="1B01DFCC">
        <w:rPr>
          <w:noProof w:val="0"/>
          <w:lang w:val="en-US"/>
        </w:rPr>
        <w:t>high levels</w:t>
      </w:r>
      <w:r w:rsidRPr="1B01DFCC" w:rsidR="1B01DFCC">
        <w:rPr>
          <w:noProof w:val="0"/>
          <w:lang w:val="en-US"/>
        </w:rPr>
        <w:t xml:space="preserve"> of concentration in some of these industries will increase the difficulty to manage adjustment processes in those </w:t>
      </w:r>
      <w:r w:rsidRPr="1B01DFCC" w:rsidR="1B01DFCC">
        <w:rPr>
          <w:noProof w:val="0"/>
          <w:lang w:val="en-US"/>
        </w:rPr>
        <w:t>industries, once</w:t>
      </w:r>
      <w:r w:rsidRPr="1B01DFCC" w:rsidR="1B01DFCC">
        <w:rPr>
          <w:noProof w:val="0"/>
          <w:lang w:val="en-US"/>
        </w:rPr>
        <w:t xml:space="preserve"> they occur.</w:t>
      </w:r>
    </w:p>
    <w:p w:rsidR="00F1559C" w:rsidP="1B01DFCC" w:rsidRDefault="00F1559C" w14:paraId="430E6CEE" w14:textId="6E2B31E2">
      <w:pPr>
        <w:pStyle w:val="Heading2"/>
        <w:ind w:left="0"/>
        <w:rPr>
          <w:noProof w:val="0"/>
          <w:lang w:val="en-US"/>
        </w:rPr>
      </w:pPr>
      <w:bookmarkStart w:name="_Toc1506617036" w:id="1466922402"/>
      <w:r w:rsidRPr="1B01DFCC" w:rsidR="1B01DFCC">
        <w:rPr>
          <w:noProof w:val="0"/>
          <w:lang w:val="en-US"/>
        </w:rPr>
        <w:t>Demographic Factors.</w:t>
      </w:r>
      <w:bookmarkEnd w:id="1466922402"/>
    </w:p>
    <w:p w:rsidR="00F1559C" w:rsidP="1B01DFCC" w:rsidRDefault="00F1559C" w14:paraId="41EC9237" w14:textId="3D5A03DA">
      <w:pPr>
        <w:pStyle w:val="ListParagraph"/>
        <w:numPr>
          <w:ilvl w:val="1"/>
          <w:numId w:val="1"/>
        </w:numPr>
        <w:rPr>
          <w:noProof w:val="0"/>
          <w:lang w:val="en-US"/>
        </w:rPr>
      </w:pPr>
      <w:r w:rsidRPr="1B01DFCC" w:rsidR="1B01DFCC">
        <w:rPr>
          <w:noProof w:val="0"/>
          <w:lang w:val="en-US"/>
        </w:rPr>
        <w:t xml:space="preserve"> Consumer confidence in business</w:t>
      </w:r>
    </w:p>
    <w:p w:rsidR="00F1559C" w:rsidP="1B01DFCC" w:rsidRDefault="00F1559C" w14:paraId="6875DD15" w14:textId="1846E824">
      <w:pPr>
        <w:pStyle w:val="ListParagraph"/>
        <w:numPr>
          <w:ilvl w:val="1"/>
          <w:numId w:val="1"/>
        </w:numPr>
        <w:rPr>
          <w:noProof w:val="0"/>
          <w:lang w:val="en-US"/>
        </w:rPr>
      </w:pPr>
      <w:r w:rsidRPr="1B01DFCC" w:rsidR="1B01DFCC">
        <w:rPr>
          <w:noProof w:val="0"/>
          <w:lang w:val="en-US"/>
        </w:rPr>
        <w:t xml:space="preserve"> Population size</w:t>
      </w:r>
    </w:p>
    <w:p w:rsidR="00F1559C" w:rsidP="1B01DFCC" w:rsidRDefault="00F1559C" w14:paraId="3A96C1D1" w14:textId="07AD14BC">
      <w:pPr>
        <w:pStyle w:val="ListParagraph"/>
        <w:numPr>
          <w:ilvl w:val="2"/>
          <w:numId w:val="1"/>
        </w:numPr>
        <w:rPr>
          <w:noProof w:val="0"/>
          <w:lang w:val="en-US"/>
        </w:rPr>
      </w:pPr>
      <w:r w:rsidRPr="1B01DFCC" w:rsidR="1B01DFCC">
        <w:rPr>
          <w:noProof w:val="0"/>
          <w:lang w:val="en-US"/>
        </w:rPr>
        <w:t xml:space="preserve">Keil et al 2023 p. </w:t>
      </w:r>
    </w:p>
    <w:p w:rsidR="00F1559C" w:rsidP="1B01DFCC" w:rsidRDefault="00F1559C" w14:paraId="78ACFCA3" w14:textId="582FC8C7">
      <w:pPr>
        <w:pStyle w:val="ListParagraph"/>
        <w:numPr>
          <w:ilvl w:val="3"/>
          <w:numId w:val="1"/>
        </w:numPr>
        <w:rPr>
          <w:noProof w:val="0"/>
          <w:lang w:val="en-US"/>
        </w:rPr>
      </w:pPr>
      <w:r w:rsidRPr="1B01DFCC" w:rsidR="1B01DFCC">
        <w:rPr>
          <w:noProof w:val="0"/>
          <w:lang w:val="en-US"/>
        </w:rPr>
        <w:t>the Inland Empire became the 12th largest MSA in 2021.</w:t>
      </w:r>
    </w:p>
    <w:p w:rsidR="00F1559C" w:rsidP="1B01DFCC" w:rsidRDefault="00F1559C" w14:paraId="470151CF" w14:textId="5FCB016F">
      <w:pPr>
        <w:pStyle w:val="ListParagraph"/>
        <w:numPr>
          <w:ilvl w:val="3"/>
          <w:numId w:val="1"/>
        </w:numPr>
        <w:rPr>
          <w:noProof w:val="0"/>
          <w:lang w:val="en-US"/>
        </w:rPr>
      </w:pPr>
      <w:r w:rsidRPr="1B01DFCC" w:rsidR="1B01DFCC">
        <w:rPr>
          <w:noProof w:val="0"/>
          <w:lang w:val="en-US"/>
        </w:rPr>
        <w:t xml:space="preserve">Riverside County and San Bernardino County are now the second largest MSA in California. </w:t>
      </w:r>
    </w:p>
    <w:p w:rsidR="00F1559C" w:rsidP="1B01DFCC" w:rsidRDefault="00F1559C" w14:paraId="65EC9F02" w14:textId="2F6DE775">
      <w:pPr>
        <w:pStyle w:val="ListParagraph"/>
        <w:numPr>
          <w:ilvl w:val="3"/>
          <w:numId w:val="1"/>
        </w:numPr>
        <w:rPr>
          <w:noProof w:val="0"/>
          <w:lang w:val="en-US"/>
        </w:rPr>
      </w:pPr>
      <w:r w:rsidRPr="1B01DFCC" w:rsidR="1B01DFCC">
        <w:rPr>
          <w:noProof w:val="0"/>
          <w:lang w:val="en-US"/>
        </w:rPr>
        <w:t>next population up nationally: Boston and Phoenix</w:t>
      </w:r>
    </w:p>
    <w:p w:rsidR="00F1559C" w:rsidP="1B01DFCC" w:rsidRDefault="00F1559C" w14:paraId="52140D06" w14:textId="475B2AB4">
      <w:pPr>
        <w:pStyle w:val="ListParagraph"/>
        <w:numPr>
          <w:ilvl w:val="3"/>
          <w:numId w:val="1"/>
        </w:numPr>
        <w:rPr>
          <w:noProof w:val="0"/>
          <w:lang w:val="en-US"/>
        </w:rPr>
      </w:pPr>
      <w:r w:rsidRPr="1B01DFCC" w:rsidR="1B01DFCC">
        <w:rPr>
          <w:noProof w:val="0"/>
          <w:lang w:val="en-US"/>
        </w:rPr>
        <w:t>Number 1 MSA in California: Los Angeles-Long Beach-Anaheim</w:t>
      </w:r>
    </w:p>
    <w:p w:rsidR="00F1559C" w:rsidP="1B01DFCC" w:rsidRDefault="00F1559C" w14:paraId="1B32CF92" w14:textId="06F39835">
      <w:pPr>
        <w:pStyle w:val="ListParagraph"/>
        <w:numPr>
          <w:ilvl w:val="1"/>
          <w:numId w:val="1"/>
        </w:numPr>
        <w:rPr>
          <w:noProof w:val="0"/>
          <w:lang w:val="en-US"/>
        </w:rPr>
      </w:pPr>
      <w:r w:rsidRPr="1B01DFCC" w:rsidR="1B01DFCC">
        <w:rPr>
          <w:noProof w:val="0"/>
          <w:lang w:val="en-US"/>
        </w:rPr>
        <w:t xml:space="preserve"> Population distribution</w:t>
      </w:r>
    </w:p>
    <w:p w:rsidR="00F1559C" w:rsidP="1B01DFCC" w:rsidRDefault="00F1559C" w14:paraId="601B6981" w14:textId="25A1D269">
      <w:pPr>
        <w:pStyle w:val="Normal"/>
        <w:ind w:left="0"/>
        <w:rPr>
          <w:noProof w:val="0"/>
          <w:lang w:val="en-US"/>
        </w:rPr>
      </w:pPr>
    </w:p>
    <w:p w:rsidR="00F1559C" w:rsidP="1B01DFCC" w:rsidRDefault="00F1559C" w14:paraId="4E32CCBD" w14:textId="64D302D7">
      <w:pPr>
        <w:pStyle w:val="ListParagraph"/>
        <w:numPr>
          <w:ilvl w:val="1"/>
          <w:numId w:val="1"/>
        </w:numPr>
        <w:rPr>
          <w:noProof w:val="0"/>
          <w:lang w:val="en-US"/>
        </w:rPr>
      </w:pPr>
      <w:r w:rsidRPr="1B01DFCC" w:rsidR="1B01DFCC">
        <w:rPr>
          <w:noProof w:val="0"/>
          <w:lang w:val="en-US"/>
        </w:rPr>
        <w:t xml:space="preserve"> Income distribution</w:t>
      </w:r>
    </w:p>
    <w:p w:rsidR="00F1559C" w:rsidP="1B01DFCC" w:rsidRDefault="00F1559C" w14:paraId="2E94DB9D" w14:textId="3480CBFE">
      <w:pPr>
        <w:pStyle w:val="ListParagraph"/>
        <w:numPr>
          <w:ilvl w:val="2"/>
          <w:numId w:val="1"/>
        </w:numPr>
        <w:rPr/>
      </w:pPr>
      <w:r w:rsidR="1B01DFCC">
        <w:rPr/>
        <w:t>1,441,602 Households</w:t>
      </w:r>
    </w:p>
    <w:p w:rsidR="00F1559C" w:rsidP="1B01DFCC" w:rsidRDefault="00F1559C" w14:paraId="54460FE8" w14:textId="1737E9A4">
      <w:pPr>
        <w:pStyle w:val="Normal"/>
        <w:ind w:left="0"/>
      </w:pPr>
      <w:r>
        <w:drawing>
          <wp:inline wp14:editId="6E9A2188" wp14:anchorId="7205E784">
            <wp:extent cx="5886450" cy="3249811"/>
            <wp:effectExtent l="0" t="0" r="0" b="0"/>
            <wp:docPr id="677639463" name="" title=""/>
            <wp:cNvGraphicFramePr>
              <a:graphicFrameLocks noChangeAspect="1"/>
            </wp:cNvGraphicFramePr>
            <a:graphic>
              <a:graphicData uri="http://schemas.openxmlformats.org/drawingml/2006/picture">
                <pic:pic>
                  <pic:nvPicPr>
                    <pic:cNvPr id="0" name=""/>
                    <pic:cNvPicPr/>
                  </pic:nvPicPr>
                  <pic:blipFill>
                    <a:blip r:embed="Rcb24fc1c0c39491e">
                      <a:extLst>
                        <a:ext xmlns:a="http://schemas.openxmlformats.org/drawingml/2006/main" uri="{28A0092B-C50C-407E-A947-70E740481C1C}">
                          <a14:useLocalDpi val="0"/>
                        </a:ext>
                      </a:extLst>
                    </a:blip>
                    <a:stretch>
                      <a:fillRect/>
                    </a:stretch>
                  </pic:blipFill>
                  <pic:spPr>
                    <a:xfrm>
                      <a:off x="0" y="0"/>
                      <a:ext cx="5886450" cy="3249811"/>
                    </a:xfrm>
                    <a:prstGeom prst="rect">
                      <a:avLst/>
                    </a:prstGeom>
                  </pic:spPr>
                </pic:pic>
              </a:graphicData>
            </a:graphic>
          </wp:inline>
        </w:drawing>
      </w:r>
      <w:r>
        <w:br/>
      </w:r>
      <w:r w:rsidR="1B01DFCC">
        <w:rPr/>
        <w:t>Source: American Community Survey, 2019</w:t>
      </w:r>
    </w:p>
    <w:p w:rsidR="00F1559C" w:rsidP="1B01DFCC" w:rsidRDefault="00F1559C" w14:paraId="1318939A" w14:textId="73D4EEC7">
      <w:pPr>
        <w:pStyle w:val="ListParagraph"/>
        <w:numPr>
          <w:ilvl w:val="1"/>
          <w:numId w:val="1"/>
        </w:numPr>
        <w:rPr>
          <w:noProof w:val="0"/>
          <w:lang w:val="en-US"/>
        </w:rPr>
      </w:pPr>
      <w:r w:rsidRPr="1B01DFCC" w:rsidR="1B01DFCC">
        <w:rPr>
          <w:noProof w:val="0"/>
          <w:lang w:val="en-US"/>
        </w:rPr>
        <w:t xml:space="preserve"> Age distribution</w:t>
      </w:r>
    </w:p>
    <w:p w:rsidR="00F1559C" w:rsidP="1B01DFCC" w:rsidRDefault="00F1559C" w14:paraId="7D30A351" w14:textId="7A6BC4B0">
      <w:pPr>
        <w:pStyle w:val="ListParagraph"/>
        <w:numPr>
          <w:ilvl w:val="2"/>
          <w:numId w:val="1"/>
        </w:numPr>
        <w:rPr>
          <w:noProof w:val="0"/>
          <w:lang w:val="en-US"/>
        </w:rPr>
      </w:pPr>
    </w:p>
    <w:p w:rsidR="00F1559C" w:rsidP="1B01DFCC" w:rsidRDefault="00F1559C" w14:paraId="204B9660" w14:textId="18181527">
      <w:pPr>
        <w:pStyle w:val="Heading2"/>
        <w:ind w:left="0"/>
        <w:rPr>
          <w:noProof w:val="0"/>
          <w:lang w:val="en-US"/>
        </w:rPr>
      </w:pPr>
      <w:bookmarkStart w:name="_Toc742053445" w:id="1777078309"/>
      <w:r w:rsidRPr="1B01DFCC" w:rsidR="1B01DFCC">
        <w:rPr>
          <w:noProof w:val="0"/>
          <w:lang w:val="en-US"/>
        </w:rPr>
        <w:t>Political Factors.</w:t>
      </w:r>
      <w:bookmarkEnd w:id="1777078309"/>
    </w:p>
    <w:p w:rsidR="00F1559C" w:rsidP="1B01DFCC" w:rsidRDefault="00F1559C" w14:paraId="355A3DBC" w14:textId="4DF6F911">
      <w:pPr>
        <w:pStyle w:val="ListParagraph"/>
        <w:numPr>
          <w:ilvl w:val="1"/>
          <w:numId w:val="1"/>
        </w:numPr>
        <w:rPr>
          <w:noProof w:val="0"/>
          <w:lang w:val="en-US"/>
        </w:rPr>
      </w:pPr>
      <w:r w:rsidRPr="1B01DFCC" w:rsidR="1B01DFCC">
        <w:rPr>
          <w:noProof w:val="0"/>
          <w:lang w:val="en-US"/>
        </w:rPr>
        <w:t>Regulation/Legislation</w:t>
      </w:r>
    </w:p>
    <w:p w:rsidR="00F1559C" w:rsidP="1B01DFCC" w:rsidRDefault="00F1559C" w14:paraId="4354A57C" w14:textId="26BC00C1">
      <w:pPr>
        <w:pStyle w:val="ListParagraph"/>
        <w:numPr>
          <w:ilvl w:val="2"/>
          <w:numId w:val="1"/>
        </w:numPr>
        <w:rPr>
          <w:noProof w:val="0"/>
          <w:lang w:val="en-US"/>
        </w:rPr>
      </w:pPr>
      <w:r w:rsidRPr="1B01DFCC" w:rsidR="1B01DFCC">
        <w:rPr>
          <w:noProof w:val="0"/>
          <w:lang w:val="en-US"/>
        </w:rPr>
        <w:t>Keil et al 2023 p. 18</w:t>
      </w:r>
    </w:p>
    <w:p w:rsidR="00F1559C" w:rsidP="1B01DFCC" w:rsidRDefault="00F1559C" w14:paraId="14E48CFC" w14:textId="0587CC7D">
      <w:pPr>
        <w:pStyle w:val="ListParagraph"/>
        <w:numPr>
          <w:ilvl w:val="3"/>
          <w:numId w:val="1"/>
        </w:numPr>
        <w:rPr>
          <w:noProof w:val="0"/>
          <w:lang w:val="en-US"/>
        </w:rPr>
      </w:pPr>
      <w:r w:rsidRPr="1B01DFCC" w:rsidR="1B01DFCC">
        <w:rPr>
          <w:noProof w:val="0"/>
          <w:lang w:val="en-US"/>
        </w:rPr>
        <w:t>Pollution and traffic are at the forefront of our regional awareness.</w:t>
      </w:r>
    </w:p>
    <w:p w:rsidR="00F1559C" w:rsidP="1B01DFCC" w:rsidRDefault="00F1559C" w14:paraId="1F8AA71B" w14:textId="20B900BF">
      <w:pPr>
        <w:pStyle w:val="ListParagraph"/>
        <w:numPr>
          <w:ilvl w:val="3"/>
          <w:numId w:val="1"/>
        </w:numPr>
        <w:rPr>
          <w:noProof w:val="0"/>
          <w:lang w:val="en-US"/>
        </w:rPr>
      </w:pPr>
      <w:r w:rsidRPr="1B01DFCC" w:rsidR="1B01DFCC">
        <w:rPr>
          <w:noProof w:val="0"/>
          <w:lang w:val="en-US"/>
        </w:rPr>
        <w:t xml:space="preserve">Some municipalities (Rialto, Colton) have imposed a moratorium on new warehouse construction. </w:t>
      </w:r>
    </w:p>
    <w:p w:rsidR="00F1559C" w:rsidP="1B01DFCC" w:rsidRDefault="00F1559C" w14:paraId="22DB1C23" w14:textId="00DDE533">
      <w:pPr>
        <w:pStyle w:val="ListParagraph"/>
        <w:numPr>
          <w:ilvl w:val="3"/>
          <w:numId w:val="1"/>
        </w:numPr>
        <w:rPr>
          <w:noProof w:val="0"/>
          <w:lang w:val="en-US"/>
        </w:rPr>
      </w:pPr>
      <w:r w:rsidRPr="1B01DFCC" w:rsidR="1B01DFCC">
        <w:rPr>
          <w:noProof w:val="0"/>
          <w:lang w:val="en-US"/>
        </w:rPr>
        <w:t xml:space="preserve">In addition, the State’s Assembly is currently considering two bills that would impede further development of the region: AB 627 would prohibit, by 2030, heavy-duty diesel trucks from circulating in the streets of San Bernardino and Riverside counties; and AB 1000 would rule out the construction of warehouses larger than </w:t>
      </w:r>
      <w:r w:rsidRPr="1B01DFCC" w:rsidR="1B01DFCC">
        <w:rPr>
          <w:noProof w:val="0"/>
          <w:lang w:val="en-US"/>
        </w:rPr>
        <w:t>100,000 square feet</w:t>
      </w:r>
      <w:r w:rsidRPr="1B01DFCC" w:rsidR="1B01DFCC">
        <w:rPr>
          <w:noProof w:val="0"/>
          <w:lang w:val="en-US"/>
        </w:rPr>
        <w:t xml:space="preserve"> </w:t>
      </w:r>
      <w:r w:rsidRPr="1B01DFCC" w:rsidR="1B01DFCC">
        <w:rPr>
          <w:noProof w:val="0"/>
          <w:lang w:val="en-US"/>
        </w:rPr>
        <w:t xml:space="preserve">within a radius of </w:t>
      </w:r>
      <w:r w:rsidRPr="1B01DFCC" w:rsidR="1B01DFCC">
        <w:rPr>
          <w:noProof w:val="0"/>
          <w:lang w:val="en-US"/>
        </w:rPr>
        <w:t>1,000 feet</w:t>
      </w:r>
      <w:r w:rsidRPr="1B01DFCC" w:rsidR="1B01DFCC">
        <w:rPr>
          <w:noProof w:val="0"/>
          <w:lang w:val="en-US"/>
        </w:rPr>
        <w:t xml:space="preserve"> from a house, a residential development, or other sensitive receptors.</w:t>
      </w:r>
    </w:p>
    <w:p w:rsidR="00F1559C" w:rsidP="1B01DFCC" w:rsidRDefault="00F1559C" w14:paraId="3E56D994" w14:textId="37B2E074">
      <w:pPr>
        <w:pStyle w:val="ListParagraph"/>
        <w:numPr>
          <w:ilvl w:val="1"/>
          <w:numId w:val="1"/>
        </w:numPr>
        <w:rPr>
          <w:noProof w:val="0"/>
          <w:lang w:val="en-US"/>
        </w:rPr>
      </w:pPr>
      <w:r w:rsidRPr="1B01DFCC" w:rsidR="1B01DFCC">
        <w:rPr>
          <w:noProof w:val="0"/>
          <w:lang w:val="en-US"/>
        </w:rPr>
        <w:t>Failed states</w:t>
      </w:r>
    </w:p>
    <w:p w:rsidR="00F1559C" w:rsidP="1B01DFCC" w:rsidRDefault="00F1559C" w14:paraId="460A8D1E" w14:textId="335B4C60">
      <w:pPr>
        <w:pStyle w:val="ListParagraph"/>
        <w:numPr>
          <w:ilvl w:val="1"/>
          <w:numId w:val="1"/>
        </w:numPr>
        <w:rPr>
          <w:noProof w:val="0"/>
          <w:lang w:val="en-US"/>
        </w:rPr>
      </w:pPr>
      <w:r w:rsidRPr="1B01DFCC" w:rsidR="1B01DFCC">
        <w:rPr>
          <w:noProof w:val="0"/>
          <w:lang w:val="en-US"/>
        </w:rPr>
        <w:t>Geopolitical unrest</w:t>
      </w:r>
    </w:p>
    <w:p w:rsidR="00F1559C" w:rsidP="1B01DFCC" w:rsidRDefault="00F1559C" w14:paraId="6C57BA7E" w14:textId="2DC3D2A4">
      <w:pPr>
        <w:pStyle w:val="ListParagraph"/>
        <w:numPr>
          <w:ilvl w:val="2"/>
          <w:numId w:val="1"/>
        </w:numPr>
        <w:rPr>
          <w:noProof w:val="0"/>
          <w:lang w:val="en-US"/>
        </w:rPr>
      </w:pPr>
      <w:r w:rsidRPr="1B01DFCC" w:rsidR="1B01DFCC">
        <w:rPr>
          <w:noProof w:val="0"/>
          <w:lang w:val="en-US"/>
        </w:rPr>
        <w:t>War in Ukraine</w:t>
      </w:r>
    </w:p>
    <w:p w:rsidR="00F1559C" w:rsidP="1B01DFCC" w:rsidRDefault="00F1559C" w14:paraId="476D7652" w14:textId="76D1A2A2">
      <w:pPr>
        <w:pStyle w:val="ListParagraph"/>
        <w:numPr>
          <w:ilvl w:val="2"/>
          <w:numId w:val="1"/>
        </w:numPr>
        <w:rPr>
          <w:noProof w:val="0"/>
          <w:lang w:val="en-US"/>
        </w:rPr>
      </w:pPr>
      <w:r w:rsidRPr="1B01DFCC" w:rsidR="1B01DFCC">
        <w:rPr>
          <w:noProof w:val="0"/>
          <w:lang w:val="en-US"/>
        </w:rPr>
        <w:t>Taiwan/China</w:t>
      </w:r>
    </w:p>
    <w:p w:rsidR="00F1559C" w:rsidP="1B01DFCC" w:rsidRDefault="00F1559C" w14:paraId="083852A7" w14:textId="707C6D2C">
      <w:pPr>
        <w:pStyle w:val="ListParagraph"/>
        <w:numPr>
          <w:ilvl w:val="2"/>
          <w:numId w:val="1"/>
        </w:numPr>
        <w:rPr>
          <w:noProof w:val="0"/>
          <w:lang w:val="en-US"/>
        </w:rPr>
      </w:pPr>
      <w:r w:rsidRPr="1B01DFCC" w:rsidR="1B01DFCC">
        <w:rPr>
          <w:noProof w:val="0"/>
          <w:lang w:val="en-US"/>
        </w:rPr>
        <w:t>Refugees</w:t>
      </w:r>
    </w:p>
    <w:p w:rsidR="00F1559C" w:rsidP="1B01DFCC" w:rsidRDefault="00F1559C" w14:paraId="6D1B5058" w14:textId="2E5E41E3">
      <w:pPr>
        <w:pStyle w:val="ListParagraph"/>
        <w:numPr>
          <w:ilvl w:val="1"/>
          <w:numId w:val="1"/>
        </w:numPr>
        <w:rPr>
          <w:noProof w:val="0"/>
          <w:lang w:val="en-US"/>
        </w:rPr>
      </w:pPr>
      <w:r w:rsidRPr="1B01DFCC" w:rsidR="1B01DFCC">
        <w:rPr>
          <w:noProof w:val="0"/>
          <w:lang w:val="en-US"/>
        </w:rPr>
        <w:t>Global governance</w:t>
      </w:r>
    </w:p>
    <w:p w:rsidR="00F1559C" w:rsidP="1B01DFCC" w:rsidRDefault="00F1559C" w14:paraId="23FA45C6" w14:textId="0CC97EB0">
      <w:pPr>
        <w:pStyle w:val="Normal"/>
        <w:rPr>
          <w:noProof w:val="0"/>
          <w:lang w:val="en-US"/>
        </w:rPr>
      </w:pPr>
    </w:p>
    <w:p w:rsidR="00F1559C" w:rsidP="1B01DFCC" w:rsidRDefault="00F1559C" w14:paraId="5B0E8F06" w14:textId="63427656">
      <w:pPr>
        <w:pStyle w:val="Heading1"/>
        <w:rPr>
          <w:noProof w:val="0"/>
          <w:lang w:val="en-US"/>
        </w:rPr>
      </w:pPr>
      <w:bookmarkStart w:name="_Toc543329996" w:id="57706390"/>
      <w:r w:rsidRPr="1B01DFCC" w:rsidR="1B01DFCC">
        <w:rPr>
          <w:noProof w:val="0"/>
          <w:lang w:val="en-US"/>
        </w:rPr>
        <w:t>References</w:t>
      </w:r>
      <w:bookmarkEnd w:id="57706390"/>
    </w:p>
    <w:p w:rsidR="00F1559C" w:rsidP="1B01DFCC" w:rsidRDefault="00F1559C" w14:paraId="25C78907" w14:textId="34BE4DEB">
      <w:pPr>
        <w:pStyle w:val="Normal"/>
        <w:ind w:left="720"/>
      </w:pPr>
    </w:p>
    <w:p w:rsidR="00F1559C" w:rsidP="1B01DFCC" w:rsidRDefault="00F1559C" w14:paraId="390702A0" w14:textId="2E3AC569">
      <w:pPr>
        <w:pStyle w:val="Normal"/>
        <w:ind w:left="720" w:hanging="720"/>
      </w:pPr>
      <w:r w:rsidR="1B01DFCC">
        <w:rPr/>
        <w:t>Keil, M.; Robert Kleinhenz, R.; Moenius, J.; &amp; Lozano, F. (2023, April 3). T</w:t>
      </w:r>
      <w:r w:rsidRPr="1B01DFCC" w:rsidR="1B01DFCC">
        <w:rPr>
          <w:i w:val="1"/>
          <w:iCs w:val="1"/>
        </w:rPr>
        <w:t>he Inland Empire 2023: The State of the Region</w:t>
      </w:r>
      <w:r w:rsidR="1B01DFCC">
        <w:rPr/>
        <w:t xml:space="preserve">.  Lowe Institute. </w:t>
      </w:r>
      <w:r w:rsidR="1B01DFCC">
        <w:rPr/>
        <w:t xml:space="preserve">Available from: </w:t>
      </w:r>
      <w:hyperlink r:id="R2eb458c85fe94818">
        <w:r w:rsidRPr="1B01DFCC" w:rsidR="1B01DFCC">
          <w:rPr>
            <w:rStyle w:val="Hyperlink"/>
          </w:rPr>
          <w:t>https://www.lowe-institute.org/wp-content/uploads/2023/04/State-Of-The-Region-2023-Final-Print.pdf</w:t>
        </w:r>
      </w:hyperlink>
    </w:p>
    <w:p w:rsidR="1B01DFCC" w:rsidP="1B01DFCC" w:rsidRDefault="1B01DFCC" w14:paraId="7B4D87EB" w14:textId="02F3C33E">
      <w:pPr>
        <w:pStyle w:val="Normal"/>
        <w:ind w:left="720" w:hanging="720"/>
      </w:pPr>
      <w:r w:rsidR="1B01DFCC">
        <w:rPr/>
        <w:t>Sirotnik</w:t>
      </w:r>
      <w:r w:rsidR="1B01DFCC">
        <w:rPr/>
        <w:t xml:space="preserve">, B.; Niesen, R.; Moran, R.; &amp; Gómez-Arias, T. (2022, December) </w:t>
      </w:r>
      <w:r w:rsidRPr="1B01DFCC" w:rsidR="1B01DFCC">
        <w:rPr>
          <w:i w:val="1"/>
          <w:iCs w:val="1"/>
        </w:rPr>
        <w:t>IAR’S Inland Empire Report on Business</w:t>
      </w:r>
      <w:r w:rsidR="1B01DFCC">
        <w:rPr/>
        <w:t>. The Institute of Applied Research Housed in CSUSB’s Jack H. Brown College of Business and Public Administration</w:t>
      </w:r>
      <w:r w:rsidR="1B01DFCC">
        <w:rPr/>
        <w:t>.</w:t>
      </w:r>
      <w:r w:rsidR="1B01DFCC">
        <w:rPr/>
        <w:t xml:space="preserve">  </w:t>
      </w:r>
      <w:r w:rsidR="1B01DFCC">
        <w:rPr/>
        <w:t>A</w:t>
      </w:r>
      <w:r w:rsidR="1B01DFCC">
        <w:rPr/>
        <w:t xml:space="preserve">vailable from </w:t>
      </w:r>
      <w:hyperlink r:id="Rdec97741b1bc4511">
        <w:r w:rsidRPr="1B01DFCC" w:rsidR="1B01DFCC">
          <w:rPr>
            <w:rStyle w:val="Hyperlink"/>
          </w:rPr>
          <w:t>https://www.csusb.edu/sites/default/files/upload/file/ROB_Dec2022final_ADA.pdf</w:t>
        </w:r>
      </w:hyperlink>
      <w:r w:rsidR="1B01DFCC">
        <w:rPr/>
        <w:t xml:space="preserve"> </w:t>
      </w:r>
    </w:p>
    <w:p w:rsidR="1B01DFCC" w:rsidP="1B01DFCC" w:rsidRDefault="1B01DFCC" w14:paraId="1C9025DE" w14:textId="6B8F7D7C">
      <w:pPr>
        <w:pStyle w:val="Normal"/>
        <w:ind w:left="720" w:hanging="720"/>
      </w:pPr>
      <w:r w:rsidR="1B01DFCC">
        <w:rPr/>
        <w:t xml:space="preserve">U.S. Census Bureau (2021) American Community Survey. </w:t>
      </w:r>
      <w:hyperlink r:id="R5a0174a027c5494f">
        <w:r w:rsidRPr="1B01DFCC" w:rsidR="1B01DFCC">
          <w:rPr>
            <w:rStyle w:val="Hyperlink"/>
          </w:rPr>
          <w:t>www.census.gov</w:t>
        </w:r>
      </w:hyperlink>
      <w:r w:rsidR="1B01DFCC">
        <w:rPr/>
        <w:t xml:space="preserve"> </w:t>
      </w:r>
    </w:p>
    <w:p w:rsidR="1B01DFCC" w:rsidP="1B01DFCC" w:rsidRDefault="1B01DFCC" w14:paraId="5CC290E8" w14:textId="27347ED4">
      <w:pPr>
        <w:pStyle w:val="Normal"/>
        <w:ind w:left="720" w:hanging="720"/>
      </w:pPr>
    </w:p>
    <w:p w:rsidR="1B01DFCC" w:rsidP="1B01DFCC" w:rsidRDefault="1B01DFCC" w14:paraId="662B5E8B" w14:textId="30E6BFD7">
      <w:pPr>
        <w:pStyle w:val="Normal"/>
      </w:pPr>
    </w:p>
    <w:p w:rsidR="1B01DFCC" w:rsidP="1B01DFCC" w:rsidRDefault="1B01DFCC" w14:paraId="457F5255" w14:textId="7282A3CF">
      <w:pPr>
        <w:pStyle w:val="Normal"/>
      </w:pPr>
    </w:p>
    <w:sectPr w:rsidR="00F1559C" w:rsidSect="00614E1A">
      <w:pgSz w:w="12240" w:h="15840" w:orient="portrait"/>
      <w:pgMar w:top="1440" w:right="1440" w:bottom="1440" w:left="1440" w:header="720" w:footer="720" w:gutter="0"/>
      <w:cols w:space="720"/>
      <w:docGrid w:linePitch="360"/>
      <w:headerReference w:type="default" r:id="Rf90f10c4df774fa1"/>
      <w:footerReference w:type="default" r:id="R84e79bce013f4e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01DFCC" w:rsidTr="1B01DFCC" w14:paraId="258493B1">
      <w:trPr>
        <w:trHeight w:val="300"/>
      </w:trPr>
      <w:tc>
        <w:tcPr>
          <w:tcW w:w="3120" w:type="dxa"/>
          <w:tcMar/>
        </w:tcPr>
        <w:p w:rsidR="1B01DFCC" w:rsidP="1B01DFCC" w:rsidRDefault="1B01DFCC" w14:paraId="6D496EE1" w14:textId="693FC844">
          <w:pPr>
            <w:pStyle w:val="Header"/>
            <w:bidi w:val="0"/>
            <w:ind w:left="-115"/>
            <w:jc w:val="left"/>
          </w:pPr>
        </w:p>
      </w:tc>
      <w:tc>
        <w:tcPr>
          <w:tcW w:w="3120" w:type="dxa"/>
          <w:tcMar/>
        </w:tcPr>
        <w:p w:rsidR="1B01DFCC" w:rsidP="1B01DFCC" w:rsidRDefault="1B01DFCC" w14:paraId="5B63CCA9" w14:textId="643E1568">
          <w:pPr>
            <w:pStyle w:val="Header"/>
            <w:bidi w:val="0"/>
            <w:jc w:val="center"/>
          </w:pPr>
        </w:p>
      </w:tc>
      <w:tc>
        <w:tcPr>
          <w:tcW w:w="3120" w:type="dxa"/>
          <w:tcMar/>
        </w:tcPr>
        <w:p w:rsidR="1B01DFCC" w:rsidP="1B01DFCC" w:rsidRDefault="1B01DFCC" w14:paraId="347D5164" w14:textId="784F14D4">
          <w:pPr>
            <w:pStyle w:val="Header"/>
            <w:bidi w:val="0"/>
            <w:ind w:right="-115"/>
            <w:jc w:val="right"/>
          </w:pPr>
          <w:r>
            <w:fldChar w:fldCharType="begin"/>
          </w:r>
          <w:r>
            <w:instrText xml:space="preserve">PAGE</w:instrText>
          </w:r>
          <w:r>
            <w:fldChar w:fldCharType="separate"/>
          </w:r>
          <w:r>
            <w:fldChar w:fldCharType="end"/>
          </w:r>
        </w:p>
      </w:tc>
    </w:tr>
  </w:tbl>
  <w:p w:rsidR="1B01DFCC" w:rsidP="1B01DFCC" w:rsidRDefault="1B01DFCC" w14:paraId="72EE335F" w14:textId="3091AE3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01DFCC" w:rsidTr="1B01DFCC" w14:paraId="3844542A">
      <w:trPr>
        <w:trHeight w:val="300"/>
      </w:trPr>
      <w:tc>
        <w:tcPr>
          <w:tcW w:w="3120" w:type="dxa"/>
          <w:tcMar/>
        </w:tcPr>
        <w:p w:rsidR="1B01DFCC" w:rsidP="1B01DFCC" w:rsidRDefault="1B01DFCC" w14:paraId="3073090C" w14:textId="7EF2A3ED">
          <w:pPr>
            <w:pStyle w:val="Header"/>
            <w:bidi w:val="0"/>
            <w:ind w:left="-115"/>
            <w:jc w:val="left"/>
          </w:pPr>
        </w:p>
      </w:tc>
      <w:tc>
        <w:tcPr>
          <w:tcW w:w="3120" w:type="dxa"/>
          <w:tcMar/>
        </w:tcPr>
        <w:p w:rsidR="1B01DFCC" w:rsidP="1B01DFCC" w:rsidRDefault="1B01DFCC" w14:paraId="2388FFF5" w14:textId="50E464A8">
          <w:pPr>
            <w:pStyle w:val="Header"/>
            <w:bidi w:val="0"/>
            <w:jc w:val="center"/>
          </w:pPr>
        </w:p>
      </w:tc>
      <w:tc>
        <w:tcPr>
          <w:tcW w:w="3120" w:type="dxa"/>
          <w:tcMar/>
        </w:tcPr>
        <w:p w:rsidR="1B01DFCC" w:rsidP="1B01DFCC" w:rsidRDefault="1B01DFCC" w14:paraId="0E82075A" w14:textId="61B8E93B">
          <w:pPr>
            <w:pStyle w:val="Header"/>
            <w:bidi w:val="0"/>
            <w:ind w:right="-115"/>
            <w:jc w:val="right"/>
          </w:pPr>
        </w:p>
      </w:tc>
    </w:tr>
  </w:tbl>
  <w:p w:rsidR="1B01DFCC" w:rsidP="1B01DFCC" w:rsidRDefault="1B01DFCC" w14:paraId="4CA2BD15" w14:textId="4563695D">
    <w:pPr>
      <w:pStyle w:val="Header"/>
      <w:bidi w:val="0"/>
    </w:pPr>
  </w:p>
</w:hdr>
</file>

<file path=word/numbering.xml><?xml version="1.0" encoding="utf-8"?>
<w:numbering xmlns:w="http://schemas.openxmlformats.org/wordprocessingml/2006/main">
  <w:abstractNum xmlns:w="http://schemas.openxmlformats.org/wordprocessingml/2006/main" w:abstractNumId="1">
    <w:nsid w:val="610df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9C"/>
    <w:rsid w:val="00075016"/>
    <w:rsid w:val="000A75E8"/>
    <w:rsid w:val="00614E1A"/>
    <w:rsid w:val="0080480F"/>
    <w:rsid w:val="00C469C4"/>
    <w:rsid w:val="00DE5009"/>
    <w:rsid w:val="00E76019"/>
    <w:rsid w:val="00F1559C"/>
    <w:rsid w:val="1B01D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317D5"/>
  <w14:defaultImageDpi w14:val="32767"/>
  <w15:chartTrackingRefBased/>
  <w15:docId w15:val="{6700B824-A3B6-6949-B67F-DD06FDF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be6aa782d16494d" /><Relationship Type="http://schemas.openxmlformats.org/officeDocument/2006/relationships/image" Target="/media/image2.png" Id="Rd552ab1917bf4b68" /><Relationship Type="http://schemas.openxmlformats.org/officeDocument/2006/relationships/image" Target="/media/image3.png" Id="R1970ce95c3704139" /><Relationship Type="http://schemas.openxmlformats.org/officeDocument/2006/relationships/image" Target="/media/image4.png" Id="Rcb24fc1c0c39491e" /><Relationship Type="http://schemas.openxmlformats.org/officeDocument/2006/relationships/hyperlink" Target="https://www.lowe-institute.org/wp-content/uploads/2023/04/State-Of-The-Region-2023-Final-Print.pdf" TargetMode="External" Id="R2eb458c85fe94818" /><Relationship Type="http://schemas.openxmlformats.org/officeDocument/2006/relationships/hyperlink" Target="https://www.csusb.edu/sites/default/files/upload/file/ROB_Dec2022final_ADA.pdf" TargetMode="External" Id="Rdec97741b1bc4511" /><Relationship Type="http://schemas.openxmlformats.org/officeDocument/2006/relationships/hyperlink" Target="http://www.census.gov" TargetMode="External" Id="R5a0174a027c5494f" /><Relationship Type="http://schemas.openxmlformats.org/officeDocument/2006/relationships/glossaryDocument" Target="glossary/document.xml" Id="R33cd7e0b5dd24afe" /><Relationship Type="http://schemas.openxmlformats.org/officeDocument/2006/relationships/header" Target="header.xml" Id="Rf90f10c4df774fa1" /><Relationship Type="http://schemas.openxmlformats.org/officeDocument/2006/relationships/footer" Target="footer.xml" Id="R84e79bce013f4e8e" /><Relationship Type="http://schemas.openxmlformats.org/officeDocument/2006/relationships/numbering" Target="numbering.xml" Id="R9c9bc5a385844bd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d1ee60-7215-42f4-921e-290685105cfa}"/>
      </w:docPartPr>
      <w:docPartBody>
        <w:p w14:paraId="4555CD07">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Spee, James</dc:creator>
  <keywords/>
  <dc:description/>
  <lastModifiedBy>Guest User</lastModifiedBy>
  <revision>3</revision>
  <dcterms:created xsi:type="dcterms:W3CDTF">2023-06-05T23:40:00.0000000Z</dcterms:created>
  <dcterms:modified xsi:type="dcterms:W3CDTF">2023-06-07T00:45:41.1608956Z</dcterms:modified>
</coreProperties>
</file>