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WISE Educator Wellbeing — Stage 1 Desk Research Brief</w:t>
      </w:r>
    </w:p>
    <w:p>
      <w:r>
        <w:rPr>
          <w:i/>
        </w:rPr>
        <w:t>A consultation + clinician-capacity layer around a tiered framework for K-12 educator wellbeing · Recommendation: CONDITIONAL GO · Likely path: spin-out if willingness-to-pay validates, else spin-in</w:t>
      </w:r>
    </w:p>
    <w:p>
      <w:pPr>
        <w:pStyle w:val="Heading2"/>
      </w:pPr>
      <w:r>
        <w:t>Recommendation</w:t>
      </w:r>
    </w:p>
    <w:p>
      <w:r>
        <w:rPr>
          <w:b/>
        </w:rPr>
        <w:t>Conditional go</w:t>
      </w:r>
      <w:r>
        <w:t xml:space="preserve"> — advance to customer discovery, scoped tightly to the one question that decides this: will a non-federal buyer pay *recurring* dollars for educator wellbeing? The problem is large and real, the WISE asset is real and squarely on-mission, and Thrive's clinical-validation engine is decisive for the evidence gap. But there is </w:t>
      </w:r>
      <w:r>
        <w:rPr>
          <w:b/>
        </w:rPr>
        <w:t>no dedicated funding for adult wellbeing</w:t>
      </w:r>
      <w:r>
        <w:t xml:space="preserve">, the federal buckets that fund the adjacent work are being cut, and the field is </w:t>
      </w:r>
      <w:r>
        <w:rPr>
          <w:b/>
        </w:rPr>
        <w:t>fragmented, not empty</w:t>
      </w:r>
      <w:r>
        <w:t xml:space="preserve">. The single condition that flips this to a confident go: a foundation-seeded pilot that converts toward a district/state contract on a </w:t>
      </w:r>
      <w:r>
        <w:rPr>
          <w:b/>
        </w:rPr>
        <w:t>retention + student-outcome</w:t>
      </w:r>
      <w:r>
        <w:t xml:space="preserve"> frame.</w:t>
      </w:r>
    </w:p>
    <w:p>
      <w:pPr>
        <w:pStyle w:val="Heading2"/>
      </w:pPr>
      <w:r>
        <w:t>Scorecard</w:t>
      </w:r>
    </w:p>
    <w:p>
      <w:r>
        <w:rPr>
          <w:b/>
        </w:rPr>
        <w:t>Idea rating: ★★★☆☆ (3/5)</w:t>
      </w:r>
      <w:r>
        <w:t xml:space="preserve"> · Gate score 8/12 · Thrive alignment 2.5/3</w:t>
      </w:r>
    </w:p>
    <w:p>
      <w:r>
        <w:rPr>
          <w:i/>
        </w:rPr>
        <w:t>Real asset on a squarely on-mission problem, but the adult-wellbeing willingness-to-pay thesis is unproven and the funding timing is adverse — advance only to test the money.</w:t>
      </w:r>
    </w:p>
    <w:p>
      <w:r>
        <w:t>Per-criterion scores sit in their home sections below: Market Size &amp; Revenue Potential in Market Overview, Competitive Position in Competitor Landscape, Feasibility in Thrive Mission Alignment.</w:t>
      </w:r>
    </w:p>
    <w:p>
      <w:pPr>
        <w:pStyle w:val="Heading2"/>
      </w:pPr>
      <w:r>
        <w:t>The Hypothesis</w:t>
      </w:r>
    </w:p>
    <w:p>
      <w:r>
        <w:rPr>
          <w:i/>
        </w:rPr>
        <w:t>If we provide a Georgetown-grounded tiered framework plus implementation consultation and a trained clinician workforce, then districts and states will improve educator wellbeing, retention, and (downstream) student outcomes — enough to pay for it recurring.</w:t>
      </w:r>
      <w:r>
        <w:t xml:space="preserve"> The burning problem: educators are the most-burned-out U.S. workforce, and turnover costs up to ≈$25k per departure.</w:t>
      </w:r>
    </w:p>
    <w:p>
      <w:pPr>
        <w:pStyle w:val="Heading2"/>
      </w:pPr>
      <w:r>
        <w:t>Market Overview</w:t>
      </w:r>
    </w:p>
    <w:p>
      <w:r>
        <w:rPr>
          <w:b/>
        </w:rPr>
        <w:t>Market Size: 2/3</w:t>
      </w:r>
      <w:r>
        <w:t xml:space="preserve"> · </w:t>
      </w:r>
      <w:r>
        <w:rPr>
          <w:b/>
        </w:rPr>
        <w:t>Revenue Potential: 2/3</w:t>
      </w:r>
      <w:r>
        <w:t xml:space="preserve"> — </w:t>
      </w:r>
      <w:r>
        <w:rPr>
          <w:i/>
        </w:rPr>
        <w:t>Macro K-12 pond is huge, but the fundable adult-wellbeing slice is small, fragmented, and unsizable from public data; a revenue path exists (retention-framed contracts) but is speculative and comparable orgs are thin and grant-dependent.</w:t>
      </w:r>
    </w:p>
    <w:p>
      <w:pPr>
        <w:pStyle w:val="ListBullet"/>
      </w:pPr>
      <w:r>
        <w:rPr>
          <w:b/>
        </w:rPr>
        <w:t>Size:</w:t>
      </w:r>
      <w:r>
        <w:t xml:space="preserve"> TAM ≈$984B K-12 spend / ≈99k schools / ≈3.2M teachers </w:t>
      </w:r>
      <w:r>
        <w:rPr>
          <w:color w:val="1557B0"/>
          <w:u w:val="single"/>
        </w:rPr>
        <w:t>[NCES</w:t>
      </w:r>
      <w:r>
        <w:t xml:space="preserve">; </w:t>
      </w:r>
      <w:r>
        <w:rPr>
          <w:color w:val="1557B0"/>
          <w:u w:val="single"/>
        </w:rPr>
        <w:t>Census FY24</w:t>
      </w:r>
      <w:r>
        <w:t>]; but no adult-specific SAM exists — every market number bundles *student* SEL. Honest SOM: low single-digit $M, below the $3–15M band absent the contract path.</w:t>
      </w:r>
    </w:p>
    <w:p>
      <w:pPr>
        <w:pStyle w:val="ListBullet"/>
      </w:pPr>
      <w:r>
        <w:rPr>
          <w:b/>
        </w:rPr>
        <w:t>Where the money comes from:</w:t>
      </w:r>
      <w:r>
        <w:t xml:space="preserve"> today, overwhelmingly student-tagged streams; adult wellbeing has no dedicated line. The funding *environment is deteriorating* (ESSER cliff; Title II-A/IV-A slated for elimination; ≈$1B school-MH grants cut to ≈$208M) — which hits the buyer's budget, inverting the brief's "collapsing funding forces innovation" framing.</w:t>
      </w:r>
    </w:p>
    <w:p>
      <w:pPr>
        <w:pStyle w:val="ListBullet"/>
      </w:pPr>
      <w:r>
        <w:rPr>
          <w:b/>
        </w:rPr>
        <w:t>Demand temperature:</w:t>
      </w:r>
      <w:r>
        <w:t xml:space="preserve"> concern is hot (41% of leaders worried about staff MH) but budget is cold — concern hasn't converted to a procurement category.</w:t>
      </w:r>
    </w:p>
    <w:p>
      <w:pPr>
        <w:pStyle w:val="Heading2"/>
      </w:pPr>
      <w:r>
        <w:t>Competitor Landscape</w:t>
      </w:r>
    </w:p>
    <w:p>
      <w:r>
        <w:rPr>
          <w:b/>
        </w:rPr>
        <w:t>Competitive Position: 2/3</w:t>
      </w:r>
      <w:r>
        <w:t xml:space="preserve"> — </w:t>
      </w:r>
      <w:r>
        <w:rPr>
          <w:i/>
        </w:rPr>
        <w:t>"No scalable competitor" is false; the field is fragmented but populated, and the strongest causal evidence is held by a competitor (CARE), not WISE. Real whitespace exists but no defensible differentiation yet.</w:t>
      </w:r>
    </w:p>
    <w:p>
      <w:pPr>
        <w:pStyle w:val="ListBullet"/>
      </w:pPr>
      <w:r>
        <w:rPr>
          <w:b/>
        </w:rPr>
        <w:t>Direct:</w:t>
      </w:r>
      <w:r>
        <w:t xml:space="preserve"> The Teaching Well (best-funded, ≈$3.79M FY25); CARE/CREATE (the RCT + What Works Clearinghouse + CDC evidence WISE lacks); Educators Thriving (Harvard/AFT traction); FuelEd (≈91% revenue decline — a distress signal).</w:t>
      </w:r>
    </w:p>
    <w:p>
      <w:pPr>
        <w:pStyle w:val="ListBullet"/>
      </w:pPr>
      <w:r>
        <w:rPr>
          <w:b/>
        </w:rPr>
        <w:t>Adjacent / workarounds:</w:t>
      </w:r>
      <w:r>
        <w:t xml:space="preserve"> Panorama (real "adult SEL" + district data, the fast-follower threat); cheap EAPs (≈$14/head) and </w:t>
      </w:r>
      <w:r>
        <w:rPr>
          <w:b/>
        </w:rPr>
        <w:t>free</w:t>
      </w:r>
      <w:r>
        <w:t xml:space="preserve"> apps (Headspace, Calm, Kaiser) own the low end. Pricing is near-universally quote-based; Georgetown's own IECMH certificate (≈$6k) is the cleanest credential-layer anchor.</w:t>
      </w:r>
    </w:p>
    <w:p>
      <w:pPr>
        <w:pStyle w:val="ListBullet"/>
      </w:pPr>
      <w:r>
        <w:rPr>
          <w:b/>
        </w:rPr>
        <w:t>"Do nothing":</w:t>
      </w:r>
      <w:r>
        <w:t xml:space="preserve"> strong — the pain is chronic, not acute, and a $14 EAP lets a district say it "did something." Note category-wide post-ESSER strain (Hazel, Second Step, acquisitions, Mindful Schools defunct).</w:t>
      </w:r>
    </w:p>
    <w:p>
      <w:pPr>
        <w:pStyle w:val="Heading2"/>
      </w:pPr>
      <w:r>
        <w:t>User / Payor / Referrer Map</w:t>
      </w:r>
    </w:p>
    <w:p>
      <w:pPr>
        <w:pStyle w:val="ListBullet"/>
      </w:pPr>
      <w:r>
        <w:rPr>
          <w:b/>
        </w:rPr>
        <w:t>User:</w:t>
      </w:r>
      <w:r>
        <w:t xml:space="preserve"> the classroom teacher and, pivotally, the building principal (Tier 1 is leader-driven).</w:t>
      </w:r>
    </w:p>
    <w:p>
      <w:pPr>
        <w:pStyle w:val="ListBullet"/>
      </w:pPr>
      <w:r>
        <w:rPr>
          <w:b/>
        </w:rPr>
        <w:t>Payor:</w:t>
      </w:r>
      <w:r>
        <w:t xml:space="preserve"> rarely the user — a funded foundation/intermediary first, then a district (PD/student-services champion, CFO/board signing), then a state.</w:t>
      </w:r>
    </w:p>
    <w:p>
      <w:pPr>
        <w:pStyle w:val="ListBullet"/>
      </w:pPr>
      <w:r>
        <w:rPr>
          <w:b/>
        </w:rPr>
        <w:t>Referrer:</w:t>
      </w:r>
      <w:r>
        <w:t xml:space="preserve"> the Georgetown/Thrive network and conference relationships; a foundation program officer who routes WISE into grantee districts.</w:t>
      </w:r>
    </w:p>
    <w:p>
      <w:pPr>
        <w:pStyle w:val="ListBullet"/>
      </w:pPr>
      <w:r>
        <w:rPr>
          <w:b/>
        </w:rPr>
        <w:t>First dollar:</w:t>
      </w:r>
      <w:r>
        <w:t xml:space="preserve"> the </w:t>
      </w:r>
      <w:r>
        <w:rPr>
          <w:b/>
        </w:rPr>
        <w:t>foundation/intermediary pass-through</w:t>
      </w:r>
      <w:r>
        <w:t xml:space="preserve"> (Education Plus Health-style) is the most credible first check — but it's pilot capital, not recurring revenue (only ≈12% of foundation grants are multi-year; NoVo and CZI both exited this space). The durable payer is a district/state operating-budget contract, won on retention/outcome framing and made repeatable via a Sourcewell/state master agreement.</w:t>
      </w:r>
    </w:p>
    <w:p>
      <w:pPr>
        <w:pStyle w:val="Heading2"/>
      </w:pPr>
      <w:r>
        <w:t>UVP &amp; Unique Advantages</w:t>
      </w:r>
    </w:p>
    <w:p>
      <w:r>
        <w:t xml:space="preserve">The next best alternative is a cheap EAP + occasional PD day. WISE's verifiable difference is </w:t>
      </w:r>
      <w:r>
        <w:rPr>
          <w:b/>
        </w:rPr>
        <w:t>clinical depth across tiers + Georgetown research credibility</w:t>
      </w:r>
      <w:r>
        <w:t xml:space="preserve"> — but that's verifiable to a clinician, not yet to a CFO, because the outcome (retention/student impact) isn't measured. Of Thrive's three advantages, </w:t>
      </w:r>
      <w:r>
        <w:rPr>
          <w:b/>
        </w:rPr>
        <w:t>nimble clinical validation is decisive</w:t>
      </w:r>
      <w:r>
        <w:t xml:space="preserve"> (it builds the missing evidence that unlocks the sale); learning-partner pilots are strongly load-bearing. </w:t>
      </w:r>
      <w:r>
        <w:rPr>
          <w:i/>
        </w:rPr>
        <w:t>For leaders losing teachers they can't afford to replace, WISE provides a clinically-grounded, Georgetown-backed tiered system that improves wellbeing and retention — unlike an EAP or one-off PD — because it pairs real mental-health consultation with research-designed proof.</w:t>
      </w:r>
    </w:p>
    <w:p>
      <w:pPr>
        <w:pStyle w:val="Heading2"/>
      </w:pPr>
      <w:r>
        <w:t>Thrive Mission Alignment</w:t>
      </w:r>
    </w:p>
    <w:p>
      <w:r>
        <w:t xml:space="preserve">On-mission (educators are named in Thrive's mission); fits the non-VC, lean posture in shape, though reaching the $3M lower bound is a real question. Clean neighbor to Attune by age band (K-12 vs. 0–5), but the </w:t>
      </w:r>
      <w:r>
        <w:rPr>
          <w:b/>
        </w:rPr>
        <w:t>"consultation" overlap with Virtual Consultation/Attune needs an internal positioning split</w:t>
      </w:r>
      <w:r>
        <w:t>, and the MedStar-vs-Thrive entity/IP home must be settled.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Alignment 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 (1–3)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Mission-domain fit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Serves the educator workforce Thrive's mission names; downstream child impact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Reach / impact multiplication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Real national-scaling thesis, but 10x is contingent on the unproven WTP/delivery problem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Leverages Thrive's advantages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Clinical validation is decisive; learning-partner pilots strongly load-bearing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Studio posture / economics fit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Non-VC/lean shape fits; reaching $3M lower bound is a stretch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Sibling-venture coherence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Clean vs. Attune by age, but consultation overlap w/ Virtual Consultation needs settling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Counter-mission risk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No meaningful risk; only a manageable framing tension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Overall alignment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2.5/3</w:t>
            </w:r>
          </w:p>
        </w:tc>
        <w:tc>
          <w:tcPr>
            <w:tcW w:type="dxa" w:w="2160"/>
          </w:tcPr>
          <w:p>
            <w:r/>
            <w:r>
              <w:t>Excellent fit + a decisive Thrive advantage; economics and sibling positioning are the soft spots</w:t>
            </w:r>
          </w:p>
        </w:tc>
      </w:tr>
    </w:tbl>
    <w:p/>
    <w:p>
      <w:r>
        <w:rPr>
          <w:b/>
        </w:rPr>
        <w:t>Feasibility (gate criterion — separate from the alignment average above): 2/3</w:t>
      </w:r>
      <w:r>
        <w:t xml:space="preserve"> — WISE already delivers the framework in ≈30 schools and the capability is squarely Thrive's, but the scalable delivery layer is unbuilt, the operator is TBD, and the evidence base needs building. (Counts toward the /12 gate score, not the /3 alignment overall.)</w:t>
      </w:r>
    </w:p>
    <w:p>
      <w:pPr>
        <w:pStyle w:val="Heading2"/>
      </w:pPr>
      <w:r>
        <w:t>Open Questions &amp; Riskiest Assumptions</w:t>
      </w:r>
    </w:p>
    <w:p>
      <w:r>
        <w:t xml:space="preserve">The venture dies fastest if </w:t>
      </w:r>
      <w:r>
        <w:rPr>
          <w:b/>
        </w:rPr>
        <w:t>willingness-to-pay for adult wellbeing isn't real or recurring</w:t>
      </w:r>
      <w:r>
        <w:t xml:space="preserve"> (no dedicated funding, adverse timing, free/commoditized low end), and next if </w:t>
      </w:r>
      <w:r>
        <w:rPr>
          <w:b/>
        </w:rPr>
        <w:t>the retention/outcome causal evidence can't be produced</w:t>
      </w:r>
      <w:r>
        <w:t xml:space="preserve">. Cheapest highest-leverage test: confirm the Education Plus Health relationship and get one foundation to commit a scoped pilot with a retention metric, then 3–5 district CFO/student-services discovery calls to find the real budget owner. Also correct the overstated claims (MA "statewide" is an RFI pursuit, not live; the SAMHSA tie is unverified; Megan is Director, not founder) and run a "WISE" naming/trademark clearance. </w:t>
      </w:r>
      <w:r>
        <w:rPr>
          <w:i/>
        </w:rPr>
        <w:t>Full evidence, competitor profiles, and sourcing in the in-depth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