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B6B6B"/>
          <w:spacing w:val="140"/>
          <w:sz w:val="28"/>
          <w:szCs w:val="28"/>
        </w:rPr>
        <w:t xml:space="preserve">HAVEN-9</w:t>
      </w:r>
    </w:p>
    <w:p>
      <w:pPr>
        <w:spacing w:after="400"/>
        <w:jc w:val="center"/>
      </w:pPr>
      <w:r>
        <w:rPr>
          <w:rFonts w:ascii="Arial" w:cs="Arial" w:eastAsia="Arial" w:hAnsi="Arial"/>
          <w:color w:val="6B6B6B"/>
          <w:spacing w:val="80"/>
          <w:sz w:val="16"/>
          <w:szCs w:val="16"/>
        </w:rPr>
        <w:t xml:space="preserve">SUBTERRANEAN CONTINUITY AUTHORITY</w:t>
      </w:r>
    </w:p>
    <w:p>
      <w:pPr>
        <w:spacing w:after="80"/>
        <w:jc w:val="center"/>
      </w:pPr>
      <w:r>
        <w:rPr>
          <w:rFonts w:ascii="Arial" w:cs="Arial" w:eastAsia="Arial" w:hAnsi="Arial"/>
          <w:b/>
          <w:bCs/>
          <w:color w:val="1A1A1A"/>
          <w:sz w:val="36"/>
          <w:szCs w:val="36"/>
        </w:rPr>
        <w:t xml:space="preserve">CHARTER OF THE SECTOR COUNCIL</w:t>
      </w:r>
    </w:p>
    <w:p>
      <w:pPr>
        <w:pBdr>
          <w:bottom w:val="single" w:color="BFBFBF" w:sz="8"/>
        </w:pBdr>
        <w:spacing w:after="500"/>
        <w:jc w:val="center"/>
      </w:pPr>
      <w:r>
        <w:rPr>
          <w:rFonts w:ascii="Arial" w:cs="Arial" w:eastAsia="Arial" w:hAnsi="Arial"/>
          <w:i/>
          <w:iCs/>
          <w:color w:val="6B6B6B"/>
          <w:sz w:val="18"/>
          <w:szCs w:val="18"/>
        </w:rPr>
        <w:t xml:space="preserve">Ratified Cycle 12 · Amended Cycle 31 · In force</w:t>
      </w:r>
    </w:p>
    <w:p>
      <w:pPr>
        <w:spacing w:after="100" w:before="220"/>
      </w:pPr>
      <w:r>
        <w:rPr>
          <w:rFonts w:ascii="Arial" w:cs="Arial" w:eastAsia="Arial" w:hAnsi="Arial"/>
          <w:b/>
          <w:bCs/>
          <w:color w:val="1A1A1A"/>
          <w:sz w:val="22"/>
          <w:szCs w:val="22"/>
        </w:rPr>
        <w:t xml:space="preserve">Clause 1 — Composition</w:t>
      </w:r>
    </w:p>
    <w:p>
      <w:pPr>
        <w:spacing w:after="120"/>
      </w:pPr>
      <w:r>
        <w:rPr>
          <w:rFonts w:ascii="Arial" w:cs="Arial" w:eastAsia="Arial" w:hAnsi="Arial"/>
          <w:color w:val="1A1A1A"/>
          <w:sz w:val="20"/>
          <w:szCs w:val="20"/>
        </w:rPr>
        <w:t xml:space="preserve">The Sector Council comprises the Chief of each operating sector of HAVEN-9. Each sector holds one seat and one voice. Liaisons attend and may speak; they do not hold a seat.</w:t>
      </w:r>
    </w:p>
    <w:p>
      <w:pPr>
        <w:spacing w:after="100" w:before="220"/>
      </w:pPr>
      <w:r>
        <w:rPr>
          <w:rFonts w:ascii="Arial" w:cs="Arial" w:eastAsia="Arial" w:hAnsi="Arial"/>
          <w:b/>
          <w:bCs/>
          <w:color w:val="1A1A1A"/>
          <w:sz w:val="22"/>
          <w:szCs w:val="22"/>
        </w:rPr>
        <w:t xml:space="preserve">Clause 2 — Convening</w:t>
      </w:r>
    </w:p>
    <w:p>
      <w:pPr>
        <w:spacing w:after="120"/>
      </w:pPr>
      <w:r>
        <w:rPr>
          <w:rFonts w:ascii="Arial" w:cs="Arial" w:eastAsia="Arial" w:hAnsi="Arial"/>
          <w:color w:val="1A1A1A"/>
          <w:sz w:val="20"/>
          <w:szCs w:val="20"/>
        </w:rPr>
        <w:t xml:space="preserve">The Council convenes when the Continuity Authority calls it. Attendance is not optional. A sector that fails to send its Chief forfeits its voice for that sitting.</w:t>
      </w:r>
    </w:p>
    <w:p>
      <w:pPr>
        <w:spacing w:after="100" w:before="220"/>
      </w:pPr>
      <w:r>
        <w:rPr>
          <w:rFonts w:ascii="Arial" w:cs="Arial" w:eastAsia="Arial" w:hAnsi="Arial"/>
          <w:b/>
          <w:bCs/>
          <w:color w:val="1A1A1A"/>
          <w:sz w:val="22"/>
          <w:szCs w:val="22"/>
        </w:rPr>
        <w:t xml:space="preserve">Clause 3 — Sitting duration</w:t>
      </w:r>
    </w:p>
    <w:p>
      <w:pPr>
        <w:spacing w:after="120"/>
      </w:pPr>
      <w:r>
        <w:rPr>
          <w:rFonts w:ascii="Arial" w:cs="Arial" w:eastAsia="Arial" w:hAnsi="Arial"/>
          <w:color w:val="1A1A1A"/>
          <w:sz w:val="20"/>
          <w:szCs w:val="20"/>
        </w:rPr>
        <w:t xml:space="preserve">A sitting is timed by the Continuity Authority. It does not run over. Matters unresolved at the close of a sitting stand unresolved.</w:t>
      </w:r>
    </w:p>
    <w:p>
      <w:pPr>
        <w:spacing w:after="100" w:before="220"/>
      </w:pPr>
      <w:r>
        <w:rPr>
          <w:rFonts w:ascii="Arial" w:cs="Arial" w:eastAsia="Arial" w:hAnsi="Arial"/>
          <w:b/>
          <w:bCs/>
          <w:color w:val="1A1A1A"/>
          <w:sz w:val="22"/>
          <w:szCs w:val="22"/>
        </w:rPr>
        <w:t xml:space="preserve">Clause 4 — Binding effect</w:t>
      </w:r>
    </w:p>
    <w:p>
      <w:pPr>
        <w:spacing w:after="120"/>
      </w:pPr>
      <w:r>
        <w:rPr>
          <w:rFonts w:ascii="Arial" w:cs="Arial" w:eastAsia="Arial" w:hAnsi="Arial"/>
          <w:color w:val="1A1A1A"/>
          <w:sz w:val="20"/>
          <w:szCs w:val="20"/>
        </w:rPr>
        <w:t xml:space="preserve">Decisions of the Council bind every sector, including sectors that opposed them and sectors that abstained. There is no appeal.</w:t>
      </w:r>
    </w:p>
    <w:p>
      <w:pPr>
        <w:spacing w:after="100" w:before="220"/>
      </w:pPr>
      <w:r>
        <w:rPr>
          <w:rFonts w:ascii="Arial" w:cs="Arial" w:eastAsia="Arial" w:hAnsi="Arial"/>
          <w:b/>
          <w:bCs/>
          <w:color w:val="1A1A1A"/>
          <w:sz w:val="22"/>
          <w:szCs w:val="22"/>
        </w:rPr>
        <w:t xml:space="preserve">Clause 5 — Transfers</w:t>
      </w:r>
    </w:p>
    <w:p>
      <w:pPr>
        <w:spacing w:after="120"/>
      </w:pPr>
      <w:r>
        <w:rPr>
          <w:rFonts w:ascii="Arial" w:cs="Arial" w:eastAsia="Arial" w:hAnsi="Arial"/>
          <w:color w:val="1A1A1A"/>
          <w:sz w:val="20"/>
          <w:szCs w:val="20"/>
        </w:rPr>
        <w:t xml:space="preserve">Resource and personnel transfers between sectors are matters for the sectors concerned and do not require Council approval. All transfers are recorded on a Transfer Chit and stamped by Transport &amp; Tunnels.</w:t>
      </w:r>
    </w:p>
    <w:p>
      <w:pPr>
        <w:spacing w:after="100" w:before="220"/>
      </w:pPr>
      <w:r>
        <w:rPr>
          <w:rFonts w:ascii="Arial" w:cs="Arial" w:eastAsia="Arial" w:hAnsi="Arial"/>
          <w:b/>
          <w:bCs/>
          <w:color w:val="1A1A1A"/>
          <w:sz w:val="22"/>
          <w:szCs w:val="22"/>
        </w:rPr>
        <w:t xml:space="preserve">Clause 6 — Records</w:t>
      </w:r>
    </w:p>
    <w:p>
      <w:pPr>
        <w:spacing w:after="120"/>
      </w:pPr>
      <w:r>
        <w:rPr>
          <w:rFonts w:ascii="Arial" w:cs="Arial" w:eastAsia="Arial" w:hAnsi="Arial"/>
          <w:color w:val="1A1A1A"/>
          <w:sz w:val="20"/>
          <w:szCs w:val="20"/>
        </w:rPr>
        <w:t xml:space="preserve">Each sector maintains a Station Operations Log. The Council may call for any log at any time.</w:t>
      </w:r>
    </w:p>
    <w:p>
      <w:pPr>
        <w:spacing w:after="100" w:before="260"/>
      </w:pPr>
      <w:r>
        <w:rPr>
          <w:rFonts w:ascii="Arial" w:cs="Arial" w:eastAsia="Arial" w:hAnsi="Arial"/>
          <w:b/>
          <w:bCs/>
          <w:color w:val="1A1A1A"/>
          <w:sz w:val="22"/>
          <w:szCs w:val="22"/>
        </w:rPr>
        <w:t xml:space="preserve">Clause 7 — Continuity of essential services</w:t>
      </w:r>
    </w:p>
    <w:p>
      <w:pPr>
        <w:pBdr>
          <w:left w:val="single" w:color="1F3864" w:sz="18"/>
        </w:pBdr>
        <w:shd w:fill="F7F7F7" w:color="auto" w:val="clear"/>
        <w:spacing w:after="140"/>
        <w:ind w:left="220"/>
      </w:pPr>
      <w:r>
        <w:rPr>
          <w:rFonts w:ascii="Arial" w:cs="Arial" w:eastAsia="Arial" w:hAnsi="Arial"/>
          <w:i/>
          <w:iCs/>
          <w:color w:val="1A1A1A"/>
          <w:sz w:val="22"/>
          <w:szCs w:val="22"/>
        </w:rPr>
        <w:t xml:space="preserve">In the event of Core insufficiency, continuity of essential services shall take precedence, as determined by the Council.</w:t>
      </w:r>
    </w:p>
    <w:p>
      <w:pPr>
        <w:spacing w:after="120"/>
      </w:pPr>
      <w:r>
        <w:rPr>
          <w:rFonts w:ascii="Arial" w:cs="Arial" w:eastAsia="Arial" w:hAnsi="Arial"/>
          <w:color w:val="1A1A1A"/>
          <w:sz w:val="20"/>
          <w:szCs w:val="20"/>
        </w:rPr>
        <w:t xml:space="preserve">Where Core output cannot sustain all sectors, the Council shall submit a Continuity Order ranking every sector. Sectors ranked in the lowest positions shall be placed in brownout for the duration of the insufficiency. A Continuity Order takes effect on submission and cannot be recalled.</w:t>
      </w:r>
    </w:p>
    <w:p>
      <w:pPr>
        <w:spacing w:after="120"/>
      </w:pPr>
      <w:r>
        <w:rPr>
          <w:rFonts w:ascii="Arial" w:cs="Arial" w:eastAsia="Arial" w:hAnsi="Arial"/>
          <w:b/>
          <w:bCs/>
          <w:color w:val="1A1A1A"/>
          <w:sz w:val="20"/>
          <w:szCs w:val="20"/>
        </w:rPr>
        <w:t xml:space="preserve">Failure to submit a Continuity Order before the close of the sitting shall be treated as no determination having been made, and the Authority shall impose rolling blackouts across all sectors without regard to function.</w:t>
      </w:r>
    </w:p>
    <w:p>
      <w:pPr>
        <w:spacing w:after="100" w:before="220"/>
      </w:pPr>
      <w:r>
        <w:rPr>
          <w:rFonts w:ascii="Arial" w:cs="Arial" w:eastAsia="Arial" w:hAnsi="Arial"/>
          <w:b/>
          <w:bCs/>
          <w:color w:val="1A1A1A"/>
          <w:sz w:val="22"/>
          <w:szCs w:val="22"/>
        </w:rPr>
        <w:t xml:space="preserve">Clause 8 — Personnel</w:t>
      </w:r>
    </w:p>
    <w:p>
      <w:pPr>
        <w:spacing w:after="120"/>
      </w:pPr>
      <w:r>
        <w:rPr>
          <w:rFonts w:ascii="Arial" w:cs="Arial" w:eastAsia="Arial" w:hAnsi="Arial"/>
          <w:color w:val="1A1A1A"/>
          <w:sz w:val="20"/>
          <w:szCs w:val="20"/>
        </w:rPr>
        <w:t xml:space="preserve">No sector may be dissolved and no member of HAVEN-9 may be expelled from the city. Personnel may be reassigned between sectors by agreement. Sectors in brownout continue to hold their seat and their voice.</w:t>
      </w:r>
    </w:p>
    <w:p>
      <w:pPr>
        <w:spacing w:after="100" w:before="220"/>
      </w:pPr>
      <w:r>
        <w:rPr>
          <w:rFonts w:ascii="Arial" w:cs="Arial" w:eastAsia="Arial" w:hAnsi="Arial"/>
          <w:b/>
          <w:bCs/>
          <w:color w:val="1A1A1A"/>
          <w:sz w:val="22"/>
          <w:szCs w:val="22"/>
        </w:rPr>
        <w:t xml:space="preserve">Clause 9 — Amendment</w:t>
      </w:r>
    </w:p>
    <w:p>
      <w:pPr>
        <w:spacing w:after="120"/>
      </w:pPr>
      <w:r>
        <w:rPr>
          <w:rFonts w:ascii="Arial" w:cs="Arial" w:eastAsia="Arial" w:hAnsi="Arial"/>
          <w:color w:val="1A1A1A"/>
          <w:sz w:val="20"/>
          <w:szCs w:val="20"/>
        </w:rPr>
        <w:t xml:space="preserve">This Charter may be amended only in ordinary conditions. It may not be amended during a declared insufficiency.</w:t>
      </w:r>
    </w:p>
    <w:p>
      <w:pPr>
        <w:pBdr>
          <w:top w:val="single" w:color="BFBFBF" w:sz="6"/>
        </w:pBdr>
        <w:spacing w:before="400"/>
        <w:jc w:val="center"/>
      </w:pPr>
      <w:r>
        <w:rPr>
          <w:rFonts w:ascii="Arial" w:cs="Arial" w:eastAsia="Arial" w:hAnsi="Arial"/>
          <w:i/>
          <w:iCs/>
          <w:color w:val="6B6B6B"/>
          <w:sz w:val="16"/>
          <w:szCs w:val="16"/>
        </w:rPr>
        <w:t xml:space="preserve">Held at the Comms &amp; Sensors station. Produce on request of any Chief.</w:t>
      </w:r>
    </w:p>
    <w:p>
      <w:r>
        <w:br w:type="page"/>
      </w:r>
    </w:p>
    <w:p>
      <w:pPr>
        <w:spacing w:after="180" w:before="120"/>
      </w:pPr>
      <w:r>
        <w:rPr>
          <w:rFonts w:ascii="Arial" w:cs="Arial" w:eastAsia="Arial" w:hAnsi="Arial"/>
          <w:b/>
          <w:bCs/>
          <w:color w:val="1F3864"/>
          <w:sz w:val="30"/>
          <w:szCs w:val="30"/>
        </w:rPr>
        <w:t xml:space="preserve">CONTINUITY ORDER</w:t>
      </w:r>
    </w:p>
    <w:p>
      <w:pPr>
        <w:spacing w:after="120"/>
      </w:pPr>
      <w:r>
        <w:rPr>
          <w:rFonts w:ascii="Arial" w:cs="Arial" w:eastAsia="Arial" w:hAnsi="Arial"/>
          <w:color w:val="1A1A1A"/>
          <w:sz w:val="20"/>
          <w:szCs w:val="20"/>
        </w:rPr>
        <w:t xml:space="preserve">Submitted under Clause 7. One form per sitting. Rank every sector from 1 (sustain first) to 6 (brownout first). Incomplete forms are void.</w:t>
      </w:r>
    </w:p>
    <w:p>
      <w:pPr>
        <w:spacing w:after="120"/>
      </w:pPr>
      <w:r>
        <w:rPr>
          <w:rFonts w:ascii="Arial" w:cs="Arial" w:eastAsia="Arial" w:hAnsi="Arial"/>
          <w:b/>
          <w:bCs/>
          <w:color w:val="1A1A1A"/>
          <w:sz w:val="20"/>
          <w:szCs w:val="20"/>
        </w:rPr>
        <w:t xml:space="preserve">Core output is insufficient to sustain all six sectors. The two lowest-ranked sectors will be placed in brownout.</w:t>
      </w:r>
    </w:p>
    <w:p>
      <w:pPr>
        <w:spacing w:after="1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3000"/>
        <w:gridCol w:w="5438"/>
      </w:tblGrid>
      <w:tr>
        <w:tc>
          <w:tcPr>
            <w:tcW w:type="dxa" w:w="1200"/>
            <w:shd w:fill="1F3864" w:color="auto" w:val="clear"/>
            <w:tcMar>
              <w:top w:type="dxa" w:w="70"/>
              <w:left w:type="dxa" w:w="100"/>
              <w:bottom w:type="dxa" w:w="70"/>
              <w:right w:type="dxa" w:w="100"/>
            </w:tcMar>
            <w:vAlign w:val="top"/>
          </w:tcPr>
          <w:p>
            <w:pPr>
              <w:spacing w:after="0"/>
              <w:jc w:val="center"/>
            </w:pPr>
            <w:r>
              <w:rPr>
                <w:rFonts w:ascii="Arial" w:cs="Arial" w:eastAsia="Arial" w:hAnsi="Arial"/>
                <w:b/>
                <w:bCs/>
                <w:color w:val="1A1A1A"/>
              </w:rPr>
              <w:t xml:space="preserve">RANK</w:t>
            </w:r>
          </w:p>
        </w:tc>
        <w:tc>
          <w:tcPr>
            <w:tcW w:type="dxa" w:w="3000"/>
            <w:shd w:fill="1F3864"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SECTOR</w:t>
            </w:r>
          </w:p>
        </w:tc>
        <w:tc>
          <w:tcPr>
            <w:tcW w:type="dxa" w:w="5438"/>
            <w:shd w:fill="1F3864"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POPULATION / FUNCTION AT RISK IN BROWNOUT</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POW </w:t>
            </w:r>
            <w:r>
              <w:rPr>
                <w:rFonts w:ascii="Arial" w:cs="Arial" w:eastAsia="Arial" w:hAnsi="Arial"/>
                <w:color w:val="6B6B6B"/>
                <w:sz w:val="18"/>
                <w:szCs w:val="18"/>
              </w:rPr>
              <w:t xml:space="preserve">Power Grid</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Ring main degrades. All sectors lose 40% of delivered power. No sector is unaffected.</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WTR </w:t>
            </w:r>
            <w:r>
              <w:rPr>
                <w:rFonts w:ascii="Arial" w:cs="Arial" w:eastAsia="Arial" w:hAnsi="Arial"/>
                <w:color w:val="6B6B6B"/>
                <w:sz w:val="18"/>
                <w:szCs w:val="18"/>
              </w:rPr>
              <w:t xml:space="preserve">Water &amp; Filtration</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Reclaim plant offline. 11,000 residents on rationed water within one cycle.</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MED </w:t>
            </w:r>
            <w:r>
              <w:rPr>
                <w:rFonts w:ascii="Arial" w:cs="Arial" w:eastAsia="Arial" w:hAnsi="Arial"/>
                <w:color w:val="6B6B6B"/>
                <w:sz w:val="18"/>
                <w:szCs w:val="18"/>
              </w:rPr>
              <w:t xml:space="preserve">Medical Bay</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Life support at reduced capacity. 3,000 patients, including 40 on ventilation.</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TRN </w:t>
            </w:r>
            <w:r>
              <w:rPr>
                <w:rFonts w:ascii="Arial" w:cs="Arial" w:eastAsia="Arial" w:hAnsi="Arial"/>
                <w:color w:val="6B6B6B"/>
                <w:sz w:val="18"/>
                <w:szCs w:val="18"/>
              </w:rPr>
              <w:t xml:space="preserve">Transport &amp; Tunnels</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Galleries unlit and unpowered. All transfers slow. Evacuation routes unusable.</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AGR </w:t>
            </w:r>
            <w:r>
              <w:rPr>
                <w:rFonts w:ascii="Arial" w:cs="Arial" w:eastAsia="Arial" w:hAnsi="Arial"/>
                <w:color w:val="6B6B6B"/>
                <w:sz w:val="18"/>
                <w:szCs w:val="18"/>
              </w:rPr>
              <w:t xml:space="preserve">Agriculture</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Grow arrays dark. Food stocks last 9 cycles. Seed vault environment unstable.</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COM </w:t>
            </w:r>
            <w:r>
              <w:rPr>
                <w:rFonts w:ascii="Arial" w:cs="Arial" w:eastAsia="Arial" w:hAnsi="Arial"/>
                <w:color w:val="6B6B6B"/>
                <w:sz w:val="18"/>
                <w:szCs w:val="18"/>
              </w:rPr>
              <w:t xml:space="preserve">Comms &amp; Sensors</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Sensor grid blind. No sector receives fault telemetry. The city runs on shouting.</w:t>
            </w:r>
          </w:p>
        </w:tc>
      </w:tr>
    </w:tbl>
    <w:p>
      <w:pPr>
        <w:spacing w:after="30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2F2F2" w:color="auto" w:val="clear"/>
            <w:tcMar>
              <w:top w:type="dxa" w:w="70"/>
              <w:left w:type="dxa" w:w="100"/>
              <w:bottom w:type="dxa" w:w="70"/>
              <w:right w:type="dxa" w:w="100"/>
            </w:tcMar>
            <w:vAlign w:val="top"/>
          </w:tcPr>
          <w:p>
            <w:pPr>
              <w:spacing w:after="0"/>
            </w:pPr>
            <w:r>
              <w:rPr>
                <w:rFonts w:ascii="Arial" w:cs="Arial" w:eastAsia="Arial" w:hAnsi="Arial"/>
                <w:color w:val="6B6B6B"/>
                <w:sz w:val="14"/>
                <w:szCs w:val="14"/>
              </w:rPr>
              <w:t xml:space="preserve">SIGNED — CHIEFS PRESENT</w:t>
            </w:r>
          </w:p>
        </w:tc>
      </w:tr>
      <w:tr>
        <w:tc>
          <w:tcPr>
            <w:tcW w:type="dxa" w:w="9638"/>
            <w:tcMar>
              <w:top w:type="dxa" w:w="70"/>
              <w:left w:type="dxa" w:w="100"/>
              <w:bottom w:type="dxa" w:w="70"/>
              <w:right w:type="dxa" w:w="100"/>
            </w:tcMar>
            <w:vAlign w:val="top"/>
          </w:tcPr>
          <w:p>
            <w:pPr>
              <w:spacing w:after="0"/>
            </w:pPr>
            <w:r>
              <w:rPr>
                <w:rFonts w:ascii="Arial" w:cs="Arial" w:eastAsia="Arial" w:hAnsi="Arial"/>
                <w:color w:val="1A1A1A"/>
                <w:sz w:val="20"/>
                <w:szCs w:val="20"/>
              </w:rPr>
              <w:t xml:space="preserve"> </w:t>
            </w:r>
            <w:r>
              <w:rPr>
                <w:rFonts w:ascii="Arial" w:cs="Arial" w:eastAsia="Arial" w:hAnsi="Arial"/>
                <w:color w:val="1A1A1A"/>
                <w:sz w:val="20"/>
                <w:szCs w:val="20"/>
              </w:rPr>
              <w:t xml:space="preserve"> </w:t>
            </w:r>
          </w:p>
        </w:tc>
      </w:tr>
      <w:tr>
        <w:tc>
          <w:tcPr>
            <w:tcW w:type="dxa" w:w="9638"/>
            <w:tcMar>
              <w:top w:type="dxa" w:w="70"/>
              <w:left w:type="dxa" w:w="100"/>
              <w:bottom w:type="dxa" w:w="70"/>
              <w:right w:type="dxa" w:w="100"/>
            </w:tcMar>
            <w:vAlign w:val="top"/>
          </w:tcPr>
          <w:p>
            <w:pPr>
              <w:spacing w:after="0"/>
            </w:pPr>
            <w:r>
              <w:rPr>
                <w:rFonts w:ascii="Arial" w:cs="Arial" w:eastAsia="Arial" w:hAnsi="Arial"/>
                <w:color w:val="1A1A1A"/>
                <w:sz w:val="20"/>
                <w:szCs w:val="20"/>
              </w:rPr>
              <w:t xml:space="preserve"> </w:t>
            </w:r>
            <w:r>
              <w:rPr>
                <w:rFonts w:ascii="Arial" w:cs="Arial" w:eastAsia="Arial" w:hAnsi="Arial"/>
                <w:color w:val="1A1A1A"/>
                <w:sz w:val="20"/>
                <w:szCs w:val="20"/>
              </w:rPr>
              <w:t xml:space="preserve"> </w:t>
            </w:r>
          </w:p>
        </w:tc>
      </w:tr>
      <w:tr>
        <w:tc>
          <w:tcPr>
            <w:tcW w:type="dxa" w:w="9638"/>
            <w:shd w:fill="F2F2F2" w:color="auto" w:val="clear"/>
            <w:tcMar>
              <w:top w:type="dxa" w:w="70"/>
              <w:left w:type="dxa" w:w="100"/>
              <w:bottom w:type="dxa" w:w="70"/>
              <w:right w:type="dxa" w:w="100"/>
            </w:tcMar>
            <w:vAlign w:val="top"/>
          </w:tcPr>
          <w:p>
            <w:pPr>
              <w:spacing w:after="0"/>
            </w:pPr>
            <w:r>
              <w:rPr>
                <w:rFonts w:ascii="Arial" w:cs="Arial" w:eastAsia="Arial" w:hAnsi="Arial"/>
                <w:color w:val="6B6B6B"/>
                <w:sz w:val="14"/>
                <w:szCs w:val="14"/>
              </w:rPr>
              <w:t xml:space="preserve">TIME OF SUBMISSION</w:t>
            </w:r>
          </w:p>
        </w:tc>
      </w:tr>
    </w:tbl>
    <w:p>
      <w:pPr>
        <w:spacing w:before="200"/>
      </w:pPr>
      <w:r>
        <w:rPr>
          <w:rFonts w:ascii="Arial" w:cs="Arial" w:eastAsia="Arial" w:hAnsi="Arial"/>
          <w:b/>
          <w:bCs/>
          <w:color w:val="B00000"/>
          <w:sz w:val="18"/>
          <w:szCs w:val="18"/>
        </w:rPr>
        <w:t xml:space="preserve">Hand this form to the Continuity Authority before the sitting closes. A form submitted after the close has no effect.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2026-10-05T13:19:37.134Z</dcterms:created>
  <dcterms:modified xsi:type="dcterms:W3CDTF">2026-10-05T13:19:37.134Z</dcterms:modified>
</cp:coreProperties>
</file>

<file path=docProps/custom.xml><?xml version="1.0" encoding="utf-8"?>
<Properties xmlns="http://schemas.openxmlformats.org/officeDocument/2006/custom-properties" xmlns:vt="http://schemas.openxmlformats.org/officeDocument/2006/docPropsVTypes"/>
</file>